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C9FA" w14:textId="77777777" w:rsidR="00A25EFE" w:rsidRDefault="0000000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ascii="Calibri" w:eastAsia="Calibri" w:hAnsi="Calibri" w:cs="Calibri"/>
          <w:color w:val="0000FF"/>
          <w:sz w:val="28"/>
          <w:szCs w:val="28"/>
        </w:rPr>
      </w:pPr>
      <w:bookmarkStart w:id="0" w:name="_xdba20ei2ths" w:colFirst="0" w:colLast="0"/>
      <w:bookmarkEnd w:id="0"/>
      <w:r>
        <w:rPr>
          <w:rFonts w:ascii="Calibri" w:eastAsia="Calibri" w:hAnsi="Calibri" w:cs="Calibri"/>
          <w:color w:val="0000FF"/>
          <w:sz w:val="28"/>
          <w:szCs w:val="28"/>
        </w:rPr>
        <w:t>Threat and Vulnerability Identification Template</w:t>
      </w:r>
    </w:p>
    <w:p w14:paraId="6EC15954" w14:textId="77777777" w:rsidR="00A25EFE" w:rsidRDefault="00A25EFE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A8CDFBC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to identify key assets, associated threats, potential vulnerabilities, and initial ideas for mitigation. This exercise helps build foundational skills in cybersecurity risk assessment.</w:t>
      </w:r>
    </w:p>
    <w:p w14:paraId="596FD848" w14:textId="77777777" w:rsidR="00A25EFE" w:rsidRDefault="00A25EFE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630"/>
        <w:tblW w:w="10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A25EFE" w14:paraId="1985F7F6" w14:textId="77777777">
        <w:trPr>
          <w:trHeight w:val="497"/>
        </w:trPr>
        <w:tc>
          <w:tcPr>
            <w:tcW w:w="2160" w:type="dxa"/>
            <w:shd w:val="clear" w:color="auto" w:fill="0000FF"/>
          </w:tcPr>
          <w:p w14:paraId="32C929B5" w14:textId="77777777" w:rsidR="00A25EFE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Asset Name</w:t>
            </w:r>
          </w:p>
        </w:tc>
        <w:tc>
          <w:tcPr>
            <w:tcW w:w="2160" w:type="dxa"/>
            <w:shd w:val="clear" w:color="auto" w:fill="0000FF"/>
          </w:tcPr>
          <w:p w14:paraId="6A51DFA4" w14:textId="77777777" w:rsidR="00A25EFE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Asset Description</w:t>
            </w:r>
          </w:p>
        </w:tc>
        <w:tc>
          <w:tcPr>
            <w:tcW w:w="2160" w:type="dxa"/>
            <w:shd w:val="clear" w:color="auto" w:fill="0000FF"/>
          </w:tcPr>
          <w:p w14:paraId="61FD7D14" w14:textId="77777777" w:rsidR="00A25EFE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Associated Threats</w:t>
            </w:r>
          </w:p>
        </w:tc>
        <w:tc>
          <w:tcPr>
            <w:tcW w:w="2160" w:type="dxa"/>
            <w:shd w:val="clear" w:color="auto" w:fill="0000FF"/>
          </w:tcPr>
          <w:p w14:paraId="54B454B0" w14:textId="77777777" w:rsidR="00A25EFE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Potential Vulnerabilities</w:t>
            </w:r>
          </w:p>
        </w:tc>
        <w:tc>
          <w:tcPr>
            <w:tcW w:w="2160" w:type="dxa"/>
            <w:shd w:val="clear" w:color="auto" w:fill="0000FF"/>
          </w:tcPr>
          <w:p w14:paraId="2521B769" w14:textId="77777777" w:rsidR="00A25EFE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Mitigation Notes</w:t>
            </w:r>
          </w:p>
        </w:tc>
      </w:tr>
      <w:tr w:rsidR="00A25EFE" w14:paraId="2590BD45" w14:textId="77777777">
        <w:trPr>
          <w:trHeight w:val="243"/>
        </w:trPr>
        <w:tc>
          <w:tcPr>
            <w:tcW w:w="2160" w:type="dxa"/>
          </w:tcPr>
          <w:p w14:paraId="4386506A" w14:textId="0CCA2CAF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CRM Data</w:t>
            </w:r>
          </w:p>
        </w:tc>
        <w:tc>
          <w:tcPr>
            <w:tcW w:w="2160" w:type="dxa"/>
          </w:tcPr>
          <w:p w14:paraId="12C7C741" w14:textId="153D376F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CRM Platform storing customer PII, purchase history, and behavioral analytics</w:t>
            </w:r>
          </w:p>
        </w:tc>
        <w:tc>
          <w:tcPr>
            <w:tcW w:w="2160" w:type="dxa"/>
          </w:tcPr>
          <w:p w14:paraId="1533CCCD" w14:textId="3D915FC5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Cybercriminals executed targeted phishing attacks and social engineering to harvest user credentials</w:t>
            </w:r>
          </w:p>
        </w:tc>
        <w:tc>
          <w:tcPr>
            <w:tcW w:w="2160" w:type="dxa"/>
          </w:tcPr>
          <w:p w14:paraId="7F44932F" w14:textId="6C939826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Reliance on basic, infrequent security awareness training and lack of MFA</w:t>
            </w:r>
          </w:p>
        </w:tc>
        <w:tc>
          <w:tcPr>
            <w:tcW w:w="2160" w:type="dxa"/>
          </w:tcPr>
          <w:p w14:paraId="04CF738E" w14:textId="780D8ADB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Implement phishing resistant MFA, run monthly simulated phishing tests, and enforce strict role-based access controls</w:t>
            </w:r>
          </w:p>
        </w:tc>
      </w:tr>
      <w:tr w:rsidR="00A25EFE" w14:paraId="41C2F1EC" w14:textId="77777777">
        <w:trPr>
          <w:trHeight w:val="243"/>
        </w:trPr>
        <w:tc>
          <w:tcPr>
            <w:tcW w:w="2160" w:type="dxa"/>
          </w:tcPr>
          <w:p w14:paraId="3CB9B9C3" w14:textId="6CA8783B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Third Part Integrations</w:t>
            </w:r>
          </w:p>
        </w:tc>
        <w:tc>
          <w:tcPr>
            <w:tcW w:w="2160" w:type="dxa"/>
          </w:tcPr>
          <w:p w14:paraId="3C18426F" w14:textId="1EDCB952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External vendor systems connected to RetailNova’s ecosystem for marketing, logistics, and loyalty programs</w:t>
            </w:r>
          </w:p>
        </w:tc>
        <w:tc>
          <w:tcPr>
            <w:tcW w:w="2160" w:type="dxa"/>
          </w:tcPr>
          <w:p w14:paraId="09B978F0" w14:textId="28080AEC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Security breaches originating from compromised third party data leak</w:t>
            </w:r>
          </w:p>
        </w:tc>
        <w:tc>
          <w:tcPr>
            <w:tcW w:w="2160" w:type="dxa"/>
          </w:tcPr>
          <w:p w14:paraId="2B615625" w14:textId="5797CAA9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Lack of continuous Vendor Risk management oversight and missing third-party security audits</w:t>
            </w:r>
          </w:p>
        </w:tc>
        <w:tc>
          <w:tcPr>
            <w:tcW w:w="2160" w:type="dxa"/>
          </w:tcPr>
          <w:p w14:paraId="5032A3CE" w14:textId="7546A7CF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Establish a formal vendor assessment lifecycle, mandate security questionnaires, and enforce strict data-sharing compliance clauses in vendor contracts</w:t>
            </w:r>
          </w:p>
        </w:tc>
      </w:tr>
      <w:tr w:rsidR="00A25EFE" w14:paraId="4EAA2D25" w14:textId="77777777">
        <w:trPr>
          <w:trHeight w:val="243"/>
        </w:trPr>
        <w:tc>
          <w:tcPr>
            <w:tcW w:w="2160" w:type="dxa"/>
          </w:tcPr>
          <w:p w14:paraId="6EC7CDA3" w14:textId="458942A4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BYOD Endpoints &amp; Remote VPN Access</w:t>
            </w:r>
          </w:p>
        </w:tc>
        <w:tc>
          <w:tcPr>
            <w:tcW w:w="2160" w:type="dxa"/>
          </w:tcPr>
          <w:p w14:paraId="0228DD6E" w14:textId="5B7B6615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Corporate and Staff personal devices connecting remotely to internal systems via VPN</w:t>
            </w:r>
          </w:p>
        </w:tc>
        <w:tc>
          <w:tcPr>
            <w:tcW w:w="2160" w:type="dxa"/>
          </w:tcPr>
          <w:p w14:paraId="74C37822" w14:textId="64D3CFAC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Ransomware actors and malware introduction via unmanaged, insecure employee endpoints</w:t>
            </w:r>
          </w:p>
        </w:tc>
        <w:tc>
          <w:tcPr>
            <w:tcW w:w="2160" w:type="dxa"/>
          </w:tcPr>
          <w:p w14:paraId="09E4B2E2" w14:textId="39FC26A6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Absence of advanced Endpoint Detection and Response agents on personal BYOD devices</w:t>
            </w:r>
          </w:p>
        </w:tc>
        <w:tc>
          <w:tcPr>
            <w:tcW w:w="2160" w:type="dxa"/>
          </w:tcPr>
          <w:p w14:paraId="25AF3C54" w14:textId="1C2D0A48" w:rsidR="00A25EFE" w:rsidRDefault="008F61B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Deploy mobile device management solutions, mandate EDR installation on all devices accessing corporate networks and enforce conditional access policies</w:t>
            </w:r>
          </w:p>
        </w:tc>
      </w:tr>
    </w:tbl>
    <w:p w14:paraId="7192BAFB" w14:textId="77777777" w:rsidR="00A25EFE" w:rsidRDefault="0000000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ascii="Calibri" w:eastAsia="Calibri" w:hAnsi="Calibri" w:cs="Calibri"/>
          <w:color w:val="0000FF"/>
          <w:sz w:val="28"/>
          <w:szCs w:val="28"/>
        </w:rPr>
      </w:pPr>
      <w:r>
        <w:rPr>
          <w:rFonts w:ascii="Calibri" w:eastAsia="Calibri" w:hAnsi="Calibri" w:cs="Calibri"/>
          <w:color w:val="0000FF"/>
          <w:sz w:val="28"/>
          <w:szCs w:val="28"/>
        </w:rPr>
        <w:t>Risk Criteria</w:t>
      </w:r>
    </w:p>
    <w:p w14:paraId="251C2785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below explains what each item in the Risk Assessment means.</w:t>
      </w:r>
    </w:p>
    <w:p w14:paraId="4424E85E" w14:textId="77777777" w:rsidR="00A25EFE" w:rsidRDefault="00A25E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502" w:type="dxa"/>
        <w:tblInd w:w="-5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946"/>
        <w:gridCol w:w="7556"/>
      </w:tblGrid>
      <w:tr w:rsidR="00A25EFE" w14:paraId="77E81E2E" w14:textId="77777777" w:rsidTr="00A2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tcW w:w="1946" w:type="dxa"/>
            <w:shd w:val="clear" w:color="auto" w:fill="0000FF"/>
            <w:vAlign w:val="center"/>
          </w:tcPr>
          <w:p w14:paraId="56F329D3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  <w:tc>
          <w:tcPr>
            <w:tcW w:w="7556" w:type="dxa"/>
            <w:shd w:val="clear" w:color="auto" w:fill="0000FF"/>
            <w:vAlign w:val="center"/>
          </w:tcPr>
          <w:p w14:paraId="49986F06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</w:tr>
      <w:tr w:rsidR="00A25EFE" w14:paraId="511E10C8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1EDAC539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Risk Description</w:t>
            </w:r>
          </w:p>
        </w:tc>
        <w:tc>
          <w:tcPr>
            <w:tcW w:w="7556" w:type="dxa"/>
          </w:tcPr>
          <w:p w14:paraId="49CCCE95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Detailed explanation of the scenario, what could go wrong, and why it matters.</w:t>
            </w:r>
          </w:p>
        </w:tc>
      </w:tr>
      <w:tr w:rsidR="00A25EFE" w14:paraId="783EA21D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09769CA8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lastRenderedPageBreak/>
              <w:t xml:space="preserve">Assets at Risk </w:t>
            </w:r>
          </w:p>
        </w:tc>
        <w:tc>
          <w:tcPr>
            <w:tcW w:w="7556" w:type="dxa"/>
            <w:shd w:val="clear" w:color="auto" w:fill="auto"/>
          </w:tcPr>
          <w:p w14:paraId="26647DE6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information, system, or service impacted (e.g. customer data, VDI environment).</w:t>
            </w:r>
          </w:p>
        </w:tc>
      </w:tr>
      <w:tr w:rsidR="00A25EFE" w14:paraId="61B5059E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15DE3045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Threat </w:t>
            </w:r>
          </w:p>
        </w:tc>
        <w:tc>
          <w:tcPr>
            <w:tcW w:w="7556" w:type="dxa"/>
          </w:tcPr>
          <w:p w14:paraId="07EE72C1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Who or what could cause the risk (e.g., insider, cybercriminal, accident, malware). The action or event (e.g., data exfiltration, privilege misuse, physical theft).</w:t>
            </w:r>
          </w:p>
        </w:tc>
      </w:tr>
      <w:tr w:rsidR="00A25EFE" w14:paraId="7ADCC8CD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78A55E61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Vulnerability</w:t>
            </w:r>
          </w:p>
        </w:tc>
        <w:tc>
          <w:tcPr>
            <w:tcW w:w="7556" w:type="dxa"/>
            <w:shd w:val="clear" w:color="auto" w:fill="auto"/>
          </w:tcPr>
          <w:p w14:paraId="7B22A33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Weakness – the gap or condition that enables the threat (e.g., extended idle session, clipboard sharing).</w:t>
            </w:r>
          </w:p>
        </w:tc>
      </w:tr>
      <w:tr w:rsidR="00A25EFE" w14:paraId="10BC2993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03104D7F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Existing Controls</w:t>
            </w:r>
          </w:p>
        </w:tc>
        <w:tc>
          <w:tcPr>
            <w:tcW w:w="7556" w:type="dxa"/>
          </w:tcPr>
          <w:p w14:paraId="2379BFB4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Current safeguards in place (e.g., MFA, logging, endpoint DLP).</w:t>
            </w:r>
          </w:p>
        </w:tc>
      </w:tr>
      <w:tr w:rsidR="00A25EFE" w14:paraId="3BE96CEB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1D9393F8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Inherent Risk Rating </w:t>
            </w:r>
          </w:p>
        </w:tc>
        <w:tc>
          <w:tcPr>
            <w:tcW w:w="7556" w:type="dxa"/>
            <w:shd w:val="clear" w:color="auto" w:fill="auto"/>
          </w:tcPr>
          <w:p w14:paraId="41A040F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Risk level before any mitigations are applied.</w:t>
            </w:r>
          </w:p>
        </w:tc>
      </w:tr>
      <w:tr w:rsidR="00A25EFE" w14:paraId="7CDAA62E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050452C2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Residual Risk Rating </w:t>
            </w:r>
          </w:p>
        </w:tc>
        <w:tc>
          <w:tcPr>
            <w:tcW w:w="7556" w:type="dxa"/>
          </w:tcPr>
          <w:p w14:paraId="11E798B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Risk level after current controls are considered.</w:t>
            </w:r>
          </w:p>
        </w:tc>
      </w:tr>
      <w:tr w:rsidR="00A25EFE" w14:paraId="49542EE4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6B261CA8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Likelihood </w:t>
            </w:r>
          </w:p>
        </w:tc>
        <w:tc>
          <w:tcPr>
            <w:tcW w:w="7556" w:type="dxa"/>
            <w:shd w:val="clear" w:color="auto" w:fill="auto"/>
          </w:tcPr>
          <w:p w14:paraId="3026533E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probability of occurrence (e.g., Rare, Possible, Likely).</w:t>
            </w:r>
          </w:p>
        </w:tc>
      </w:tr>
      <w:tr w:rsidR="00A25EFE" w14:paraId="34134F5E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3D97B19A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Consequence </w:t>
            </w:r>
          </w:p>
        </w:tc>
        <w:tc>
          <w:tcPr>
            <w:tcW w:w="7556" w:type="dxa"/>
          </w:tcPr>
          <w:p w14:paraId="7F853370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Severity – level of damage if realised (e.g., Minor, Moderate, Major, Extreme).</w:t>
            </w:r>
          </w:p>
        </w:tc>
      </w:tr>
      <w:tr w:rsidR="00A25EFE" w14:paraId="62CDB9A2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63D89067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Rating </w:t>
            </w:r>
          </w:p>
        </w:tc>
        <w:tc>
          <w:tcPr>
            <w:tcW w:w="7556" w:type="dxa"/>
            <w:shd w:val="clear" w:color="auto" w:fill="auto"/>
          </w:tcPr>
          <w:p w14:paraId="0628B5A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outcome of the risk likelihood and consequence evaluation.</w:t>
            </w:r>
          </w:p>
        </w:tc>
      </w:tr>
      <w:tr w:rsidR="00A25EFE" w14:paraId="4681D46E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09576042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Mitigations</w:t>
            </w:r>
          </w:p>
        </w:tc>
        <w:tc>
          <w:tcPr>
            <w:tcW w:w="7556" w:type="dxa"/>
          </w:tcPr>
          <w:p w14:paraId="781486BC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Treatment Plan – actions to reduce, transfer, avoid, or accept the risk.</w:t>
            </w:r>
          </w:p>
        </w:tc>
      </w:tr>
      <w:tr w:rsidR="00A25EFE" w14:paraId="1251F39C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7DBF5CCB" w14:textId="77777777" w:rsidR="00A25EFE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Risk Owner </w:t>
            </w:r>
          </w:p>
        </w:tc>
        <w:tc>
          <w:tcPr>
            <w:tcW w:w="7556" w:type="dxa"/>
            <w:shd w:val="clear" w:color="auto" w:fill="auto"/>
          </w:tcPr>
          <w:p w14:paraId="3157D9F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Person or role accountable for managing the risk (e.g., the person who uses the software)  </w:t>
            </w:r>
          </w:p>
        </w:tc>
      </w:tr>
    </w:tbl>
    <w:p w14:paraId="6CFB6C74" w14:textId="77777777" w:rsidR="00A25EFE" w:rsidRDefault="00A25E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C949B" w14:textId="77777777" w:rsidR="00A25EFE" w:rsidRDefault="00A25EFE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3A5DB887" w14:textId="77777777" w:rsidR="00A25EFE" w:rsidRDefault="00A25EFE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387CF20E" w14:textId="77777777" w:rsidR="00A25EFE" w:rsidRDefault="00A25EFE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2C5EC2DA" w14:textId="77777777" w:rsidR="00A25EFE" w:rsidRDefault="00A25EFE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4A65EEC6" w14:textId="77777777" w:rsidR="00A25EFE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  <w:r>
        <w:rPr>
          <w:rFonts w:ascii="Calibri" w:eastAsia="Calibri" w:hAnsi="Calibri" w:cs="Calibri"/>
          <w:b/>
          <w:color w:val="0000FF"/>
          <w:sz w:val="28"/>
          <w:szCs w:val="28"/>
        </w:rPr>
        <w:t>Risk Assessment</w:t>
      </w:r>
    </w:p>
    <w:p w14:paraId="43860A01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Complete this assessment for at least 3 risks. </w:t>
      </w:r>
    </w:p>
    <w:p w14:paraId="083AADAC" w14:textId="77777777" w:rsidR="00A25EFE" w:rsidRDefault="00A25E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926" w:type="dxa"/>
        <w:jc w:val="center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838"/>
        <w:gridCol w:w="851"/>
        <w:gridCol w:w="2268"/>
        <w:gridCol w:w="850"/>
        <w:gridCol w:w="887"/>
        <w:gridCol w:w="2232"/>
      </w:tblGrid>
      <w:tr w:rsidR="00A25EFE" w14:paraId="067F94FA" w14:textId="77777777" w:rsidTr="00A2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jc w:val="center"/>
        </w:trPr>
        <w:tc>
          <w:tcPr>
            <w:tcW w:w="8926" w:type="dxa"/>
            <w:gridSpan w:val="6"/>
            <w:vAlign w:val="center"/>
          </w:tcPr>
          <w:p w14:paraId="4E2542C6" w14:textId="77777777" w:rsidR="00A25EFE" w:rsidRDefault="00000000">
            <w:pPr>
              <w:spacing w:before="120" w:after="120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  <w:b w:val="0"/>
                <w:color w:val="000000"/>
              </w:rPr>
              <w:t>Risk Details</w:t>
            </w:r>
          </w:p>
        </w:tc>
      </w:tr>
      <w:tr w:rsidR="00A25EFE" w14:paraId="692BE0E7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6782F5A3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ID </w:t>
            </w:r>
          </w:p>
        </w:tc>
        <w:tc>
          <w:tcPr>
            <w:tcW w:w="3119" w:type="dxa"/>
            <w:gridSpan w:val="2"/>
          </w:tcPr>
          <w:p w14:paraId="26165E9C" w14:textId="77777777" w:rsidR="00A25EFE" w:rsidRDefault="00A25EFE">
            <w:pPr>
              <w:rPr>
                <w:color w:val="1D1A1D"/>
              </w:rPr>
            </w:pPr>
          </w:p>
        </w:tc>
        <w:tc>
          <w:tcPr>
            <w:tcW w:w="1737" w:type="dxa"/>
            <w:gridSpan w:val="2"/>
            <w:shd w:val="clear" w:color="auto" w:fill="F8F0DB"/>
          </w:tcPr>
          <w:p w14:paraId="43384BD5" w14:textId="77777777" w:rsidR="00A25EFE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Date Identified</w:t>
            </w:r>
          </w:p>
        </w:tc>
        <w:tc>
          <w:tcPr>
            <w:tcW w:w="2232" w:type="dxa"/>
          </w:tcPr>
          <w:p w14:paraId="61C1F6F4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12F21661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535FFE32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Title 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24A79CCE" w14:textId="77777777" w:rsidR="00A25EFE" w:rsidRDefault="00A25EFE">
            <w:pPr>
              <w:rPr>
                <w:color w:val="1D1A1D"/>
              </w:rPr>
            </w:pPr>
          </w:p>
        </w:tc>
        <w:tc>
          <w:tcPr>
            <w:tcW w:w="1737" w:type="dxa"/>
            <w:gridSpan w:val="2"/>
            <w:shd w:val="clear" w:color="auto" w:fill="F8F0DB"/>
          </w:tcPr>
          <w:p w14:paraId="4D37601B" w14:textId="77777777" w:rsidR="00A25EFE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Review Date</w:t>
            </w:r>
          </w:p>
        </w:tc>
        <w:tc>
          <w:tcPr>
            <w:tcW w:w="2232" w:type="dxa"/>
            <w:shd w:val="clear" w:color="auto" w:fill="auto"/>
          </w:tcPr>
          <w:p w14:paraId="606EBA68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03DBC96E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6C513E9C" w14:textId="77777777" w:rsidR="00A25EFE" w:rsidRDefault="00000000">
            <w:pPr>
              <w:rPr>
                <w:b/>
                <w:color w:val="FFFFFF"/>
              </w:rPr>
            </w:pPr>
            <w:r>
              <w:rPr>
                <w:b/>
              </w:rPr>
              <w:t>Risk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</w:rPr>
              <w:t>Identification</w:t>
            </w:r>
          </w:p>
        </w:tc>
      </w:tr>
      <w:tr w:rsidR="00A25EFE" w14:paraId="4CDD7212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21CB4406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Risk Description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0DFD6377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48341D3B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666DEBF6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Assets at Risk </w:t>
            </w:r>
          </w:p>
        </w:tc>
        <w:tc>
          <w:tcPr>
            <w:tcW w:w="7088" w:type="dxa"/>
            <w:gridSpan w:val="5"/>
          </w:tcPr>
          <w:p w14:paraId="22022AE3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397FF4D0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12524750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lastRenderedPageBreak/>
              <w:t xml:space="preserve">Threat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79868A98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3BA33392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7CDF9252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Vulnerability</w:t>
            </w:r>
          </w:p>
        </w:tc>
        <w:tc>
          <w:tcPr>
            <w:tcW w:w="7088" w:type="dxa"/>
            <w:gridSpan w:val="5"/>
          </w:tcPr>
          <w:p w14:paraId="27FD4DED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6F658EA7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7EFE43E6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Existing Controls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7B7FC2EA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00499F31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261EA26B" w14:textId="77777777" w:rsidR="00A25EFE" w:rsidRDefault="00000000">
            <w:pPr>
              <w:rPr>
                <w:b/>
                <w:color w:val="FFFFFF"/>
              </w:rPr>
            </w:pPr>
            <w:r>
              <w:rPr>
                <w:b/>
              </w:rPr>
              <w:t>Inherent Risk Analysis</w:t>
            </w:r>
          </w:p>
        </w:tc>
      </w:tr>
      <w:tr w:rsidR="00A25EFE" w14:paraId="57D10911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F8F0DB"/>
          </w:tcPr>
          <w:p w14:paraId="236CD6BF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shd w:val="clear" w:color="auto" w:fill="F8F0DB"/>
          </w:tcPr>
          <w:p w14:paraId="21771CDB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9" w:type="dxa"/>
            <w:gridSpan w:val="2"/>
            <w:shd w:val="clear" w:color="auto" w:fill="F8F0DB"/>
          </w:tcPr>
          <w:p w14:paraId="719AB9A6" w14:textId="77777777" w:rsidR="00A25EFE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Inherent Risk Rating</w:t>
            </w:r>
          </w:p>
        </w:tc>
      </w:tr>
      <w:tr w:rsidR="00A25EFE" w14:paraId="49EED4C8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vAlign w:val="center"/>
          </w:tcPr>
          <w:p w14:paraId="0955C372" w14:textId="77777777" w:rsidR="00A25EFE" w:rsidRDefault="00A25EFE">
            <w:pPr>
              <w:jc w:val="center"/>
              <w:rPr>
                <w:b/>
                <w:color w:val="1D1A1D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3A379FF7" w14:textId="77777777" w:rsidR="00A25EFE" w:rsidRDefault="00A25EFE">
            <w:pPr>
              <w:jc w:val="center"/>
              <w:rPr>
                <w:color w:val="1D1A1D"/>
              </w:rPr>
            </w:pPr>
          </w:p>
        </w:tc>
        <w:tc>
          <w:tcPr>
            <w:tcW w:w="3119" w:type="dxa"/>
            <w:gridSpan w:val="2"/>
            <w:vAlign w:val="center"/>
          </w:tcPr>
          <w:p w14:paraId="03009F60" w14:textId="77777777" w:rsidR="00A25EFE" w:rsidRDefault="00A25EFE">
            <w:pPr>
              <w:jc w:val="center"/>
              <w:rPr>
                <w:color w:val="1D1A1D"/>
              </w:rPr>
            </w:pPr>
          </w:p>
        </w:tc>
      </w:tr>
      <w:tr w:rsidR="00A25EFE" w14:paraId="5E338235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6A65CB42" w14:textId="77777777" w:rsidR="00A25EFE" w:rsidRDefault="00000000">
            <w:pPr>
              <w:rPr>
                <w:b/>
              </w:rPr>
            </w:pPr>
            <w:r>
              <w:rPr>
                <w:b/>
              </w:rPr>
              <w:t>Residual Risk Analysis</w:t>
            </w:r>
          </w:p>
        </w:tc>
      </w:tr>
      <w:tr w:rsidR="00A25EFE" w14:paraId="3774BEC4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F8F0DB"/>
          </w:tcPr>
          <w:p w14:paraId="79172648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shd w:val="clear" w:color="auto" w:fill="F8F0DB"/>
          </w:tcPr>
          <w:p w14:paraId="0824A21A" w14:textId="77777777" w:rsidR="00A25EFE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9" w:type="dxa"/>
            <w:gridSpan w:val="2"/>
            <w:shd w:val="clear" w:color="auto" w:fill="F8F0DB"/>
          </w:tcPr>
          <w:p w14:paraId="006B825C" w14:textId="77777777" w:rsidR="00A25EFE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Residual Risk Rating</w:t>
            </w:r>
          </w:p>
        </w:tc>
      </w:tr>
      <w:tr w:rsidR="00A25EFE" w14:paraId="5C01C97C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auto"/>
            <w:vAlign w:val="center"/>
          </w:tcPr>
          <w:p w14:paraId="14C739A7" w14:textId="77777777" w:rsidR="00A25EFE" w:rsidRDefault="00A25EFE">
            <w:pPr>
              <w:jc w:val="center"/>
              <w:rPr>
                <w:b/>
                <w:color w:val="1D1A1D"/>
              </w:rPr>
            </w:pP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39FB6F72" w14:textId="77777777" w:rsidR="00A25EFE" w:rsidRDefault="00A25EFE">
            <w:pPr>
              <w:jc w:val="center"/>
              <w:rPr>
                <w:color w:val="1D1A1D"/>
              </w:rPr>
            </w:pPr>
          </w:p>
        </w:tc>
        <w:tc>
          <w:tcPr>
            <w:tcW w:w="3119" w:type="dxa"/>
            <w:gridSpan w:val="2"/>
            <w:shd w:val="clear" w:color="auto" w:fill="auto"/>
            <w:vAlign w:val="center"/>
          </w:tcPr>
          <w:p w14:paraId="7DEF2F98" w14:textId="77777777" w:rsidR="00A25EFE" w:rsidRDefault="00A25EFE">
            <w:pPr>
              <w:jc w:val="center"/>
              <w:rPr>
                <w:color w:val="1D1A1D"/>
              </w:rPr>
            </w:pPr>
          </w:p>
        </w:tc>
      </w:tr>
      <w:tr w:rsidR="00A25EFE" w14:paraId="29F82C41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4B9B9035" w14:textId="77777777" w:rsidR="00A25EFE" w:rsidRDefault="00000000">
            <w:pPr>
              <w:rPr>
                <w:b/>
              </w:rPr>
            </w:pPr>
            <w:r>
              <w:rPr>
                <w:b/>
              </w:rPr>
              <w:t>Risk Treatment</w:t>
            </w:r>
          </w:p>
        </w:tc>
      </w:tr>
      <w:tr w:rsidR="00A25EFE" w14:paraId="653C4180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30C67BC7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Mitigations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498743AE" w14:textId="77777777" w:rsidR="00A25EFE" w:rsidRDefault="00A25EFE">
            <w:pPr>
              <w:rPr>
                <w:color w:val="1D1A1D"/>
              </w:rPr>
            </w:pPr>
          </w:p>
        </w:tc>
      </w:tr>
      <w:tr w:rsidR="00A25EFE" w14:paraId="31BC83CD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53A9BCCA" w14:textId="77777777" w:rsidR="00A25EFE" w:rsidRDefault="00000000">
            <w:pPr>
              <w:rPr>
                <w:b/>
              </w:rPr>
            </w:pPr>
            <w:r>
              <w:rPr>
                <w:b/>
              </w:rPr>
              <w:t>Risk Monitoring and Review</w:t>
            </w:r>
          </w:p>
        </w:tc>
      </w:tr>
      <w:tr w:rsidR="00A25EFE" w14:paraId="48619E38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838" w:type="dxa"/>
            <w:shd w:val="clear" w:color="auto" w:fill="F8F0DB"/>
          </w:tcPr>
          <w:p w14:paraId="281910F6" w14:textId="77777777" w:rsidR="00A25EFE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Owner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64AC7DC3" w14:textId="77777777" w:rsidR="00A25EFE" w:rsidRDefault="00A25EFE">
            <w:pPr>
              <w:rPr>
                <w:color w:val="1D1A1D"/>
              </w:rPr>
            </w:pPr>
          </w:p>
        </w:tc>
      </w:tr>
    </w:tbl>
    <w:p w14:paraId="63FFB843" w14:textId="77777777" w:rsidR="00A25EFE" w:rsidRDefault="00A25EFE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1"/>
        <w:gridCol w:w="8299"/>
      </w:tblGrid>
      <w:tr w:rsidR="00A25EFE" w14:paraId="7D111EDB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4CCE16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To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8B0379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 Person Person</w:t>
            </w:r>
          </w:p>
        </w:tc>
      </w:tr>
      <w:tr w:rsidR="00A25EFE" w14:paraId="3F574A1A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4D9B8F6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Cc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998384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A25EFE" w14:paraId="60FA222F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2C297B2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Bcc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E424FBF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A25EFE" w14:paraId="1F796DA4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FE5012" w14:textId="77777777" w:rsidR="00A25EF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Subject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552AB11" w14:textId="77777777" w:rsidR="00A25EFE" w:rsidRDefault="00A25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5EFE" w14:paraId="2F9CE321" w14:textId="77777777">
        <w:trPr>
          <w:trHeight w:val="2000"/>
        </w:trPr>
        <w:tc>
          <w:tcPr>
            <w:tcW w:w="9359" w:type="dxa"/>
            <w:gridSpan w:val="2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tcMar>
              <w:top w:w="240" w:type="dxa"/>
              <w:left w:w="144" w:type="dxa"/>
              <w:bottom w:w="144" w:type="dxa"/>
              <w:right w:w="144" w:type="dxa"/>
            </w:tcMar>
          </w:tcPr>
          <w:p w14:paraId="106FE47A" w14:textId="77777777" w:rsidR="00A25EFE" w:rsidRDefault="00A25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</w:tbl>
    <w:p w14:paraId="30C2356B" w14:textId="77777777" w:rsidR="00A25EFE" w:rsidRDefault="00A25EFE"/>
    <w:p w14:paraId="258807D7" w14:textId="77777777" w:rsidR="00A25EFE" w:rsidRDefault="00A25EFE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</w:p>
    <w:p w14:paraId="6EA17EE5" w14:textId="77777777" w:rsidR="00A25EFE" w:rsidRDefault="00A25EFE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</w:p>
    <w:p w14:paraId="448E1572" w14:textId="77777777" w:rsidR="00A25EFE" w:rsidRDefault="00000000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  <w:r>
        <w:rPr>
          <w:rFonts w:ascii="Calibri" w:eastAsia="Calibri" w:hAnsi="Calibri" w:cs="Calibri"/>
          <w:color w:val="0000FF"/>
          <w:sz w:val="28"/>
          <w:szCs w:val="28"/>
        </w:rPr>
        <w:t>Cybersecurity Risk Prioritisation Matrix</w:t>
      </w:r>
    </w:p>
    <w:p w14:paraId="19D992CE" w14:textId="77777777" w:rsidR="00A25EFE" w:rsidRDefault="00A25EFE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AE19AE3" w14:textId="77777777" w:rsidR="00A25EFE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Understanding the Likelihood Rating</w:t>
      </w:r>
    </w:p>
    <w:p w14:paraId="4BFFDD31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table below provides the categories and ratings for likelihood:</w:t>
      </w:r>
    </w:p>
    <w:tbl>
      <w:tblPr>
        <w:tblStyle w:val="a3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720"/>
        <w:gridCol w:w="2660"/>
        <w:gridCol w:w="6420"/>
      </w:tblGrid>
      <w:tr w:rsidR="00A25EFE" w14:paraId="0DCD73D9" w14:textId="77777777" w:rsidTr="00A2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"/>
          <w:tblHeader/>
        </w:trPr>
        <w:tc>
          <w:tcPr>
            <w:tcW w:w="1720" w:type="dxa"/>
            <w:shd w:val="clear" w:color="auto" w:fill="0000FF"/>
            <w:vAlign w:val="center"/>
          </w:tcPr>
          <w:p w14:paraId="31D57BC4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lastRenderedPageBreak/>
              <w:t>Likelihood Ratings</w:t>
            </w:r>
          </w:p>
        </w:tc>
        <w:tc>
          <w:tcPr>
            <w:tcW w:w="2660" w:type="dxa"/>
            <w:shd w:val="clear" w:color="auto" w:fill="0000FF"/>
            <w:vAlign w:val="center"/>
          </w:tcPr>
          <w:p w14:paraId="65F9D54F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  <w:tc>
          <w:tcPr>
            <w:tcW w:w="6420" w:type="dxa"/>
            <w:shd w:val="clear" w:color="auto" w:fill="0000FF"/>
            <w:vAlign w:val="center"/>
          </w:tcPr>
          <w:p w14:paraId="3C792000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</w:tr>
      <w:tr w:rsidR="00A25EFE" w14:paraId="4D36FAB4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1"/>
        </w:trPr>
        <w:tc>
          <w:tcPr>
            <w:tcW w:w="1720" w:type="dxa"/>
            <w:vAlign w:val="center"/>
          </w:tcPr>
          <w:p w14:paraId="1DE20920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Rare (1)</w:t>
            </w:r>
          </w:p>
        </w:tc>
        <w:tc>
          <w:tcPr>
            <w:tcW w:w="2660" w:type="dxa"/>
          </w:tcPr>
          <w:p w14:paraId="0384DA6F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Exceptional circumstances only</w:t>
            </w:r>
          </w:p>
        </w:tc>
        <w:tc>
          <w:tcPr>
            <w:tcW w:w="6420" w:type="dxa"/>
          </w:tcPr>
          <w:p w14:paraId="1ABC8495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May occur only in very unusual situations </w:t>
            </w:r>
          </w:p>
        </w:tc>
      </w:tr>
      <w:tr w:rsidR="00A25EFE" w14:paraId="42C8FCD0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85"/>
        </w:trPr>
        <w:tc>
          <w:tcPr>
            <w:tcW w:w="1720" w:type="dxa"/>
            <w:shd w:val="clear" w:color="auto" w:fill="auto"/>
            <w:vAlign w:val="center"/>
          </w:tcPr>
          <w:p w14:paraId="513CBC88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Unlikely (2)</w:t>
            </w:r>
          </w:p>
        </w:tc>
        <w:tc>
          <w:tcPr>
            <w:tcW w:w="2660" w:type="dxa"/>
            <w:shd w:val="clear" w:color="auto" w:fill="auto"/>
          </w:tcPr>
          <w:p w14:paraId="221991E3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Possible, but not expected</w:t>
            </w:r>
          </w:p>
        </w:tc>
        <w:tc>
          <w:tcPr>
            <w:tcW w:w="6420" w:type="dxa"/>
            <w:shd w:val="clear" w:color="auto" w:fill="auto"/>
          </w:tcPr>
          <w:p w14:paraId="49FE7B32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Could happen but not typical; requires specific conditions (e.g. targeted phishing bypassing all filters).</w:t>
            </w:r>
          </w:p>
        </w:tc>
      </w:tr>
      <w:tr w:rsidR="00A25EFE" w14:paraId="7B720354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1"/>
        </w:trPr>
        <w:tc>
          <w:tcPr>
            <w:tcW w:w="1720" w:type="dxa"/>
            <w:vAlign w:val="center"/>
          </w:tcPr>
          <w:p w14:paraId="339794A0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Possible (3)</w:t>
            </w:r>
          </w:p>
        </w:tc>
        <w:tc>
          <w:tcPr>
            <w:tcW w:w="2660" w:type="dxa"/>
          </w:tcPr>
          <w:p w14:paraId="592D8887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Might occur at some point</w:t>
            </w:r>
          </w:p>
        </w:tc>
        <w:tc>
          <w:tcPr>
            <w:tcW w:w="6420" w:type="dxa"/>
          </w:tcPr>
          <w:p w14:paraId="42DB8B0B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Has occurred in similar organisations; realistic but not frequent (e.g. ransomware attempt on enterprise endpoint).</w:t>
            </w:r>
          </w:p>
        </w:tc>
      </w:tr>
      <w:tr w:rsidR="00A25EFE" w14:paraId="05ECC355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85"/>
        </w:trPr>
        <w:tc>
          <w:tcPr>
            <w:tcW w:w="1720" w:type="dxa"/>
            <w:shd w:val="clear" w:color="auto" w:fill="auto"/>
            <w:vAlign w:val="center"/>
          </w:tcPr>
          <w:p w14:paraId="5FF6A1A7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Likely (4)</w:t>
            </w:r>
          </w:p>
        </w:tc>
        <w:tc>
          <w:tcPr>
            <w:tcW w:w="2660" w:type="dxa"/>
            <w:shd w:val="clear" w:color="auto" w:fill="auto"/>
          </w:tcPr>
          <w:p w14:paraId="13A4727D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Will probably occur in most circumstances</w:t>
            </w:r>
          </w:p>
        </w:tc>
        <w:tc>
          <w:tcPr>
            <w:tcW w:w="6420" w:type="dxa"/>
            <w:shd w:val="clear" w:color="auto" w:fill="auto"/>
          </w:tcPr>
          <w:p w14:paraId="26C8F1B0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Expected to happen periodically (e.g. phishing emails, credential stuffing attempts).</w:t>
            </w:r>
          </w:p>
        </w:tc>
      </w:tr>
      <w:tr w:rsidR="00A25EFE" w14:paraId="6E15F530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1"/>
        </w:trPr>
        <w:tc>
          <w:tcPr>
            <w:tcW w:w="1720" w:type="dxa"/>
            <w:vAlign w:val="center"/>
          </w:tcPr>
          <w:p w14:paraId="670E57E9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Almost Certain (5)</w:t>
            </w:r>
          </w:p>
        </w:tc>
        <w:tc>
          <w:tcPr>
            <w:tcW w:w="2660" w:type="dxa"/>
          </w:tcPr>
          <w:p w14:paraId="2C4F8327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Expected to occur frequently</w:t>
            </w:r>
          </w:p>
        </w:tc>
        <w:tc>
          <w:tcPr>
            <w:tcW w:w="6420" w:type="dxa"/>
          </w:tcPr>
          <w:p w14:paraId="01672C2A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Has occurred multiple times, highly predictable (e.g. malware probes, daily scanning activity).</w:t>
            </w:r>
          </w:p>
        </w:tc>
      </w:tr>
    </w:tbl>
    <w:p w14:paraId="5B6C198A" w14:textId="77777777" w:rsidR="00A25EFE" w:rsidRDefault="00A25EF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CA61D" w14:textId="77777777" w:rsidR="00A25EFE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Understanding the Consequence Ratings Table</w:t>
      </w:r>
    </w:p>
    <w:p w14:paraId="2F1D7E5A" w14:textId="77777777" w:rsidR="00A25EF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table below provides the categories and ratings for impacts:</w:t>
      </w:r>
    </w:p>
    <w:tbl>
      <w:tblPr>
        <w:tblStyle w:val="a4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640"/>
        <w:gridCol w:w="2900"/>
        <w:gridCol w:w="6260"/>
      </w:tblGrid>
      <w:tr w:rsidR="00A25EFE" w14:paraId="7F1A061B" w14:textId="77777777" w:rsidTr="00A2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"/>
        </w:trPr>
        <w:tc>
          <w:tcPr>
            <w:tcW w:w="1640" w:type="dxa"/>
            <w:shd w:val="clear" w:color="auto" w:fill="0000FF"/>
            <w:vAlign w:val="center"/>
          </w:tcPr>
          <w:p w14:paraId="1985180B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Consequence Rating</w:t>
            </w:r>
          </w:p>
        </w:tc>
        <w:tc>
          <w:tcPr>
            <w:tcW w:w="2900" w:type="dxa"/>
            <w:shd w:val="clear" w:color="auto" w:fill="0000FF"/>
            <w:vAlign w:val="center"/>
          </w:tcPr>
          <w:p w14:paraId="21F80D34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  <w:tc>
          <w:tcPr>
            <w:tcW w:w="6260" w:type="dxa"/>
            <w:shd w:val="clear" w:color="auto" w:fill="0000FF"/>
            <w:vAlign w:val="center"/>
          </w:tcPr>
          <w:p w14:paraId="441F4800" w14:textId="77777777" w:rsidR="00A25EFE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</w:tr>
      <w:tr w:rsidR="00A25EFE" w14:paraId="11C3AE4D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tcW w:w="1640" w:type="dxa"/>
            <w:vAlign w:val="center"/>
          </w:tcPr>
          <w:p w14:paraId="24693F68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Insignificant (1)</w:t>
            </w:r>
          </w:p>
        </w:tc>
        <w:tc>
          <w:tcPr>
            <w:tcW w:w="2900" w:type="dxa"/>
          </w:tcPr>
          <w:p w14:paraId="74B24D86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Negligible impact</w:t>
            </w:r>
          </w:p>
        </w:tc>
        <w:tc>
          <w:tcPr>
            <w:tcW w:w="6260" w:type="dxa"/>
          </w:tcPr>
          <w:p w14:paraId="7754F83A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No compromise of sensitive data, no disruption, minimal financial or reputational impact.</w:t>
            </w:r>
          </w:p>
        </w:tc>
      </w:tr>
      <w:tr w:rsidR="00A25EFE" w14:paraId="74043E35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/>
        </w:trPr>
        <w:tc>
          <w:tcPr>
            <w:tcW w:w="1640" w:type="dxa"/>
            <w:shd w:val="clear" w:color="auto" w:fill="auto"/>
            <w:vAlign w:val="center"/>
          </w:tcPr>
          <w:p w14:paraId="1B0282BD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Minor (2)</w:t>
            </w:r>
          </w:p>
        </w:tc>
        <w:tc>
          <w:tcPr>
            <w:tcW w:w="2900" w:type="dxa"/>
            <w:shd w:val="clear" w:color="auto" w:fill="auto"/>
          </w:tcPr>
          <w:p w14:paraId="4A5E3A11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Small impact</w:t>
            </w:r>
          </w:p>
        </w:tc>
        <w:tc>
          <w:tcPr>
            <w:tcW w:w="6260" w:type="dxa"/>
            <w:shd w:val="clear" w:color="auto" w:fill="auto"/>
          </w:tcPr>
          <w:p w14:paraId="1BE67ADD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Limited operational disruption; minimal data exposure (non-sensitive data); easily contained.</w:t>
            </w:r>
          </w:p>
        </w:tc>
      </w:tr>
      <w:tr w:rsidR="00A25EFE" w14:paraId="3608590B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tcW w:w="1640" w:type="dxa"/>
            <w:vAlign w:val="center"/>
          </w:tcPr>
          <w:p w14:paraId="61D373DC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Moderate (3)</w:t>
            </w:r>
          </w:p>
        </w:tc>
        <w:tc>
          <w:tcPr>
            <w:tcW w:w="2900" w:type="dxa"/>
          </w:tcPr>
          <w:p w14:paraId="08109B76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Noticeable impact</w:t>
            </w:r>
          </w:p>
        </w:tc>
        <w:tc>
          <w:tcPr>
            <w:tcW w:w="6260" w:type="dxa"/>
          </w:tcPr>
          <w:p w14:paraId="0028BDDC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Partial service disruption; limited sensitive data exposure; moderate cost or compliance breach.</w:t>
            </w:r>
          </w:p>
        </w:tc>
      </w:tr>
      <w:tr w:rsidR="00A25EFE" w14:paraId="369CB3BA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/>
        </w:trPr>
        <w:tc>
          <w:tcPr>
            <w:tcW w:w="1640" w:type="dxa"/>
            <w:shd w:val="clear" w:color="auto" w:fill="auto"/>
            <w:vAlign w:val="center"/>
          </w:tcPr>
          <w:p w14:paraId="794CD6B5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Major (4)</w:t>
            </w:r>
          </w:p>
        </w:tc>
        <w:tc>
          <w:tcPr>
            <w:tcW w:w="2900" w:type="dxa"/>
            <w:shd w:val="clear" w:color="auto" w:fill="auto"/>
          </w:tcPr>
          <w:p w14:paraId="13D5D292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Severe impact</w:t>
            </w:r>
          </w:p>
        </w:tc>
        <w:tc>
          <w:tcPr>
            <w:tcW w:w="6260" w:type="dxa"/>
            <w:shd w:val="clear" w:color="auto" w:fill="auto"/>
          </w:tcPr>
          <w:p w14:paraId="0CFBE56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Significant outage of critical systems; large-scale sensitive data breach; regulatory non-compliance with penalties.</w:t>
            </w:r>
          </w:p>
        </w:tc>
      </w:tr>
      <w:tr w:rsidR="00A25EFE" w14:paraId="2069F09A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9"/>
        </w:trPr>
        <w:tc>
          <w:tcPr>
            <w:tcW w:w="1640" w:type="dxa"/>
            <w:vAlign w:val="center"/>
          </w:tcPr>
          <w:p w14:paraId="34A7C475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Extreme (5)</w:t>
            </w:r>
          </w:p>
        </w:tc>
        <w:tc>
          <w:tcPr>
            <w:tcW w:w="2900" w:type="dxa"/>
          </w:tcPr>
          <w:p w14:paraId="232886D6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Catastrophic impact</w:t>
            </w:r>
          </w:p>
        </w:tc>
        <w:tc>
          <w:tcPr>
            <w:tcW w:w="6260" w:type="dxa"/>
          </w:tcPr>
          <w:p w14:paraId="64C97A69" w14:textId="77777777" w:rsidR="00A25EFE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Extended enterprise-wide outage; compromise of PROTECTED/SECRET data; severe financial/reputational damage; possible criminal or regulatory prosecution.</w:t>
            </w:r>
          </w:p>
        </w:tc>
      </w:tr>
    </w:tbl>
    <w:p w14:paraId="1B401159" w14:textId="77777777" w:rsidR="00A25EFE" w:rsidRDefault="00A25EFE">
      <w:pPr>
        <w:spacing w:line="240" w:lineRule="auto"/>
        <w:jc w:val="center"/>
        <w:rPr>
          <w:b/>
          <w:sz w:val="36"/>
          <w:szCs w:val="36"/>
        </w:rPr>
      </w:pPr>
    </w:p>
    <w:p w14:paraId="03E64F2A" w14:textId="77777777" w:rsidR="00A25EFE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 xml:space="preserve">The 5x5 Risk Matrix </w:t>
      </w:r>
    </w:p>
    <w:p w14:paraId="3577AAD7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5x5 risk matrix to evaluate and prioritise cybersecurity risks. For each identified risk, assess its likelihood (1 = Rare, 5 = Almost Certain) and impact (1 = Insignificant, 5 = Critical). Plot the risk in the matrix and use the result to guide mitigation priorities.</w:t>
      </w:r>
    </w:p>
    <w:p w14:paraId="4AE1D6DE" w14:textId="77777777" w:rsidR="00A25EFE" w:rsidRDefault="00A25EFE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54FCD78B" w14:textId="77777777" w:rsidR="00A25EFE" w:rsidRDefault="00A25EFE">
      <w:pPr>
        <w:rPr>
          <w:rFonts w:ascii="Calibri" w:eastAsia="Calibri" w:hAnsi="Calibri" w:cs="Calibri"/>
          <w:sz w:val="24"/>
          <w:szCs w:val="24"/>
        </w:rPr>
      </w:pPr>
    </w:p>
    <w:p w14:paraId="02E5C19F" w14:textId="77777777" w:rsidR="00A25EFE" w:rsidRDefault="00A25EFE">
      <w:pPr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4341A73C" w14:textId="77777777" w:rsidR="00A25EFE" w:rsidRDefault="00A25EFE">
      <w:pPr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48B984A9" w14:textId="77777777" w:rsidR="00A25EFE" w:rsidRDefault="00000000">
      <w:pPr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Risk Levels</w:t>
      </w:r>
    </w:p>
    <w:p w14:paraId="10232C67" w14:textId="77777777" w:rsidR="00A25EFE" w:rsidRDefault="00A25EFE">
      <w:pPr>
        <w:rPr>
          <w:rFonts w:ascii="Calibri" w:eastAsia="Calibri" w:hAnsi="Calibri" w:cs="Calibri"/>
          <w:sz w:val="24"/>
          <w:szCs w:val="24"/>
        </w:rPr>
      </w:pPr>
    </w:p>
    <w:p w14:paraId="306B1933" w14:textId="77777777" w:rsidR="00A25EFE" w:rsidRDefault="00A25EFE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465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A25EFE" w14:paraId="00833D5A" w14:textId="77777777" w:rsidTr="00A25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"/>
          <w:tblHeader/>
        </w:trPr>
        <w:tc>
          <w:tcPr>
            <w:tcW w:w="1800" w:type="dxa"/>
            <w:vAlign w:val="center"/>
          </w:tcPr>
          <w:p w14:paraId="17B292B2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Likelihood ↓</w:t>
            </w:r>
          </w:p>
          <w:p w14:paraId="38B26FFC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Impact →</w:t>
            </w:r>
          </w:p>
        </w:tc>
        <w:tc>
          <w:tcPr>
            <w:tcW w:w="1800" w:type="dxa"/>
            <w:vAlign w:val="center"/>
          </w:tcPr>
          <w:p w14:paraId="307EEEAA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Insignificant (1)</w:t>
            </w:r>
          </w:p>
        </w:tc>
        <w:tc>
          <w:tcPr>
            <w:tcW w:w="1800" w:type="dxa"/>
            <w:vAlign w:val="center"/>
          </w:tcPr>
          <w:p w14:paraId="1096BA9D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Minor (2)</w:t>
            </w:r>
          </w:p>
        </w:tc>
        <w:tc>
          <w:tcPr>
            <w:tcW w:w="1800" w:type="dxa"/>
            <w:vAlign w:val="center"/>
          </w:tcPr>
          <w:p w14:paraId="0181DE20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Moderate (3)</w:t>
            </w:r>
          </w:p>
        </w:tc>
        <w:tc>
          <w:tcPr>
            <w:tcW w:w="1800" w:type="dxa"/>
            <w:vAlign w:val="center"/>
          </w:tcPr>
          <w:p w14:paraId="6E3310DE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Major (4)</w:t>
            </w:r>
          </w:p>
        </w:tc>
        <w:tc>
          <w:tcPr>
            <w:tcW w:w="1800" w:type="dxa"/>
            <w:vAlign w:val="center"/>
          </w:tcPr>
          <w:p w14:paraId="381B0B0A" w14:textId="77777777" w:rsidR="00A25EFE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Extreme (5)</w:t>
            </w:r>
          </w:p>
        </w:tc>
      </w:tr>
      <w:tr w:rsidR="00A25EFE" w14:paraId="5C79F7A0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43"/>
        </w:trPr>
        <w:tc>
          <w:tcPr>
            <w:tcW w:w="1800" w:type="dxa"/>
          </w:tcPr>
          <w:p w14:paraId="45D55A72" w14:textId="77777777" w:rsidR="00A25EFE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5 – Almost Certain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24FB9C76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63AE2006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2A0F791F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2EA6662A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40AA332C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 w:rsidR="00A25EFE" w14:paraId="173FE4F3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8"/>
        </w:trPr>
        <w:tc>
          <w:tcPr>
            <w:tcW w:w="1800" w:type="dxa"/>
            <w:shd w:val="clear" w:color="auto" w:fill="auto"/>
          </w:tcPr>
          <w:p w14:paraId="4E1D8A65" w14:textId="77777777" w:rsidR="00A25EFE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4 – Likely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5E53134A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3417EC7A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14D7E20F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390815D8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063AC262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 w:rsidR="00A25EFE" w14:paraId="7ED468F8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8"/>
        </w:trPr>
        <w:tc>
          <w:tcPr>
            <w:tcW w:w="1800" w:type="dxa"/>
          </w:tcPr>
          <w:p w14:paraId="093EEC5D" w14:textId="77777777" w:rsidR="00A25EFE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3 – Possible</w:t>
            </w:r>
          </w:p>
        </w:tc>
        <w:tc>
          <w:tcPr>
            <w:tcW w:w="1800" w:type="dxa"/>
            <w:shd w:val="clear" w:color="auto" w:fill="92D050"/>
            <w:vAlign w:val="center"/>
          </w:tcPr>
          <w:p w14:paraId="4DFE5419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30ED1248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11E32DC6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535FC1B2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1B96AF6B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 w:rsidR="00A25EFE" w14:paraId="00E0CAE5" w14:textId="77777777" w:rsidTr="00A25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8"/>
        </w:trPr>
        <w:tc>
          <w:tcPr>
            <w:tcW w:w="1800" w:type="dxa"/>
            <w:shd w:val="clear" w:color="auto" w:fill="auto"/>
          </w:tcPr>
          <w:p w14:paraId="35CBEEC6" w14:textId="77777777" w:rsidR="00A25EFE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2 – Unlikely</w:t>
            </w:r>
          </w:p>
        </w:tc>
        <w:tc>
          <w:tcPr>
            <w:tcW w:w="1800" w:type="dxa"/>
            <w:shd w:val="clear" w:color="auto" w:fill="92D050"/>
          </w:tcPr>
          <w:p w14:paraId="6B94055B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289E75B0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62159DB4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24FE824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7E89A08A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 w:rsidR="00A25EFE" w14:paraId="1FB87380" w14:textId="77777777" w:rsidTr="00A25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8"/>
        </w:trPr>
        <w:tc>
          <w:tcPr>
            <w:tcW w:w="1800" w:type="dxa"/>
          </w:tcPr>
          <w:p w14:paraId="4AD450F0" w14:textId="77777777" w:rsidR="00A25EFE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1 – Rare</w:t>
            </w:r>
          </w:p>
        </w:tc>
        <w:tc>
          <w:tcPr>
            <w:tcW w:w="1800" w:type="dxa"/>
            <w:shd w:val="clear" w:color="auto" w:fill="92D050"/>
          </w:tcPr>
          <w:p w14:paraId="4E31E54C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6B367F4E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24BEC65A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45CC3DA4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47659957" w14:textId="77777777" w:rsidR="00A25EFE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</w:tr>
    </w:tbl>
    <w:p w14:paraId="0233C7A0" w14:textId="77777777" w:rsidR="00A25EFE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Low</w:t>
      </w:r>
      <w:r>
        <w:rPr>
          <w:rFonts w:ascii="Calibri" w:eastAsia="Calibri" w:hAnsi="Calibri" w:cs="Calibri"/>
          <w:sz w:val="24"/>
          <w:szCs w:val="24"/>
        </w:rPr>
        <w:t> – Acceptable; manage by routine controls and monitoring. </w:t>
      </w:r>
    </w:p>
    <w:p w14:paraId="177DFB9A" w14:textId="77777777" w:rsidR="00A25EFE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Medium</w:t>
      </w:r>
      <w:r>
        <w:rPr>
          <w:rFonts w:ascii="Calibri" w:eastAsia="Calibri" w:hAnsi="Calibri" w:cs="Calibri"/>
          <w:sz w:val="24"/>
          <w:szCs w:val="24"/>
        </w:rPr>
        <w:t> – Requires management attention; additional controls may be needed. </w:t>
      </w:r>
    </w:p>
    <w:p w14:paraId="5729F872" w14:textId="77777777" w:rsidR="00A25EFE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High</w:t>
      </w:r>
      <w:r>
        <w:rPr>
          <w:rFonts w:ascii="Calibri" w:eastAsia="Calibri" w:hAnsi="Calibri" w:cs="Calibri"/>
          <w:sz w:val="24"/>
          <w:szCs w:val="24"/>
        </w:rPr>
        <w:t> – Significant; must be treated with priority, monitored closely, and escalated to senior management. </w:t>
      </w:r>
    </w:p>
    <w:p w14:paraId="002D126C" w14:textId="77777777" w:rsidR="00A25EFE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Extreme</w:t>
      </w:r>
      <w:r>
        <w:rPr>
          <w:rFonts w:ascii="Calibri" w:eastAsia="Calibri" w:hAnsi="Calibri" w:cs="Calibri"/>
          <w:sz w:val="24"/>
          <w:szCs w:val="24"/>
        </w:rPr>
        <w:t> – Unacceptable; immediate executive-level attention and remediation required. </w:t>
      </w:r>
    </w:p>
    <w:p w14:paraId="5C286704" w14:textId="77777777" w:rsidR="00A25EFE" w:rsidRDefault="00A25EFE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1504DD9F" w14:textId="77777777" w:rsidR="00A25EFE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Tips for Completing the Matrix</w:t>
      </w:r>
    </w:p>
    <w:p w14:paraId="76B6E477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Start by identifying the risk scenario (e.g., data breach, system outage).</w:t>
      </w:r>
    </w:p>
    <w:p w14:paraId="6167A2EA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Assign a likelihood score based on how often this type of risk occurs.</w:t>
      </w:r>
    </w:p>
    <w:p w14:paraId="5FE1C43F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Assign an impact score based on potential damage to operations, reputation, or finances.</w:t>
      </w:r>
    </w:p>
    <w:p w14:paraId="73328B89" w14:textId="77777777" w:rsidR="00A25EFE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Use the matrix to prioritise: risks in the top-right corner (high likelihood and impact) need urgent attention.</w:t>
      </w:r>
    </w:p>
    <w:p w14:paraId="75200120" w14:textId="77777777" w:rsidR="00A25EFE" w:rsidRDefault="00A25EFE"/>
    <w:sectPr w:rsidR="00A25E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FC07B49F-4CC5-4BE1-B0E8-F4A010F2C599}"/>
    <w:embedBold r:id="rId2" w:fontKey="{6D3FFB0E-3DA2-426C-A53E-E647B6835578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3" w:fontKey="{8169708A-D468-496F-BAA8-332B2B6EFB9A}"/>
    <w:embedBold r:id="rId4" w:fontKey="{72E2AD20-F4FA-4215-A6D9-E80C61603A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A761A0D-FF94-437E-A4CD-8D04085BAE36}"/>
    <w:embedBold r:id="rId6" w:fontKey="{48926B92-4F2B-4E34-8AB1-5F944EBF83DE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7" w:fontKey="{110A4A9C-E56E-4047-897D-61E24479BA6A}"/>
    <w:embedBold r:id="rId8" w:fontKey="{7C2928C9-B82B-4E3D-B24F-07B269620F35}"/>
  </w:font>
  <w:font w:name="Noto Sans Symbols">
    <w:charset w:val="00"/>
    <w:family w:val="auto"/>
    <w:pitch w:val="default"/>
    <w:embedRegular r:id="rId9" w:fontKey="{440FD38F-8EB9-4B41-90BF-0211BC85BD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CBFDEAE-9253-42E7-89A5-480D00DF2C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D4F4C"/>
    <w:multiLevelType w:val="multilevel"/>
    <w:tmpl w:val="7E807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8369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FE"/>
    <w:rsid w:val="00653D33"/>
    <w:rsid w:val="008F61BA"/>
    <w:rsid w:val="00A2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74A8"/>
  <w15:docId w15:val="{3B180E3F-E0C3-401B-BBA0-06CAE99A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1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4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5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961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Zahid Siddiqui</cp:lastModifiedBy>
  <cp:revision>2</cp:revision>
  <dcterms:created xsi:type="dcterms:W3CDTF">2026-09-18T00:39:00Z</dcterms:created>
  <dcterms:modified xsi:type="dcterms:W3CDTF">2026-09-18T01:08:00Z</dcterms:modified>
</cp:coreProperties>
</file>