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8.png" ContentType="image/png"/>
  <Override PartName="/word/media/rId51.png" ContentType="image/png"/>
  <Override PartName="/word/media/rId47.png" ContentType="image/png"/>
  <Override PartName="/word/media/rId55.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Housing</w:t>
      </w:r>
      <w:r>
        <w:t xml:space="preserve"> </w:t>
      </w:r>
      <w:r>
        <w:t xml:space="preserve">Prices</w:t>
      </w:r>
      <w:r>
        <w:t xml:space="preserve"> </w:t>
      </w:r>
      <w:r>
        <w:t xml:space="preserve">with</w:t>
      </w:r>
      <w:r>
        <w:t xml:space="preserve"> </w:t>
      </w:r>
      <w:r>
        <w:t xml:space="preserve">Machine</w:t>
      </w:r>
      <w:r>
        <w:t xml:space="preserve"> </w:t>
      </w:r>
      <w:r>
        <w:t xml:space="preserve">Learning</w:t>
      </w:r>
      <w:r>
        <w:t xml:space="preserve"> </w:t>
      </w:r>
      <w:r>
        <w:t xml:space="preserve">Models</w:t>
      </w:r>
    </w:p>
    <w:p>
      <w:pPr>
        <w:pStyle w:val="Author"/>
      </w:pPr>
      <w:r>
        <w:t xml:space="preserve">Antonio</w:t>
      </w:r>
      <w:r>
        <w:t xml:space="preserve"> </w:t>
      </w:r>
      <w:r>
        <w:t xml:space="preserve">Flores</w:t>
      </w:r>
    </w:p>
    <w:p>
      <w:pPr>
        <w:pStyle w:val="Date"/>
      </w:pPr>
      <w:r>
        <w:t xml:space="preserve">2024-08-08</w:t>
      </w:r>
    </w:p>
    <w:bookmarkStart w:id="20" w:name="abstract"/>
    <w:p>
      <w:pPr>
        <w:pStyle w:val="Heading1"/>
      </w:pPr>
      <w:r>
        <w:t xml:space="preserve">1. Abstract</w:t>
      </w:r>
    </w:p>
    <w:p>
      <w:pPr>
        <w:pStyle w:val="FirstParagraph"/>
      </w:pPr>
      <w:r>
        <w:t xml:space="preserve">There are many different variables that affect housing prices which can vary drastically. In order to make the best decisions about housing prices, it is useful to be able to predict the sales price of a house given a set of descriptors. This project will seek to identify a model for predicting housing prices using a dataset provided by Kaggle. This will be achieved by comparing the accuracy and predictive power of different machine learning models.</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Machine learning models provide a massive opportunity for real estate investors to identify housing prices by using a set of predictors. This project will utilize Regression Prediction. Unlike Classification Prediction, which attempts to predict a classifier based on given predictors, Regression Prediction seeks to identify a continuous value (e.g., x amount of dollars, x amount of cells). In our case, our response variable is a continuous variable, the sales price of a house.</w:t>
      </w:r>
    </w:p>
    <w:bookmarkEnd w:id="21"/>
    <w:bookmarkStart w:id="22" w:name="description-of-data"/>
    <w:p>
      <w:pPr>
        <w:pStyle w:val="Heading2"/>
      </w:pPr>
      <w:r>
        <w:t xml:space="preserve">2.2 Description of data</w:t>
      </w:r>
    </w:p>
    <w:p>
      <w:pPr>
        <w:pStyle w:val="FirstParagraph"/>
      </w:pPr>
      <w:r>
        <w:t xml:space="preserve">There are 1,460 records, 81 columns/variables. There is an ID column, as well as a response value, meaning there are 79 predictors, which include descriptors of the house in question. These include both categorical predictors as well as numerical predictors. Areas described by the predictors include, Basements, Garages, Bathrooms, Location, Age, and many, many others. Additionally, as mentioned, the response variable is the sales price of the house.</w:t>
      </w:r>
    </w:p>
    <w:bookmarkEnd w:id="22"/>
    <w:bookmarkStart w:id="23" w:name="questionshypotheses-to-be-addressed"/>
    <w:p>
      <w:pPr>
        <w:pStyle w:val="Heading2"/>
      </w:pPr>
      <w:r>
        <w:t xml:space="preserve">2.3 Questions/Hypotheses to be addressed</w:t>
      </w:r>
    </w:p>
    <w:p>
      <w:pPr>
        <w:pStyle w:val="FirstParagraph"/>
      </w:pPr>
      <w:r>
        <w:t xml:space="preserve">The research question I plan to address with my analysis is: which features are the best predictors of housing prices? Additionally, the desired output of this analysis is a machine learning model which allows real estate investors or other interested stakeholders to better make decisions regarding future real estate purchases.</w:t>
      </w:r>
    </w:p>
    <w:p>
      <w:r>
        <w:br w:type="page"/>
      </w:r>
    </w:p>
    <w:bookmarkEnd w:id="23"/>
    <w:bookmarkEnd w:id="24"/>
    <w:bookmarkStart w:id="31" w:name="methods"/>
    <w:p>
      <w:pPr>
        <w:pStyle w:val="Heading1"/>
      </w:pPr>
      <w:r>
        <w:t xml:space="preserve">3. Methods</w:t>
      </w:r>
    </w:p>
    <w:bookmarkStart w:id="30" w:name="data-import-and-cleaning"/>
    <w:p>
      <w:pPr>
        <w:pStyle w:val="Heading2"/>
      </w:pPr>
      <w:r>
        <w:t xml:space="preserve">3.1 Data import and cleaning</w:t>
      </w:r>
    </w:p>
    <w:bookmarkStart w:id="26" w:name="reading-in-the-data"/>
    <w:p>
      <w:pPr>
        <w:pStyle w:val="Heading3"/>
      </w:pPr>
      <w:r>
        <w:t xml:space="preserve">3.1.1 Reading in the Data</w:t>
      </w:r>
    </w:p>
    <w:tbl>
      <w:tblPr>
        <w:tblStyle w:val="Table"/>
        <w:tblW w:type="pct" w:w="5000"/>
        <w:tblLook w:firstRow="0" w:lastRow="0" w:firstColumn="0" w:lastColumn="0" w:noHBand="0" w:noVBand="0" w:val="0000"/>
        <w:jc w:val="start"/>
        <w:tblLayout w:type="fixed"/>
      </w:tblPr>
      <w:tblGrid>
        <w:gridCol w:w="7920"/>
      </w:tblGrid>
      <w:tr>
        <w:tc>
          <w:tcPr/>
          <w:bookmarkStart w:id="25" w:name="tbl-summarytable1"/>
          <w:p>
            <w:pPr>
              <w:jc w:val="center"/>
            </w:pPr>
            <w:pPr>
              <w:jc w:val="start"/>
              <w:spacing w:before="200"/>
              <w:pStyle w:val="ImageCaption"/>
            </w:pPr>
            <w:r>
              <w:t xml:space="preserve">Table 1: Data Snapshot of first 7 Variables</w:t>
            </w:r>
          </w:p>
          <w:tbl>
            <w:tblPr>
              <w:tblStyle w:val="Table"/>
              <w:tblW w:type="pct" w:w="5000"/>
              <w:tblLook w:firstRow="1" w:lastRow="0" w:firstColumn="0" w:lastColumn="0" w:noHBand="0" w:noVBand="0" w:val="0020"/>
              <w:jc w:val="start"/>
              <w:tblLayout w:type="fixed"/>
            </w:tblPr>
            <w:tblGrid>
              <w:gridCol w:w="365"/>
              <w:gridCol w:w="1340"/>
              <w:gridCol w:w="1096"/>
              <w:gridCol w:w="1462"/>
              <w:gridCol w:w="974"/>
              <w:gridCol w:w="852"/>
              <w:gridCol w:w="731"/>
              <w:gridCol w:w="1096"/>
            </w:tblGrid>
            <w:tr>
              <w:trPr>
                <w:tblHeader w:val="true"/>
              </w:trPr>
              <w:tc>
                <w:tcPr/>
                <w:p>
                  <w:pPr>
                    <w:pStyle w:val="Compact"/>
                    <w:jc w:val="right"/>
                    <w:jc w:val="center"/>
                  </w:pPr>
                  <w:r>
                    <w:t xml:space="preserve">Id</w:t>
                  </w:r>
                </w:p>
              </w:tc>
              <w:tc>
                <w:tcPr/>
                <w:p>
                  <w:pPr>
                    <w:pStyle w:val="Compact"/>
                    <w:jc w:val="right"/>
                    <w:jc w:val="center"/>
                  </w:pPr>
                  <w:r>
                    <w:t xml:space="preserve">MSSubClass</w:t>
                  </w:r>
                </w:p>
              </w:tc>
              <w:tc>
                <w:tcPr/>
                <w:p>
                  <w:pPr>
                    <w:pStyle w:val="Compact"/>
                    <w:jc w:val="left"/>
                    <w:jc w:val="center"/>
                  </w:pPr>
                  <w:r>
                    <w:t xml:space="preserve">MSZoning</w:t>
                  </w:r>
                </w:p>
              </w:tc>
              <w:tc>
                <w:tcPr/>
                <w:p>
                  <w:pPr>
                    <w:pStyle w:val="Compact"/>
                    <w:jc w:val="right"/>
                    <w:jc w:val="center"/>
                  </w:pPr>
                  <w:r>
                    <w:t xml:space="preserve">LotFrontage</w:t>
                  </w:r>
                </w:p>
              </w:tc>
              <w:tc>
                <w:tcPr/>
                <w:p>
                  <w:pPr>
                    <w:pStyle w:val="Compact"/>
                    <w:jc w:val="right"/>
                    <w:jc w:val="center"/>
                  </w:pPr>
                  <w:r>
                    <w:t xml:space="preserve">LotArea</w:t>
                  </w:r>
                </w:p>
              </w:tc>
              <w:tc>
                <w:tcPr/>
                <w:p>
                  <w:pPr>
                    <w:pStyle w:val="Compact"/>
                    <w:jc w:val="left"/>
                    <w:jc w:val="center"/>
                  </w:pPr>
                  <w:r>
                    <w:t xml:space="preserve">Street</w:t>
                  </w:r>
                </w:p>
              </w:tc>
              <w:tc>
                <w:tcPr/>
                <w:p>
                  <w:pPr>
                    <w:pStyle w:val="Compact"/>
                    <w:jc w:val="left"/>
                    <w:jc w:val="center"/>
                  </w:pPr>
                  <w:r>
                    <w:t xml:space="preserve">Alley</w:t>
                  </w:r>
                </w:p>
              </w:tc>
              <w:tc>
                <w:tcPr/>
                <w:p>
                  <w:pPr>
                    <w:pStyle w:val="Compact"/>
                    <w:jc w:val="left"/>
                    <w:jc w:val="center"/>
                  </w:pPr>
                  <w:r>
                    <w:t xml:space="preserve">LotShape</w:t>
                  </w:r>
                </w:p>
              </w:tc>
            </w:tr>
            <w:tr>
              <w:tc>
                <w:tcPr/>
                <w:p>
                  <w:pPr>
                    <w:pStyle w:val="Compact"/>
                    <w:jc w:val="right"/>
                    <w:jc w:val="center"/>
                  </w:pPr>
                  <w:r>
                    <w:t xml:space="preserve">1</w:t>
                  </w:r>
                </w:p>
              </w:tc>
              <w:tc>
                <w:tcPr/>
                <w:p>
                  <w:pPr>
                    <w:pStyle w:val="Compact"/>
                    <w:jc w:val="right"/>
                    <w:jc w:val="center"/>
                  </w:pPr>
                  <w:r>
                    <w:t xml:space="preserve">60</w:t>
                  </w:r>
                </w:p>
              </w:tc>
              <w:tc>
                <w:tcPr/>
                <w:p>
                  <w:pPr>
                    <w:pStyle w:val="Compact"/>
                    <w:jc w:val="left"/>
                    <w:jc w:val="center"/>
                  </w:pPr>
                  <w:r>
                    <w:t xml:space="preserve">RL</w:t>
                  </w:r>
                </w:p>
              </w:tc>
              <w:tc>
                <w:tcPr/>
                <w:p>
                  <w:pPr>
                    <w:pStyle w:val="Compact"/>
                    <w:jc w:val="right"/>
                    <w:jc w:val="center"/>
                  </w:pPr>
                  <w:r>
                    <w:t xml:space="preserve">65</w:t>
                  </w:r>
                </w:p>
              </w:tc>
              <w:tc>
                <w:tcPr/>
                <w:p>
                  <w:pPr>
                    <w:pStyle w:val="Compact"/>
                    <w:jc w:val="right"/>
                    <w:jc w:val="center"/>
                  </w:pPr>
                  <w:r>
                    <w:t xml:space="preserve">8450</w:t>
                  </w:r>
                </w:p>
              </w:tc>
              <w:tc>
                <w:tcPr/>
                <w:p>
                  <w:pPr>
                    <w:pStyle w:val="Compact"/>
                    <w:jc w:val="left"/>
                    <w:jc w:val="center"/>
                  </w:pPr>
                  <w:r>
                    <w:t xml:space="preserve">Pave</w:t>
                  </w:r>
                </w:p>
              </w:tc>
              <w:tc>
                <w:tcPr/>
                <w:p>
                  <w:pPr>
                    <w:pStyle w:val="Compact"/>
                    <w:jc w:val="left"/>
                    <w:jc w:val="center"/>
                  </w:pPr>
                  <w:r>
                    <w:t xml:space="preserve">NA</w:t>
                  </w:r>
                </w:p>
              </w:tc>
              <w:tc>
                <w:tcPr/>
                <w:p>
                  <w:pPr>
                    <w:pStyle w:val="Compact"/>
                    <w:jc w:val="left"/>
                    <w:jc w:val="center"/>
                  </w:pPr>
                  <w:r>
                    <w:t xml:space="preserve">Reg</w:t>
                  </w:r>
                </w:p>
              </w:tc>
            </w:tr>
            <w:tr>
              <w:tc>
                <w:tcPr/>
                <w:p>
                  <w:pPr>
                    <w:pStyle w:val="Compact"/>
                    <w:jc w:val="right"/>
                    <w:jc w:val="center"/>
                  </w:pPr>
                  <w:r>
                    <w:t xml:space="preserve">2</w:t>
                  </w:r>
                </w:p>
              </w:tc>
              <w:tc>
                <w:tcPr/>
                <w:p>
                  <w:pPr>
                    <w:pStyle w:val="Compact"/>
                    <w:jc w:val="right"/>
                    <w:jc w:val="center"/>
                  </w:pPr>
                  <w:r>
                    <w:t xml:space="preserve">20</w:t>
                  </w:r>
                </w:p>
              </w:tc>
              <w:tc>
                <w:tcPr/>
                <w:p>
                  <w:pPr>
                    <w:pStyle w:val="Compact"/>
                    <w:jc w:val="left"/>
                    <w:jc w:val="center"/>
                  </w:pPr>
                  <w:r>
                    <w:t xml:space="preserve">RL</w:t>
                  </w:r>
                </w:p>
              </w:tc>
              <w:tc>
                <w:tcPr/>
                <w:p>
                  <w:pPr>
                    <w:pStyle w:val="Compact"/>
                    <w:jc w:val="right"/>
                    <w:jc w:val="center"/>
                  </w:pPr>
                  <w:r>
                    <w:t xml:space="preserve">80</w:t>
                  </w:r>
                </w:p>
              </w:tc>
              <w:tc>
                <w:tcPr/>
                <w:p>
                  <w:pPr>
                    <w:pStyle w:val="Compact"/>
                    <w:jc w:val="right"/>
                    <w:jc w:val="center"/>
                  </w:pPr>
                  <w:r>
                    <w:t xml:space="preserve">9600</w:t>
                  </w:r>
                </w:p>
              </w:tc>
              <w:tc>
                <w:tcPr/>
                <w:p>
                  <w:pPr>
                    <w:pStyle w:val="Compact"/>
                    <w:jc w:val="left"/>
                    <w:jc w:val="center"/>
                  </w:pPr>
                  <w:r>
                    <w:t xml:space="preserve">Pave</w:t>
                  </w:r>
                </w:p>
              </w:tc>
              <w:tc>
                <w:tcPr/>
                <w:p>
                  <w:pPr>
                    <w:pStyle w:val="Compact"/>
                    <w:jc w:val="left"/>
                    <w:jc w:val="center"/>
                  </w:pPr>
                  <w:r>
                    <w:t xml:space="preserve">NA</w:t>
                  </w:r>
                </w:p>
              </w:tc>
              <w:tc>
                <w:tcPr/>
                <w:p>
                  <w:pPr>
                    <w:pStyle w:val="Compact"/>
                    <w:jc w:val="left"/>
                    <w:jc w:val="center"/>
                  </w:pPr>
                  <w:r>
                    <w:t xml:space="preserve">Reg</w:t>
                  </w:r>
                </w:p>
              </w:tc>
            </w:tr>
            <w:tr>
              <w:tc>
                <w:tcPr/>
                <w:p>
                  <w:pPr>
                    <w:pStyle w:val="Compact"/>
                    <w:jc w:val="right"/>
                    <w:jc w:val="center"/>
                  </w:pPr>
                  <w:r>
                    <w:t xml:space="preserve">3</w:t>
                  </w:r>
                </w:p>
              </w:tc>
              <w:tc>
                <w:tcPr/>
                <w:p>
                  <w:pPr>
                    <w:pStyle w:val="Compact"/>
                    <w:jc w:val="right"/>
                    <w:jc w:val="center"/>
                  </w:pPr>
                  <w:r>
                    <w:t xml:space="preserve">60</w:t>
                  </w:r>
                </w:p>
              </w:tc>
              <w:tc>
                <w:tcPr/>
                <w:p>
                  <w:pPr>
                    <w:pStyle w:val="Compact"/>
                    <w:jc w:val="left"/>
                    <w:jc w:val="center"/>
                  </w:pPr>
                  <w:r>
                    <w:t xml:space="preserve">RL</w:t>
                  </w:r>
                </w:p>
              </w:tc>
              <w:tc>
                <w:tcPr/>
                <w:p>
                  <w:pPr>
                    <w:pStyle w:val="Compact"/>
                    <w:jc w:val="right"/>
                    <w:jc w:val="center"/>
                  </w:pPr>
                  <w:r>
                    <w:t xml:space="preserve">68</w:t>
                  </w:r>
                </w:p>
              </w:tc>
              <w:tc>
                <w:tcPr/>
                <w:p>
                  <w:pPr>
                    <w:pStyle w:val="Compact"/>
                    <w:jc w:val="right"/>
                    <w:jc w:val="center"/>
                  </w:pPr>
                  <w:r>
                    <w:t xml:space="preserve">11250</w:t>
                  </w:r>
                </w:p>
              </w:tc>
              <w:tc>
                <w:tcPr/>
                <w:p>
                  <w:pPr>
                    <w:pStyle w:val="Compact"/>
                    <w:jc w:val="left"/>
                    <w:jc w:val="center"/>
                  </w:pPr>
                  <w:r>
                    <w:t xml:space="preserve">Pave</w:t>
                  </w:r>
                </w:p>
              </w:tc>
              <w:tc>
                <w:tcPr/>
                <w:p>
                  <w:pPr>
                    <w:pStyle w:val="Compact"/>
                    <w:jc w:val="left"/>
                    <w:jc w:val="center"/>
                  </w:pPr>
                  <w:r>
                    <w:t xml:space="preserve">NA</w:t>
                  </w:r>
                </w:p>
              </w:tc>
              <w:tc>
                <w:tcPr/>
                <w:p>
                  <w:pPr>
                    <w:pStyle w:val="Compact"/>
                    <w:jc w:val="left"/>
                    <w:jc w:val="center"/>
                  </w:pPr>
                  <w:r>
                    <w:t xml:space="preserve">IR1</w:t>
                  </w:r>
                </w:p>
              </w:tc>
            </w:tr>
            <w:tr>
              <w:tc>
                <w:tcPr/>
                <w:p>
                  <w:pPr>
                    <w:pStyle w:val="Compact"/>
                    <w:jc w:val="right"/>
                    <w:jc w:val="center"/>
                  </w:pPr>
                  <w:r>
                    <w:t xml:space="preserve">4</w:t>
                  </w:r>
                </w:p>
              </w:tc>
              <w:tc>
                <w:tcPr/>
                <w:p>
                  <w:pPr>
                    <w:pStyle w:val="Compact"/>
                    <w:jc w:val="right"/>
                    <w:jc w:val="center"/>
                  </w:pPr>
                  <w:r>
                    <w:t xml:space="preserve">70</w:t>
                  </w:r>
                </w:p>
              </w:tc>
              <w:tc>
                <w:tcPr/>
                <w:p>
                  <w:pPr>
                    <w:pStyle w:val="Compact"/>
                    <w:jc w:val="left"/>
                    <w:jc w:val="center"/>
                  </w:pPr>
                  <w:r>
                    <w:t xml:space="preserve">RL</w:t>
                  </w:r>
                </w:p>
              </w:tc>
              <w:tc>
                <w:tcPr/>
                <w:p>
                  <w:pPr>
                    <w:pStyle w:val="Compact"/>
                    <w:jc w:val="right"/>
                    <w:jc w:val="center"/>
                  </w:pPr>
                  <w:r>
                    <w:t xml:space="preserve">60</w:t>
                  </w:r>
                </w:p>
              </w:tc>
              <w:tc>
                <w:tcPr/>
                <w:p>
                  <w:pPr>
                    <w:pStyle w:val="Compact"/>
                    <w:jc w:val="right"/>
                    <w:jc w:val="center"/>
                  </w:pPr>
                  <w:r>
                    <w:t xml:space="preserve">9550</w:t>
                  </w:r>
                </w:p>
              </w:tc>
              <w:tc>
                <w:tcPr/>
                <w:p>
                  <w:pPr>
                    <w:pStyle w:val="Compact"/>
                    <w:jc w:val="left"/>
                    <w:jc w:val="center"/>
                  </w:pPr>
                  <w:r>
                    <w:t xml:space="preserve">Pave</w:t>
                  </w:r>
                </w:p>
              </w:tc>
              <w:tc>
                <w:tcPr/>
                <w:p>
                  <w:pPr>
                    <w:pStyle w:val="Compact"/>
                    <w:jc w:val="left"/>
                    <w:jc w:val="center"/>
                  </w:pPr>
                  <w:r>
                    <w:t xml:space="preserve">NA</w:t>
                  </w:r>
                </w:p>
              </w:tc>
              <w:tc>
                <w:tcPr/>
                <w:p>
                  <w:pPr>
                    <w:pStyle w:val="Compact"/>
                    <w:jc w:val="left"/>
                    <w:jc w:val="center"/>
                  </w:pPr>
                  <w:r>
                    <w:t xml:space="preserve">IR1</w:t>
                  </w:r>
                </w:p>
              </w:tc>
            </w:tr>
            <w:tr>
              <w:tc>
                <w:tcPr/>
                <w:p>
                  <w:pPr>
                    <w:pStyle w:val="Compact"/>
                    <w:jc w:val="right"/>
                    <w:jc w:val="center"/>
                  </w:pPr>
                  <w:r>
                    <w:t xml:space="preserve">5</w:t>
                  </w:r>
                </w:p>
              </w:tc>
              <w:tc>
                <w:tcPr/>
                <w:p>
                  <w:pPr>
                    <w:pStyle w:val="Compact"/>
                    <w:jc w:val="right"/>
                    <w:jc w:val="center"/>
                  </w:pPr>
                  <w:r>
                    <w:t xml:space="preserve">60</w:t>
                  </w:r>
                </w:p>
              </w:tc>
              <w:tc>
                <w:tcPr/>
                <w:p>
                  <w:pPr>
                    <w:pStyle w:val="Compact"/>
                    <w:jc w:val="left"/>
                    <w:jc w:val="center"/>
                  </w:pPr>
                  <w:r>
                    <w:t xml:space="preserve">RL</w:t>
                  </w:r>
                </w:p>
              </w:tc>
              <w:tc>
                <w:tcPr/>
                <w:p>
                  <w:pPr>
                    <w:pStyle w:val="Compact"/>
                    <w:jc w:val="right"/>
                    <w:jc w:val="center"/>
                  </w:pPr>
                  <w:r>
                    <w:t xml:space="preserve">84</w:t>
                  </w:r>
                </w:p>
              </w:tc>
              <w:tc>
                <w:tcPr/>
                <w:p>
                  <w:pPr>
                    <w:pStyle w:val="Compact"/>
                    <w:jc w:val="right"/>
                    <w:jc w:val="center"/>
                  </w:pPr>
                  <w:r>
                    <w:t xml:space="preserve">14260</w:t>
                  </w:r>
                </w:p>
              </w:tc>
              <w:tc>
                <w:tcPr/>
                <w:p>
                  <w:pPr>
                    <w:pStyle w:val="Compact"/>
                    <w:jc w:val="left"/>
                    <w:jc w:val="center"/>
                  </w:pPr>
                  <w:r>
                    <w:t xml:space="preserve">Pave</w:t>
                  </w:r>
                </w:p>
              </w:tc>
              <w:tc>
                <w:tcPr/>
                <w:p>
                  <w:pPr>
                    <w:pStyle w:val="Compact"/>
                    <w:jc w:val="left"/>
                    <w:jc w:val="center"/>
                  </w:pPr>
                  <w:r>
                    <w:t xml:space="preserve">NA</w:t>
                  </w:r>
                </w:p>
              </w:tc>
              <w:tc>
                <w:tcPr/>
                <w:p>
                  <w:pPr>
                    <w:pStyle w:val="Compact"/>
                    <w:jc w:val="left"/>
                    <w:jc w:val="center"/>
                  </w:pPr>
                  <w:r>
                    <w:t xml:space="preserve">IR1</w:t>
                  </w:r>
                </w:p>
              </w:tc>
            </w:tr>
            <w:tr>
              <w:tc>
                <w:tcPr/>
                <w:p>
                  <w:pPr>
                    <w:pStyle w:val="Compact"/>
                    <w:jc w:val="right"/>
                    <w:jc w:val="center"/>
                  </w:pPr>
                  <w:r>
                    <w:t xml:space="preserve">6</w:t>
                  </w:r>
                </w:p>
              </w:tc>
              <w:tc>
                <w:tcPr/>
                <w:p>
                  <w:pPr>
                    <w:pStyle w:val="Compact"/>
                    <w:jc w:val="right"/>
                    <w:jc w:val="center"/>
                  </w:pPr>
                  <w:r>
                    <w:t xml:space="preserve">50</w:t>
                  </w:r>
                </w:p>
              </w:tc>
              <w:tc>
                <w:tcPr/>
                <w:p>
                  <w:pPr>
                    <w:pStyle w:val="Compact"/>
                    <w:jc w:val="left"/>
                    <w:jc w:val="center"/>
                  </w:pPr>
                  <w:r>
                    <w:t xml:space="preserve">RL</w:t>
                  </w:r>
                </w:p>
              </w:tc>
              <w:tc>
                <w:tcPr/>
                <w:p>
                  <w:pPr>
                    <w:pStyle w:val="Compact"/>
                    <w:jc w:val="right"/>
                    <w:jc w:val="center"/>
                  </w:pPr>
                  <w:r>
                    <w:t xml:space="preserve">85</w:t>
                  </w:r>
                </w:p>
              </w:tc>
              <w:tc>
                <w:tcPr/>
                <w:p>
                  <w:pPr>
                    <w:pStyle w:val="Compact"/>
                    <w:jc w:val="right"/>
                    <w:jc w:val="center"/>
                  </w:pPr>
                  <w:r>
                    <w:t xml:space="preserve">14115</w:t>
                  </w:r>
                </w:p>
              </w:tc>
              <w:tc>
                <w:tcPr/>
                <w:p>
                  <w:pPr>
                    <w:pStyle w:val="Compact"/>
                    <w:jc w:val="left"/>
                    <w:jc w:val="center"/>
                  </w:pPr>
                  <w:r>
                    <w:t xml:space="preserve">Pave</w:t>
                  </w:r>
                </w:p>
              </w:tc>
              <w:tc>
                <w:tcPr/>
                <w:p>
                  <w:pPr>
                    <w:pStyle w:val="Compact"/>
                    <w:jc w:val="left"/>
                    <w:jc w:val="center"/>
                  </w:pPr>
                  <w:r>
                    <w:t xml:space="preserve">NA</w:t>
                  </w:r>
                </w:p>
              </w:tc>
              <w:tc>
                <w:tcPr/>
                <w:p>
                  <w:pPr>
                    <w:pStyle w:val="Compact"/>
                    <w:jc w:val="left"/>
                    <w:jc w:val="center"/>
                  </w:pPr>
                  <w:r>
                    <w:t xml:space="preserve">IR1</w:t>
                  </w:r>
                </w:p>
              </w:tc>
            </w:tr>
          </w:tbl>
          <w:bookmarkEnd w:id="25"/>
          <w:p/>
        </w:tc>
      </w:tr>
    </w:tbl>
    <w:bookmarkEnd w:id="26"/>
    <w:bookmarkStart w:id="27" w:name="cleaning-data"/>
    <w:p>
      <w:pPr>
        <w:pStyle w:val="Heading3"/>
      </w:pPr>
      <w:r>
        <w:t xml:space="preserve">3.1.2 Cleaning Data</w:t>
      </w:r>
    </w:p>
    <w:p>
      <w:pPr>
        <w:pStyle w:val="FirstParagraph"/>
      </w:pPr>
      <w:r>
        <w:t xml:space="preserve">There were several different data cleaning methods that were experimented with in order to find the best way to prepare the data for modeling. First I removed all variables that had more than 80% NA values. Then for those categorical predictors with some missing values, I replaced those with a</w:t>
      </w:r>
      <w:r>
        <w:t xml:space="preserve"> </w:t>
      </w:r>
      <w:r>
        <w:t xml:space="preserve">“</w:t>
      </w:r>
      <w:r>
        <w:t xml:space="preserve">None</w:t>
      </w:r>
      <w:r>
        <w:t xml:space="preserve">”</w:t>
      </w:r>
      <w:r>
        <w:t xml:space="preserve"> </w:t>
      </w:r>
      <w:r>
        <w:t xml:space="preserve">value. Next, I converted all the categorical variables to factors (they were initially read in as character values). Once the variables were recognized as factors, I could evaluate which predictors were victims of class imbalance. I removed the predictors with around 80% of observations in one class of a variable. Finally, I replaced the NA values in the numeric predictors with the median value of that variable. When I was finished with the data cleaning portion of this project, I had reduced the data set down from 79 to 63 predictors, 26 categorical and 37 numeric variables.</w:t>
      </w:r>
    </w:p>
    <w:bookmarkEnd w:id="27"/>
    <w:bookmarkStart w:id="28" w:name="background-on-chosen-models"/>
    <w:p>
      <w:pPr>
        <w:pStyle w:val="Heading3"/>
      </w:pPr>
      <w:r>
        <w:t xml:space="preserve">3.1.3 Background on Chosen Models</w:t>
      </w:r>
    </w:p>
    <w:p>
      <w:pPr>
        <w:pStyle w:val="FirstParagraph"/>
      </w:pPr>
      <w:r>
        <w:t xml:space="preserve">I chose to utilize the following models: the K-Nearest Neighbors model (KNN), Linear Regression model, and RandomForest models to determine the best prediction model for this project.</w:t>
      </w:r>
    </w:p>
    <w:p>
      <w:pPr>
        <w:pStyle w:val="BodyText"/>
      </w:pPr>
      <w:r>
        <w:rPr>
          <w:bCs/>
          <w:b/>
        </w:rPr>
        <w:t xml:space="preserve">KNN:</w:t>
      </w:r>
      <w:r>
        <w:br/>
      </w:r>
      <w:r>
        <w:t xml:space="preserve">The KNN model predicts based on the closest samples or neighbors. Essentially, to predict a value, the data is broken up into samples/neighbors, and then the nearest samples (using Euclidean distance, typically)to the value of interest are examined to either classify or find a mean between the chosen samples. K represents the number of neighbors to utilize to come to this conclusion (</w:t>
      </w:r>
      <w:r>
        <w:t xml:space="preserve">Kuhn (2018)</w:t>
      </w:r>
      <w:r>
        <w:t xml:space="preserve">).</w:t>
      </w:r>
    </w:p>
    <w:p>
      <w:pPr>
        <w:pStyle w:val="BodyText"/>
      </w:pPr>
      <w:r>
        <w:rPr>
          <w:bCs/>
          <w:b/>
        </w:rPr>
        <w:t xml:space="preserve">Linear Regression:</w:t>
      </w:r>
      <w:r>
        <w:br/>
      </w:r>
      <w:r>
        <w:t xml:space="preserve">Linear Regression focuses on minimizing the SSE (Sum of squared errors) between the predicted and original response value.</w:t>
      </w:r>
    </w:p>
    <w:p>
      <w:pPr>
        <w:pStyle w:val="BodyText"/>
      </w:pPr>
      <w:r>
        <w:rPr>
          <w:bCs/>
          <w:b/>
        </w:rPr>
        <w:t xml:space="preserve">RandomForest:</w:t>
      </w:r>
      <w:r>
        <w:br/>
      </w:r>
      <w:r>
        <w:t xml:space="preserve">RandomForest models take advantage of decision trees. If we think about the scenario in our project (the price of a house), we could imagine a decision tree starting with,</w:t>
      </w:r>
      <w:r>
        <w:t xml:space="preserve"> </w:t>
      </w:r>
      <w:r>
        <w:t xml:space="preserve">“</w:t>
      </w:r>
      <w:r>
        <w:t xml:space="preserve">does having two bathrooms cause a house to be priced at over 400K?</w:t>
      </w:r>
      <w:r>
        <w:t xml:space="preserve">”</w:t>
      </w:r>
      <w:r>
        <w:t xml:space="preserve"> </w:t>
      </w:r>
      <w:r>
        <w:t xml:space="preserve">This would be our first node to split the data on. We could continue asking things like,</w:t>
      </w:r>
      <w:r>
        <w:t xml:space="preserve"> </w:t>
      </w:r>
      <w:r>
        <w:t xml:space="preserve">“</w:t>
      </w:r>
      <w:r>
        <w:t xml:space="preserve">Are houses with larger basements priced at more or less than 400K?</w:t>
      </w:r>
      <w:r>
        <w:t xml:space="preserve">”</w:t>
      </w:r>
      <w:r>
        <w:t xml:space="preserve"> </w:t>
      </w:r>
      <w:r>
        <w:t xml:space="preserve">Questions like these would represent more decision nodes for us to split the data on, getting us closer to the most accurate prediction model. The RandomForest algorithm uses different methods to create several uncorrelated</w:t>
      </w:r>
      <w:r>
        <w:t xml:space="preserve"> </w:t>
      </w:r>
      <w:r>
        <w:t xml:space="preserve">“</w:t>
      </w:r>
      <w:r>
        <w:t xml:space="preserve">forests</w:t>
      </w:r>
      <w:r>
        <w:t xml:space="preserve">”</w:t>
      </w:r>
      <w:r>
        <w:t xml:space="preserve"> </w:t>
      </w:r>
      <w:r>
        <w:t xml:space="preserve">of decision trees(</w:t>
      </w:r>
      <w:r>
        <w:t xml:space="preserve">IBM (n.d.)</w:t>
      </w:r>
      <w:r>
        <w:t xml:space="preserve">).</w:t>
      </w:r>
    </w:p>
    <w:bookmarkEnd w:id="28"/>
    <w:bookmarkStart w:id="29" w:name="background-regarding-performance-metrics"/>
    <w:p>
      <w:pPr>
        <w:pStyle w:val="Heading3"/>
      </w:pPr>
      <w:r>
        <w:t xml:space="preserve">3.1.4 Background Regarding Performance Metrics</w:t>
      </w:r>
    </w:p>
    <w:p>
      <w:pPr>
        <w:pStyle w:val="FirstParagraph"/>
      </w:pPr>
      <w:r>
        <w:rPr>
          <w:bCs/>
          <w:b/>
        </w:rPr>
        <w:t xml:space="preserve">R-Squared (R^2):</w:t>
      </w:r>
      <w:r>
        <w:br/>
      </w:r>
      <w:r>
        <w:t xml:space="preserve">The R^2 value explains what percent (proportion) of the total variance in the data is explained by the model.</w:t>
      </w:r>
      <w:r>
        <w:br/>
      </w:r>
      <w:r>
        <w:rPr>
          <w:bCs/>
          <w:b/>
        </w:rPr>
        <w:t xml:space="preserve">RMSE (Root Mean Squared Error):</w:t>
      </w:r>
      <w:r>
        <w:br/>
      </w:r>
      <w:r>
        <w:t xml:space="preserve">Represents the average size of the difference between real values and the predicted values, then</w:t>
      </w:r>
      <w:r>
        <w:br/>
      </w:r>
      <w:r>
        <w:rPr>
          <w:bCs/>
          <w:b/>
        </w:rPr>
        <w:t xml:space="preserve">MAE (Mean Absolute Error):</w:t>
      </w:r>
      <w:r>
        <w:br/>
      </w:r>
      <w:r>
        <w:t xml:space="preserve">Similar to RMSE, but the absolute value of the difference between real and predicted is used.</w:t>
      </w:r>
    </w:p>
    <w:p>
      <w:r>
        <w:br w:type="page"/>
      </w:r>
    </w:p>
    <w:bookmarkEnd w:id="29"/>
    <w:bookmarkEnd w:id="30"/>
    <w:bookmarkEnd w:id="31"/>
    <w:bookmarkStart w:id="61" w:name="results"/>
    <w:p>
      <w:pPr>
        <w:pStyle w:val="Heading1"/>
      </w:pPr>
      <w:r>
        <w:t xml:space="preserve">4. Results</w:t>
      </w:r>
    </w:p>
    <w:bookmarkStart w:id="32" w:name="basic-statistical-analysis"/>
    <w:p>
      <w:pPr>
        <w:pStyle w:val="Heading2"/>
      </w:pPr>
      <w:r>
        <w:t xml:space="preserve">4.1 Basic statistical analysis</w:t>
      </w:r>
    </w:p>
    <w:p>
      <w:pPr>
        <w:pStyle w:val="FirstParagraph"/>
      </w:pPr>
      <w:r>
        <w:t xml:space="preserve">Before I began with the machine learning analysis, I sought to test the variables of interest in their significance of affecting the response variable.</w:t>
      </w:r>
    </w:p>
    <w:p>
      <w:pPr>
        <w:pStyle w:val="BodyText"/>
      </w:pPr>
      <w:r>
        <w:t xml:space="preserve">Below are the results of the linear model fit with all variables as predictors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4.604292e+05</w:t>
            </w:r>
          </w:p>
        </w:tc>
        <w:tc>
          <w:tcPr/>
          <w:p>
            <w:pPr>
              <w:pStyle w:val="Compact"/>
              <w:jc w:val="right"/>
            </w:pPr>
            <w:r>
              <w:t xml:space="preserve">1.413535e+06</w:t>
            </w:r>
          </w:p>
        </w:tc>
        <w:tc>
          <w:tcPr/>
          <w:p>
            <w:pPr>
              <w:pStyle w:val="Compact"/>
              <w:jc w:val="right"/>
            </w:pPr>
            <w:r>
              <w:t xml:space="preserve">0.3257288</w:t>
            </w:r>
          </w:p>
        </w:tc>
        <w:tc>
          <w:tcPr/>
          <w:p>
            <w:pPr>
              <w:pStyle w:val="Compact"/>
              <w:jc w:val="right"/>
            </w:pPr>
            <w:r>
              <w:t xml:space="preserve">0.7446773</w:t>
            </w:r>
          </w:p>
        </w:tc>
      </w:tr>
      <w:tr>
        <w:tc>
          <w:tcPr/>
          <w:p>
            <w:pPr>
              <w:pStyle w:val="Compact"/>
              <w:jc w:val="left"/>
            </w:pPr>
            <w:r>
              <w:t xml:space="preserve">MSSubClass</w:t>
            </w:r>
          </w:p>
        </w:tc>
        <w:tc>
          <w:tcPr/>
          <w:p>
            <w:pPr>
              <w:pStyle w:val="Compact"/>
              <w:jc w:val="right"/>
            </w:pPr>
            <w:r>
              <w:t xml:space="preserve">-1.820243e+02</w:t>
            </w:r>
          </w:p>
        </w:tc>
        <w:tc>
          <w:tcPr/>
          <w:p>
            <w:pPr>
              <w:pStyle w:val="Compact"/>
              <w:jc w:val="right"/>
            </w:pPr>
            <w:r>
              <w:t xml:space="preserve">2.767475e+01</w:t>
            </w:r>
          </w:p>
        </w:tc>
        <w:tc>
          <w:tcPr/>
          <w:p>
            <w:pPr>
              <w:pStyle w:val="Compact"/>
              <w:jc w:val="right"/>
            </w:pPr>
            <w:r>
              <w:t xml:space="preserve">-6.5772690</w:t>
            </w:r>
          </w:p>
        </w:tc>
        <w:tc>
          <w:tcPr/>
          <w:p>
            <w:pPr>
              <w:pStyle w:val="Compact"/>
              <w:jc w:val="right"/>
            </w:pPr>
            <w:r>
              <w:t xml:space="preserve">0.0000000</w:t>
            </w:r>
          </w:p>
        </w:tc>
      </w:tr>
      <w:tr>
        <w:tc>
          <w:tcPr/>
          <w:p>
            <w:pPr>
              <w:pStyle w:val="Compact"/>
              <w:jc w:val="left"/>
            </w:pPr>
            <w:r>
              <w:t xml:space="preserve">LotFrontage</w:t>
            </w:r>
          </w:p>
        </w:tc>
        <w:tc>
          <w:tcPr/>
          <w:p>
            <w:pPr>
              <w:pStyle w:val="Compact"/>
              <w:jc w:val="right"/>
            </w:pPr>
            <w:r>
              <w:t xml:space="preserve">-5.634362e+01</w:t>
            </w:r>
          </w:p>
        </w:tc>
        <w:tc>
          <w:tcPr/>
          <w:p>
            <w:pPr>
              <w:pStyle w:val="Compact"/>
              <w:jc w:val="right"/>
            </w:pPr>
            <w:r>
              <w:t xml:space="preserve">5.176798e+01</w:t>
            </w:r>
          </w:p>
        </w:tc>
        <w:tc>
          <w:tcPr/>
          <w:p>
            <w:pPr>
              <w:pStyle w:val="Compact"/>
              <w:jc w:val="right"/>
            </w:pPr>
            <w:r>
              <w:t xml:space="preserve">-1.0883875</w:t>
            </w:r>
          </w:p>
        </w:tc>
        <w:tc>
          <w:tcPr/>
          <w:p>
            <w:pPr>
              <w:pStyle w:val="Compact"/>
              <w:jc w:val="right"/>
            </w:pPr>
            <w:r>
              <w:t xml:space="preserve">0.2766081</w:t>
            </w:r>
          </w:p>
        </w:tc>
      </w:tr>
      <w:tr>
        <w:tc>
          <w:tcPr/>
          <w:p>
            <w:pPr>
              <w:pStyle w:val="Compact"/>
              <w:jc w:val="left"/>
            </w:pPr>
            <w:r>
              <w:t xml:space="preserve">LotArea</w:t>
            </w:r>
          </w:p>
        </w:tc>
        <w:tc>
          <w:tcPr/>
          <w:p>
            <w:pPr>
              <w:pStyle w:val="Compact"/>
              <w:jc w:val="right"/>
            </w:pPr>
            <w:r>
              <w:t xml:space="preserve">4.304975e-01</w:t>
            </w:r>
          </w:p>
        </w:tc>
        <w:tc>
          <w:tcPr/>
          <w:p>
            <w:pPr>
              <w:pStyle w:val="Compact"/>
              <w:jc w:val="right"/>
            </w:pPr>
            <w:r>
              <w:t xml:space="preserve">1.021082e-01</w:t>
            </w:r>
          </w:p>
        </w:tc>
        <w:tc>
          <w:tcPr/>
          <w:p>
            <w:pPr>
              <w:pStyle w:val="Compact"/>
              <w:jc w:val="right"/>
            </w:pPr>
            <w:r>
              <w:t xml:space="preserve">4.2160918</w:t>
            </w:r>
          </w:p>
        </w:tc>
        <w:tc>
          <w:tcPr/>
          <w:p>
            <w:pPr>
              <w:pStyle w:val="Compact"/>
              <w:jc w:val="right"/>
            </w:pPr>
            <w:r>
              <w:t xml:space="preserve">0.0000264</w:t>
            </w:r>
          </w:p>
        </w:tc>
      </w:tr>
      <w:tr>
        <w:tc>
          <w:tcPr/>
          <w:p>
            <w:pPr>
              <w:pStyle w:val="Compact"/>
              <w:jc w:val="left"/>
            </w:pPr>
            <w:r>
              <w:t xml:space="preserve">OverallQual</w:t>
            </w:r>
          </w:p>
        </w:tc>
        <w:tc>
          <w:tcPr/>
          <w:p>
            <w:pPr>
              <w:pStyle w:val="Compact"/>
              <w:jc w:val="right"/>
            </w:pPr>
            <w:r>
              <w:t xml:space="preserve">1.733111e+04</w:t>
            </w:r>
          </w:p>
        </w:tc>
        <w:tc>
          <w:tcPr/>
          <w:p>
            <w:pPr>
              <w:pStyle w:val="Compact"/>
              <w:jc w:val="right"/>
            </w:pPr>
            <w:r>
              <w:t xml:space="preserve">1.187394e+03</w:t>
            </w:r>
          </w:p>
        </w:tc>
        <w:tc>
          <w:tcPr/>
          <w:p>
            <w:pPr>
              <w:pStyle w:val="Compact"/>
              <w:jc w:val="right"/>
            </w:pPr>
            <w:r>
              <w:t xml:space="preserve">14.5959170</w:t>
            </w:r>
          </w:p>
        </w:tc>
        <w:tc>
          <w:tcPr/>
          <w:p>
            <w:pPr>
              <w:pStyle w:val="Compact"/>
              <w:jc w:val="right"/>
            </w:pPr>
            <w:r>
              <w:t xml:space="preserve">0.0000000</w:t>
            </w:r>
          </w:p>
        </w:tc>
      </w:tr>
      <w:tr>
        <w:tc>
          <w:tcPr/>
          <w:p>
            <w:pPr>
              <w:pStyle w:val="Compact"/>
              <w:jc w:val="left"/>
            </w:pPr>
            <w:r>
              <w:t xml:space="preserve">OverallCond</w:t>
            </w:r>
          </w:p>
        </w:tc>
        <w:tc>
          <w:tcPr/>
          <w:p>
            <w:pPr>
              <w:pStyle w:val="Compact"/>
              <w:jc w:val="right"/>
            </w:pPr>
            <w:r>
              <w:t xml:space="preserve">4.674676e+03</w:t>
            </w:r>
          </w:p>
        </w:tc>
        <w:tc>
          <w:tcPr/>
          <w:p>
            <w:pPr>
              <w:pStyle w:val="Compact"/>
              <w:jc w:val="right"/>
            </w:pPr>
            <w:r>
              <w:t xml:space="preserve">1.032513e+03</w:t>
            </w:r>
          </w:p>
        </w:tc>
        <w:tc>
          <w:tcPr/>
          <w:p>
            <w:pPr>
              <w:pStyle w:val="Compact"/>
              <w:jc w:val="right"/>
            </w:pPr>
            <w:r>
              <w:t xml:space="preserve">4.5274745</w:t>
            </w:r>
          </w:p>
        </w:tc>
        <w:tc>
          <w:tcPr/>
          <w:p>
            <w:pPr>
              <w:pStyle w:val="Compact"/>
              <w:jc w:val="right"/>
            </w:pPr>
            <w:r>
              <w:t xml:space="preserve">0.0000065</w:t>
            </w:r>
          </w:p>
        </w:tc>
      </w:tr>
      <w:tr>
        <w:tc>
          <w:tcPr/>
          <w:p>
            <w:pPr>
              <w:pStyle w:val="Compact"/>
              <w:jc w:val="left"/>
            </w:pPr>
            <w:r>
              <w:t xml:space="preserve">YearBuilt</w:t>
            </w:r>
          </w:p>
        </w:tc>
        <w:tc>
          <w:tcPr/>
          <w:p>
            <w:pPr>
              <w:pStyle w:val="Compact"/>
              <w:jc w:val="right"/>
            </w:pPr>
            <w:r>
              <w:t xml:space="preserve">2.694912e+02</w:t>
            </w:r>
          </w:p>
        </w:tc>
        <w:tc>
          <w:tcPr/>
          <w:p>
            <w:pPr>
              <w:pStyle w:val="Compact"/>
              <w:jc w:val="right"/>
            </w:pPr>
            <w:r>
              <w:t xml:space="preserve">6.741315e+01</w:t>
            </w:r>
          </w:p>
        </w:tc>
        <w:tc>
          <w:tcPr/>
          <w:p>
            <w:pPr>
              <w:pStyle w:val="Compact"/>
              <w:jc w:val="right"/>
            </w:pPr>
            <w:r>
              <w:t xml:space="preserve">3.9976056</w:t>
            </w:r>
          </w:p>
        </w:tc>
        <w:tc>
          <w:tcPr/>
          <w:p>
            <w:pPr>
              <w:pStyle w:val="Compact"/>
              <w:jc w:val="right"/>
            </w:pPr>
            <w:r>
              <w:t xml:space="preserve">0.0000673</w:t>
            </w:r>
          </w:p>
        </w:tc>
      </w:tr>
      <w:tr>
        <w:tc>
          <w:tcPr/>
          <w:p>
            <w:pPr>
              <w:pStyle w:val="Compact"/>
              <w:jc w:val="left"/>
            </w:pPr>
            <w:r>
              <w:t xml:space="preserve">YearRemodAdd</w:t>
            </w:r>
          </w:p>
        </w:tc>
        <w:tc>
          <w:tcPr/>
          <w:p>
            <w:pPr>
              <w:pStyle w:val="Compact"/>
              <w:jc w:val="right"/>
            </w:pPr>
            <w:r>
              <w:t xml:space="preserve">1.344831e+02</w:t>
            </w:r>
          </w:p>
        </w:tc>
        <w:tc>
          <w:tcPr/>
          <w:p>
            <w:pPr>
              <w:pStyle w:val="Compact"/>
              <w:jc w:val="right"/>
            </w:pPr>
            <w:r>
              <w:t xml:space="preserve">6.858803e+01</w:t>
            </w:r>
          </w:p>
        </w:tc>
        <w:tc>
          <w:tcPr/>
          <w:p>
            <w:pPr>
              <w:pStyle w:val="Compact"/>
              <w:jc w:val="right"/>
            </w:pPr>
            <w:r>
              <w:t xml:space="preserve">1.9607366</w:t>
            </w:r>
          </w:p>
        </w:tc>
        <w:tc>
          <w:tcPr/>
          <w:p>
            <w:pPr>
              <w:pStyle w:val="Compact"/>
              <w:jc w:val="right"/>
            </w:pPr>
            <w:r>
              <w:t xml:space="preserve">0.0501043</w:t>
            </w:r>
          </w:p>
        </w:tc>
      </w:tr>
      <w:tr>
        <w:tc>
          <w:tcPr/>
          <w:p>
            <w:pPr>
              <w:pStyle w:val="Compact"/>
              <w:jc w:val="left"/>
            </w:pPr>
            <w:r>
              <w:t xml:space="preserve">MasVnrArea</w:t>
            </w:r>
          </w:p>
        </w:tc>
        <w:tc>
          <w:tcPr/>
          <w:p>
            <w:pPr>
              <w:pStyle w:val="Compact"/>
              <w:jc w:val="right"/>
            </w:pPr>
            <w:r>
              <w:t xml:space="preserve">3.134596e+01</w:t>
            </w:r>
          </w:p>
        </w:tc>
        <w:tc>
          <w:tcPr/>
          <w:p>
            <w:pPr>
              <w:pStyle w:val="Compact"/>
              <w:jc w:val="right"/>
            </w:pPr>
            <w:r>
              <w:t xml:space="preserve">5.932820e+00</w:t>
            </w:r>
          </w:p>
        </w:tc>
        <w:tc>
          <w:tcPr/>
          <w:p>
            <w:pPr>
              <w:pStyle w:val="Compact"/>
              <w:jc w:val="right"/>
            </w:pPr>
            <w:r>
              <w:t xml:space="preserve">5.2834831</w:t>
            </w:r>
          </w:p>
        </w:tc>
        <w:tc>
          <w:tcPr/>
          <w:p>
            <w:pPr>
              <w:pStyle w:val="Compact"/>
              <w:jc w:val="right"/>
            </w:pPr>
            <w:r>
              <w:t xml:space="preserve">0.0000001</w:t>
            </w:r>
          </w:p>
        </w:tc>
      </w:tr>
      <w:tr>
        <w:tc>
          <w:tcPr/>
          <w:p>
            <w:pPr>
              <w:pStyle w:val="Compact"/>
              <w:jc w:val="left"/>
            </w:pPr>
            <w:r>
              <w:t xml:space="preserve">BsmtFinSF1</w:t>
            </w:r>
          </w:p>
        </w:tc>
        <w:tc>
          <w:tcPr/>
          <w:p>
            <w:pPr>
              <w:pStyle w:val="Compact"/>
              <w:jc w:val="right"/>
            </w:pPr>
            <w:r>
              <w:t xml:space="preserve">1.921300e+01</w:t>
            </w:r>
          </w:p>
        </w:tc>
        <w:tc>
          <w:tcPr/>
          <w:p>
            <w:pPr>
              <w:pStyle w:val="Compact"/>
              <w:jc w:val="right"/>
            </w:pPr>
            <w:r>
              <w:t xml:space="preserve">4.666827e+00</w:t>
            </w:r>
          </w:p>
        </w:tc>
        <w:tc>
          <w:tcPr/>
          <w:p>
            <w:pPr>
              <w:pStyle w:val="Compact"/>
              <w:jc w:val="right"/>
            </w:pPr>
            <w:r>
              <w:t xml:space="preserve">4.1169307</w:t>
            </w:r>
          </w:p>
        </w:tc>
        <w:tc>
          <w:tcPr/>
          <w:p>
            <w:pPr>
              <w:pStyle w:val="Compact"/>
              <w:jc w:val="right"/>
            </w:pPr>
            <w:r>
              <w:t xml:space="preserve">0.0000406</w:t>
            </w:r>
          </w:p>
        </w:tc>
      </w:tr>
      <w:tr>
        <w:tc>
          <w:tcPr/>
          <w:p>
            <w:pPr>
              <w:pStyle w:val="Compact"/>
              <w:jc w:val="left"/>
            </w:pPr>
            <w:r>
              <w:t xml:space="preserve">BsmtFinSF2</w:t>
            </w:r>
          </w:p>
        </w:tc>
        <w:tc>
          <w:tcPr/>
          <w:p>
            <w:pPr>
              <w:pStyle w:val="Compact"/>
              <w:jc w:val="right"/>
            </w:pPr>
            <w:r>
              <w:t xml:space="preserve">8.273997e+00</w:t>
            </w:r>
          </w:p>
        </w:tc>
        <w:tc>
          <w:tcPr/>
          <w:p>
            <w:pPr>
              <w:pStyle w:val="Compact"/>
              <w:jc w:val="right"/>
            </w:pPr>
            <w:r>
              <w:t xml:space="preserve">7.057001e+00</w:t>
            </w:r>
          </w:p>
        </w:tc>
        <w:tc>
          <w:tcPr/>
          <w:p>
            <w:pPr>
              <w:pStyle w:val="Compact"/>
              <w:jc w:val="right"/>
            </w:pPr>
            <w:r>
              <w:t xml:space="preserve">1.1724524</w:t>
            </w:r>
          </w:p>
        </w:tc>
        <w:tc>
          <w:tcPr/>
          <w:p>
            <w:pPr>
              <w:pStyle w:val="Compact"/>
              <w:jc w:val="right"/>
            </w:pPr>
            <w:r>
              <w:t xml:space="preserve">0.2412114</w:t>
            </w:r>
          </w:p>
        </w:tc>
      </w:tr>
      <w:tr>
        <w:tc>
          <w:tcPr/>
          <w:p>
            <w:pPr>
              <w:pStyle w:val="Compact"/>
              <w:jc w:val="left"/>
            </w:pPr>
            <w:r>
              <w:t xml:space="preserve">BsmtUnfSF</w:t>
            </w:r>
          </w:p>
        </w:tc>
        <w:tc>
          <w:tcPr/>
          <w:p>
            <w:pPr>
              <w:pStyle w:val="Compact"/>
              <w:jc w:val="right"/>
            </w:pPr>
            <w:r>
              <w:t xml:space="preserve">9.297103e+00</w:t>
            </w:r>
          </w:p>
        </w:tc>
        <w:tc>
          <w:tcPr/>
          <w:p>
            <w:pPr>
              <w:pStyle w:val="Compact"/>
              <w:jc w:val="right"/>
            </w:pPr>
            <w:r>
              <w:t xml:space="preserve">4.193927e+00</w:t>
            </w:r>
          </w:p>
        </w:tc>
        <w:tc>
          <w:tcPr/>
          <w:p>
            <w:pPr>
              <w:pStyle w:val="Compact"/>
              <w:jc w:val="right"/>
            </w:pPr>
            <w:r>
              <w:t xml:space="preserve">2.2168013</w:t>
            </w:r>
          </w:p>
        </w:tc>
        <w:tc>
          <w:tcPr/>
          <w:p>
            <w:pPr>
              <w:pStyle w:val="Compact"/>
              <w:jc w:val="right"/>
            </w:pPr>
            <w:r>
              <w:t xml:space="preserve">0.0267940</w:t>
            </w:r>
          </w:p>
        </w:tc>
      </w:tr>
      <w:tr>
        <w:tc>
          <w:tcPr/>
          <w:p>
            <w:pPr>
              <w:pStyle w:val="Compact"/>
              <w:jc w:val="left"/>
            </w:pPr>
            <w:r>
              <w:t xml:space="preserve">TotalBsmtSF</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X1stFlrSF</w:t>
            </w:r>
          </w:p>
        </w:tc>
        <w:tc>
          <w:tcPr/>
          <w:p>
            <w:pPr>
              <w:pStyle w:val="Compact"/>
              <w:jc w:val="right"/>
            </w:pPr>
            <w:r>
              <w:t xml:space="preserve">4.901342e+01</w:t>
            </w:r>
          </w:p>
        </w:tc>
        <w:tc>
          <w:tcPr/>
          <w:p>
            <w:pPr>
              <w:pStyle w:val="Compact"/>
              <w:jc w:val="right"/>
            </w:pPr>
            <w:r>
              <w:t xml:space="preserve">5.809589e+00</w:t>
            </w:r>
          </w:p>
        </w:tc>
        <w:tc>
          <w:tcPr/>
          <w:p>
            <w:pPr>
              <w:pStyle w:val="Compact"/>
              <w:jc w:val="right"/>
            </w:pPr>
            <w:r>
              <w:t xml:space="preserve">8.4366426</w:t>
            </w:r>
          </w:p>
        </w:tc>
        <w:tc>
          <w:tcPr/>
          <w:p>
            <w:pPr>
              <w:pStyle w:val="Compact"/>
              <w:jc w:val="right"/>
            </w:pPr>
            <w:r>
              <w:t xml:space="preserve">0.0000000</w:t>
            </w:r>
          </w:p>
        </w:tc>
      </w:tr>
      <w:tr>
        <w:tc>
          <w:tcPr/>
          <w:p>
            <w:pPr>
              <w:pStyle w:val="Compact"/>
              <w:jc w:val="left"/>
            </w:pPr>
            <w:r>
              <w:t xml:space="preserve">X2ndFlrSF</w:t>
            </w:r>
          </w:p>
        </w:tc>
        <w:tc>
          <w:tcPr/>
          <w:p>
            <w:pPr>
              <w:pStyle w:val="Compact"/>
              <w:jc w:val="right"/>
            </w:pPr>
            <w:r>
              <w:t xml:space="preserve">4.902978e+01</w:t>
            </w:r>
          </w:p>
        </w:tc>
        <w:tc>
          <w:tcPr/>
          <w:p>
            <w:pPr>
              <w:pStyle w:val="Compact"/>
              <w:jc w:val="right"/>
            </w:pPr>
            <w:r>
              <w:t xml:space="preserve">4.983306e+00</w:t>
            </w:r>
          </w:p>
        </w:tc>
        <w:tc>
          <w:tcPr/>
          <w:p>
            <w:pPr>
              <w:pStyle w:val="Compact"/>
              <w:jc w:val="right"/>
            </w:pPr>
            <w:r>
              <w:t xml:space="preserve">9.8388062</w:t>
            </w:r>
          </w:p>
        </w:tc>
        <w:tc>
          <w:tcPr/>
          <w:p>
            <w:pPr>
              <w:pStyle w:val="Compact"/>
              <w:jc w:val="right"/>
            </w:pPr>
            <w:r>
              <w:t xml:space="preserve">0.0000000</w:t>
            </w:r>
          </w:p>
        </w:tc>
      </w:tr>
      <w:tr>
        <w:tc>
          <w:tcPr/>
          <w:p>
            <w:pPr>
              <w:pStyle w:val="Compact"/>
              <w:jc w:val="left"/>
            </w:pPr>
            <w:r>
              <w:t xml:space="preserve">LowQualFinSF</w:t>
            </w:r>
          </w:p>
        </w:tc>
        <w:tc>
          <w:tcPr/>
          <w:p>
            <w:pPr>
              <w:pStyle w:val="Compact"/>
              <w:jc w:val="right"/>
            </w:pPr>
            <w:r>
              <w:t xml:space="preserve">2.534285e+01</w:t>
            </w:r>
          </w:p>
        </w:tc>
        <w:tc>
          <w:tcPr/>
          <w:p>
            <w:pPr>
              <w:pStyle w:val="Compact"/>
              <w:jc w:val="right"/>
            </w:pPr>
            <w:r>
              <w:t xml:space="preserve">1.996942e+01</w:t>
            </w:r>
          </w:p>
        </w:tc>
        <w:tc>
          <w:tcPr/>
          <w:p>
            <w:pPr>
              <w:pStyle w:val="Compact"/>
              <w:jc w:val="right"/>
            </w:pPr>
            <w:r>
              <w:t xml:space="preserve">1.2690830</w:t>
            </w:r>
          </w:p>
        </w:tc>
        <w:tc>
          <w:tcPr/>
          <w:p>
            <w:pPr>
              <w:pStyle w:val="Compact"/>
              <w:jc w:val="right"/>
            </w:pPr>
            <w:r>
              <w:t xml:space="preserve">0.2046187</w:t>
            </w:r>
          </w:p>
        </w:tc>
      </w:tr>
      <w:tr>
        <w:tc>
          <w:tcPr/>
          <w:p>
            <w:pPr>
              <w:pStyle w:val="Compact"/>
              <w:jc w:val="left"/>
            </w:pPr>
            <w:r>
              <w:t xml:space="preserve">GrLivArea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BsmtFullBath</w:t>
            </w:r>
          </w:p>
        </w:tc>
        <w:tc>
          <w:tcPr/>
          <w:p>
            <w:pPr>
              <w:pStyle w:val="Compact"/>
              <w:jc w:val="right"/>
            </w:pPr>
            <w:r>
              <w:t xml:space="preserve">9.369818e+03</w:t>
            </w:r>
          </w:p>
        </w:tc>
        <w:tc>
          <w:tcPr/>
          <w:p>
            <w:pPr>
              <w:pStyle w:val="Compact"/>
              <w:jc w:val="right"/>
            </w:pPr>
            <w:r>
              <w:t xml:space="preserve">2.611716e+03</w:t>
            </w:r>
          </w:p>
        </w:tc>
        <w:tc>
          <w:tcPr/>
          <w:p>
            <w:pPr>
              <w:pStyle w:val="Compact"/>
              <w:jc w:val="right"/>
            </w:pPr>
            <w:r>
              <w:t xml:space="preserve">3.5876105</w:t>
            </w:r>
          </w:p>
        </w:tc>
        <w:tc>
          <w:tcPr/>
          <w:p>
            <w:pPr>
              <w:pStyle w:val="Compact"/>
              <w:jc w:val="right"/>
            </w:pPr>
            <w:r>
              <w:t xml:space="preserve">0.0003450</w:t>
            </w:r>
          </w:p>
        </w:tc>
      </w:tr>
      <w:tr>
        <w:tc>
          <w:tcPr/>
          <w:p>
            <w:pPr>
              <w:pStyle w:val="Compact"/>
              <w:jc w:val="left"/>
            </w:pPr>
            <w:r>
              <w:t xml:space="preserve">BsmtHalfBath</w:t>
            </w:r>
          </w:p>
        </w:tc>
        <w:tc>
          <w:tcPr/>
          <w:p>
            <w:pPr>
              <w:pStyle w:val="Compact"/>
              <w:jc w:val="right"/>
            </w:pPr>
            <w:r>
              <w:t xml:space="preserve">2.051814e+03</w:t>
            </w:r>
          </w:p>
        </w:tc>
        <w:tc>
          <w:tcPr/>
          <w:p>
            <w:pPr>
              <w:pStyle w:val="Compact"/>
              <w:jc w:val="right"/>
            </w:pPr>
            <w:r>
              <w:t xml:space="preserve">4.091012e+03</w:t>
            </w:r>
          </w:p>
        </w:tc>
        <w:tc>
          <w:tcPr/>
          <w:p>
            <w:pPr>
              <w:pStyle w:val="Compact"/>
              <w:jc w:val="right"/>
            </w:pPr>
            <w:r>
              <w:t xml:space="preserve">0.5015420</w:t>
            </w:r>
          </w:p>
        </w:tc>
        <w:tc>
          <w:tcPr/>
          <w:p>
            <w:pPr>
              <w:pStyle w:val="Compact"/>
              <w:jc w:val="right"/>
            </w:pPr>
            <w:r>
              <w:t xml:space="preserve">0.6160672</w:t>
            </w:r>
          </w:p>
        </w:tc>
      </w:tr>
      <w:tr>
        <w:tc>
          <w:tcPr/>
          <w:p>
            <w:pPr>
              <w:pStyle w:val="Compact"/>
              <w:jc w:val="left"/>
            </w:pPr>
            <w:r>
              <w:t xml:space="preserve">FullBath</w:t>
            </w:r>
          </w:p>
        </w:tc>
        <w:tc>
          <w:tcPr/>
          <w:p>
            <w:pPr>
              <w:pStyle w:val="Compact"/>
              <w:jc w:val="right"/>
            </w:pPr>
            <w:r>
              <w:t xml:space="preserve">3.439741e+03</w:t>
            </w:r>
          </w:p>
        </w:tc>
        <w:tc>
          <w:tcPr/>
          <w:p>
            <w:pPr>
              <w:pStyle w:val="Compact"/>
              <w:jc w:val="right"/>
            </w:pPr>
            <w:r>
              <w:t xml:space="preserve">2.836717e+03</w:t>
            </w:r>
          </w:p>
        </w:tc>
        <w:tc>
          <w:tcPr/>
          <w:p>
            <w:pPr>
              <w:pStyle w:val="Compact"/>
              <w:jc w:val="right"/>
            </w:pPr>
            <w:r>
              <w:t xml:space="preserve">1.2125780</w:t>
            </w:r>
          </w:p>
        </w:tc>
        <w:tc>
          <w:tcPr/>
          <w:p>
            <w:pPr>
              <w:pStyle w:val="Compact"/>
              <w:jc w:val="right"/>
            </w:pPr>
            <w:r>
              <w:t xml:space="preserve">0.2254922</w:t>
            </w:r>
          </w:p>
        </w:tc>
      </w:tr>
      <w:tr>
        <w:tc>
          <w:tcPr/>
          <w:p>
            <w:pPr>
              <w:pStyle w:val="Compact"/>
              <w:jc w:val="left"/>
            </w:pPr>
            <w:r>
              <w:t xml:space="preserve">HalfBath</w:t>
            </w:r>
          </w:p>
        </w:tc>
        <w:tc>
          <w:tcPr/>
          <w:p>
            <w:pPr>
              <w:pStyle w:val="Compact"/>
              <w:jc w:val="right"/>
            </w:pPr>
            <w:r>
              <w:t xml:space="preserve">-1.872747e+03</w:t>
            </w:r>
          </w:p>
        </w:tc>
        <w:tc>
          <w:tcPr/>
          <w:p>
            <w:pPr>
              <w:pStyle w:val="Compact"/>
              <w:jc w:val="right"/>
            </w:pPr>
            <w:r>
              <w:t xml:space="preserve">2.662817e+03</w:t>
            </w:r>
          </w:p>
        </w:tc>
        <w:tc>
          <w:tcPr/>
          <w:p>
            <w:pPr>
              <w:pStyle w:val="Compact"/>
              <w:jc w:val="right"/>
            </w:pPr>
            <w:r>
              <w:t xml:space="preserve">-0.7032955</w:t>
            </w:r>
          </w:p>
        </w:tc>
        <w:tc>
          <w:tcPr/>
          <w:p>
            <w:pPr>
              <w:pStyle w:val="Compact"/>
              <w:jc w:val="right"/>
            </w:pPr>
            <w:r>
              <w:t xml:space="preserve">0.4819865</w:t>
            </w:r>
          </w:p>
        </w:tc>
      </w:tr>
      <w:tr>
        <w:tc>
          <w:tcPr/>
          <w:p>
            <w:pPr>
              <w:pStyle w:val="Compact"/>
              <w:jc w:val="left"/>
            </w:pPr>
            <w:r>
              <w:t xml:space="preserve">BedroomAbvGr</w:t>
            </w:r>
          </w:p>
        </w:tc>
        <w:tc>
          <w:tcPr/>
          <w:p>
            <w:pPr>
              <w:pStyle w:val="Compact"/>
              <w:jc w:val="right"/>
            </w:pPr>
            <w:r>
              <w:t xml:space="preserve">-1.008636e+04</w:t>
            </w:r>
          </w:p>
        </w:tc>
        <w:tc>
          <w:tcPr/>
          <w:p>
            <w:pPr>
              <w:pStyle w:val="Compact"/>
              <w:jc w:val="right"/>
            </w:pPr>
            <w:r>
              <w:t xml:space="preserve">1.701690e+03</w:t>
            </w:r>
          </w:p>
        </w:tc>
        <w:tc>
          <w:tcPr/>
          <w:p>
            <w:pPr>
              <w:pStyle w:val="Compact"/>
              <w:jc w:val="right"/>
            </w:pPr>
            <w:r>
              <w:t xml:space="preserve">-5.9272618</w:t>
            </w:r>
          </w:p>
        </w:tc>
        <w:tc>
          <w:tcPr/>
          <w:p>
            <w:pPr>
              <w:pStyle w:val="Compact"/>
              <w:jc w:val="right"/>
            </w:pPr>
            <w:r>
              <w:t xml:space="preserve">0.0000000</w:t>
            </w:r>
          </w:p>
        </w:tc>
      </w:tr>
      <w:tr>
        <w:tc>
          <w:tcPr/>
          <w:p>
            <w:pPr>
              <w:pStyle w:val="Compact"/>
              <w:jc w:val="left"/>
            </w:pPr>
            <w:r>
              <w:t xml:space="preserve">KitchenAbvGr</w:t>
            </w:r>
          </w:p>
        </w:tc>
        <w:tc>
          <w:tcPr/>
          <w:p>
            <w:pPr>
              <w:pStyle w:val="Compact"/>
              <w:jc w:val="right"/>
            </w:pPr>
            <w:r>
              <w:t xml:space="preserve">-1.215840e+04</w:t>
            </w:r>
          </w:p>
        </w:tc>
        <w:tc>
          <w:tcPr/>
          <w:p>
            <w:pPr>
              <w:pStyle w:val="Compact"/>
              <w:jc w:val="right"/>
            </w:pPr>
            <w:r>
              <w:t xml:space="preserve">5.211646e+03</w:t>
            </w:r>
          </w:p>
        </w:tc>
        <w:tc>
          <w:tcPr/>
          <w:p>
            <w:pPr>
              <w:pStyle w:val="Compact"/>
              <w:jc w:val="right"/>
            </w:pPr>
            <w:r>
              <w:t xml:space="preserve">-2.3329299</w:t>
            </w:r>
          </w:p>
        </w:tc>
        <w:tc>
          <w:tcPr/>
          <w:p>
            <w:pPr>
              <w:pStyle w:val="Compact"/>
              <w:jc w:val="right"/>
            </w:pPr>
            <w:r>
              <w:t xml:space="preserve">0.0197904</w:t>
            </w:r>
          </w:p>
        </w:tc>
      </w:tr>
      <w:tr>
        <w:tc>
          <w:tcPr/>
          <w:p>
            <w:pPr>
              <w:pStyle w:val="Compact"/>
              <w:jc w:val="left"/>
            </w:pPr>
            <w:r>
              <w:t xml:space="preserve">TotRmsAbvGrd</w:t>
            </w:r>
          </w:p>
        </w:tc>
        <w:tc>
          <w:tcPr/>
          <w:p>
            <w:pPr>
              <w:pStyle w:val="Compact"/>
              <w:jc w:val="right"/>
            </w:pPr>
            <w:r>
              <w:t xml:space="preserve">5.044090e+03</w:t>
            </w:r>
          </w:p>
        </w:tc>
        <w:tc>
          <w:tcPr/>
          <w:p>
            <w:pPr>
              <w:pStyle w:val="Compact"/>
              <w:jc w:val="right"/>
            </w:pPr>
            <w:r>
              <w:t xml:space="preserve">1.236951e+03</w:t>
            </w:r>
          </w:p>
        </w:tc>
        <w:tc>
          <w:tcPr/>
          <w:p>
            <w:pPr>
              <w:pStyle w:val="Compact"/>
              <w:jc w:val="right"/>
            </w:pPr>
            <w:r>
              <w:t xml:space="preserve">4.0778400</w:t>
            </w:r>
          </w:p>
        </w:tc>
        <w:tc>
          <w:tcPr/>
          <w:p>
            <w:pPr>
              <w:pStyle w:val="Compact"/>
              <w:jc w:val="right"/>
            </w:pPr>
            <w:r>
              <w:t xml:space="preserve">0.0000480</w:t>
            </w:r>
          </w:p>
        </w:tc>
      </w:tr>
      <w:tr>
        <w:tc>
          <w:tcPr/>
          <w:p>
            <w:pPr>
              <w:pStyle w:val="Compact"/>
              <w:jc w:val="left"/>
            </w:pPr>
            <w:r>
              <w:t xml:space="preserve">Fireplaces</w:t>
            </w:r>
          </w:p>
        </w:tc>
        <w:tc>
          <w:tcPr/>
          <w:p>
            <w:pPr>
              <w:pStyle w:val="Compact"/>
              <w:jc w:val="right"/>
            </w:pPr>
            <w:r>
              <w:t xml:space="preserve">3.984870e+03</w:t>
            </w:r>
          </w:p>
        </w:tc>
        <w:tc>
          <w:tcPr/>
          <w:p>
            <w:pPr>
              <w:pStyle w:val="Compact"/>
              <w:jc w:val="right"/>
            </w:pPr>
            <w:r>
              <w:t xml:space="preserve">1.776709e+03</w:t>
            </w:r>
          </w:p>
        </w:tc>
        <w:tc>
          <w:tcPr/>
          <w:p>
            <w:pPr>
              <w:pStyle w:val="Compact"/>
              <w:jc w:val="right"/>
            </w:pPr>
            <w:r>
              <w:t xml:space="preserve">2.2428376</w:t>
            </w:r>
          </w:p>
        </w:tc>
        <w:tc>
          <w:tcPr/>
          <w:p>
            <w:pPr>
              <w:pStyle w:val="Compact"/>
              <w:jc w:val="right"/>
            </w:pPr>
            <w:r>
              <w:t xml:space="preserve">0.0250605</w:t>
            </w:r>
          </w:p>
        </w:tc>
      </w:tr>
      <w:tr>
        <w:tc>
          <w:tcPr/>
          <w:p>
            <w:pPr>
              <w:pStyle w:val="Compact"/>
              <w:jc w:val="left"/>
            </w:pPr>
            <w:r>
              <w:t xml:space="preserve">GarageYrBlt</w:t>
            </w:r>
          </w:p>
        </w:tc>
        <w:tc>
          <w:tcPr/>
          <w:p>
            <w:pPr>
              <w:pStyle w:val="Compact"/>
              <w:jc w:val="right"/>
            </w:pPr>
            <w:r>
              <w:t xml:space="preserve">1.268380e+02</w:t>
            </w:r>
          </w:p>
        </w:tc>
        <w:tc>
          <w:tcPr/>
          <w:p>
            <w:pPr>
              <w:pStyle w:val="Compact"/>
              <w:jc w:val="right"/>
            </w:pPr>
            <w:r>
              <w:t xml:space="preserve">6.897832e+01</w:t>
            </w:r>
          </w:p>
        </w:tc>
        <w:tc>
          <w:tcPr/>
          <w:p>
            <w:pPr>
              <w:pStyle w:val="Compact"/>
              <w:jc w:val="right"/>
            </w:pPr>
            <w:r>
              <w:t xml:space="preserve">1.8388100</w:t>
            </w:r>
          </w:p>
        </w:tc>
        <w:tc>
          <w:tcPr/>
          <w:p>
            <w:pPr>
              <w:pStyle w:val="Compact"/>
              <w:jc w:val="right"/>
            </w:pPr>
            <w:r>
              <w:t xml:space="preserve">0.0661511</w:t>
            </w:r>
          </w:p>
        </w:tc>
      </w:tr>
      <w:tr>
        <w:tc>
          <w:tcPr/>
          <w:p>
            <w:pPr>
              <w:pStyle w:val="Compact"/>
              <w:jc w:val="left"/>
            </w:pPr>
            <w:r>
              <w:t xml:space="preserve">GarageCars</w:t>
            </w:r>
          </w:p>
        </w:tc>
        <w:tc>
          <w:tcPr/>
          <w:p>
            <w:pPr>
              <w:pStyle w:val="Compact"/>
              <w:jc w:val="right"/>
            </w:pPr>
            <w:r>
              <w:t xml:space="preserve">1.129285e+04</w:t>
            </w:r>
          </w:p>
        </w:tc>
        <w:tc>
          <w:tcPr/>
          <w:p>
            <w:pPr>
              <w:pStyle w:val="Compact"/>
              <w:jc w:val="right"/>
            </w:pPr>
            <w:r>
              <w:t xml:space="preserve">2.876386e+03</w:t>
            </w:r>
          </w:p>
        </w:tc>
        <w:tc>
          <w:tcPr/>
          <w:p>
            <w:pPr>
              <w:pStyle w:val="Compact"/>
              <w:jc w:val="right"/>
            </w:pPr>
            <w:r>
              <w:t xml:space="preserve">3.9260550</w:t>
            </w:r>
          </w:p>
        </w:tc>
        <w:tc>
          <w:tcPr/>
          <w:p>
            <w:pPr>
              <w:pStyle w:val="Compact"/>
              <w:jc w:val="right"/>
            </w:pPr>
            <w:r>
              <w:t xml:space="preserve">0.0000905</w:t>
            </w:r>
          </w:p>
        </w:tc>
      </w:tr>
      <w:tr>
        <w:tc>
          <w:tcPr/>
          <w:p>
            <w:pPr>
              <w:pStyle w:val="Compact"/>
              <w:jc w:val="left"/>
            </w:pPr>
            <w:r>
              <w:t xml:space="preserve">GarageArea</w:t>
            </w:r>
          </w:p>
        </w:tc>
        <w:tc>
          <w:tcPr/>
          <w:p>
            <w:pPr>
              <w:pStyle w:val="Compact"/>
              <w:jc w:val="right"/>
            </w:pPr>
            <w:r>
              <w:t xml:space="preserve">-4.382456e+00</w:t>
            </w:r>
          </w:p>
        </w:tc>
        <w:tc>
          <w:tcPr/>
          <w:p>
            <w:pPr>
              <w:pStyle w:val="Compact"/>
              <w:jc w:val="right"/>
            </w:pPr>
            <w:r>
              <w:t xml:space="preserve">9.941118e+00</w:t>
            </w:r>
          </w:p>
        </w:tc>
        <w:tc>
          <w:tcPr/>
          <w:p>
            <w:pPr>
              <w:pStyle w:val="Compact"/>
              <w:jc w:val="right"/>
            </w:pPr>
            <w:r>
              <w:t xml:space="preserve">-0.4408414</w:t>
            </w:r>
          </w:p>
        </w:tc>
        <w:tc>
          <w:tcPr/>
          <w:p>
            <w:pPr>
              <w:pStyle w:val="Compact"/>
              <w:jc w:val="right"/>
            </w:pPr>
            <w:r>
              <w:t xml:space="preserve">0.6593947</w:t>
            </w:r>
          </w:p>
        </w:tc>
      </w:tr>
      <w:tr>
        <w:tc>
          <w:tcPr/>
          <w:p>
            <w:pPr>
              <w:pStyle w:val="Compact"/>
              <w:jc w:val="left"/>
            </w:pPr>
            <w:r>
              <w:t xml:space="preserve">WoodDeckSF</w:t>
            </w:r>
          </w:p>
        </w:tc>
        <w:tc>
          <w:tcPr/>
          <w:p>
            <w:pPr>
              <w:pStyle w:val="Compact"/>
              <w:jc w:val="right"/>
            </w:pPr>
            <w:r>
              <w:t xml:space="preserve">2.388005e+01</w:t>
            </w:r>
          </w:p>
        </w:tc>
        <w:tc>
          <w:tcPr/>
          <w:p>
            <w:pPr>
              <w:pStyle w:val="Compact"/>
              <w:jc w:val="right"/>
            </w:pPr>
            <w:r>
              <w:t xml:space="preserve">8.011714e+00</w:t>
            </w:r>
          </w:p>
        </w:tc>
        <w:tc>
          <w:tcPr/>
          <w:p>
            <w:pPr>
              <w:pStyle w:val="Compact"/>
              <w:jc w:val="right"/>
            </w:pPr>
            <w:r>
              <w:t xml:space="preserve">2.9806414</w:t>
            </w:r>
          </w:p>
        </w:tc>
        <w:tc>
          <w:tcPr/>
          <w:p>
            <w:pPr>
              <w:pStyle w:val="Compact"/>
              <w:jc w:val="right"/>
            </w:pPr>
            <w:r>
              <w:t xml:space="preserve">0.0029252</w:t>
            </w:r>
          </w:p>
        </w:tc>
      </w:tr>
      <w:tr>
        <w:tc>
          <w:tcPr/>
          <w:p>
            <w:pPr>
              <w:pStyle w:val="Compact"/>
              <w:jc w:val="left"/>
            </w:pPr>
            <w:r>
              <w:t xml:space="preserve">OpenPorchSF</w:t>
            </w:r>
          </w:p>
        </w:tc>
        <w:tc>
          <w:tcPr/>
          <w:p>
            <w:pPr>
              <w:pStyle w:val="Compact"/>
              <w:jc w:val="right"/>
            </w:pPr>
            <w:r>
              <w:t xml:space="preserve">-2.872111e+00</w:t>
            </w:r>
          </w:p>
        </w:tc>
        <w:tc>
          <w:tcPr/>
          <w:p>
            <w:pPr>
              <w:pStyle w:val="Compact"/>
              <w:jc w:val="right"/>
            </w:pPr>
            <w:r>
              <w:t xml:space="preserve">1.518148e+01</w:t>
            </w:r>
          </w:p>
        </w:tc>
        <w:tc>
          <w:tcPr/>
          <w:p>
            <w:pPr>
              <w:pStyle w:val="Compact"/>
              <w:jc w:val="right"/>
            </w:pPr>
            <w:r>
              <w:t xml:space="preserve">-0.1891852</w:t>
            </w:r>
          </w:p>
        </w:tc>
        <w:tc>
          <w:tcPr/>
          <w:p>
            <w:pPr>
              <w:pStyle w:val="Compact"/>
              <w:jc w:val="right"/>
            </w:pPr>
            <w:r>
              <w:t xml:space="preserve">0.8499746</w:t>
            </w:r>
          </w:p>
        </w:tc>
      </w:tr>
      <w:tr>
        <w:tc>
          <w:tcPr/>
          <w:p>
            <w:pPr>
              <w:pStyle w:val="Compact"/>
              <w:jc w:val="left"/>
            </w:pPr>
            <w:r>
              <w:t xml:space="preserve">EnclosedPorch</w:t>
            </w:r>
          </w:p>
        </w:tc>
        <w:tc>
          <w:tcPr/>
          <w:p>
            <w:pPr>
              <w:pStyle w:val="Compact"/>
              <w:jc w:val="right"/>
            </w:pPr>
            <w:r>
              <w:t xml:space="preserve">1.193628e+01</w:t>
            </w:r>
          </w:p>
        </w:tc>
        <w:tc>
          <w:tcPr/>
          <w:p>
            <w:pPr>
              <w:pStyle w:val="Compact"/>
              <w:jc w:val="right"/>
            </w:pPr>
            <w:r>
              <w:t xml:space="preserve">1.686386e+01</w:t>
            </w:r>
          </w:p>
        </w:tc>
        <w:tc>
          <w:tcPr/>
          <w:p>
            <w:pPr>
              <w:pStyle w:val="Compact"/>
              <w:jc w:val="right"/>
            </w:pPr>
            <w:r>
              <w:t xml:space="preserve">0.7078021</w:t>
            </w:r>
          </w:p>
        </w:tc>
        <w:tc>
          <w:tcPr/>
          <w:p>
            <w:pPr>
              <w:pStyle w:val="Compact"/>
              <w:jc w:val="right"/>
            </w:pPr>
            <w:r>
              <w:t xml:space="preserve">0.4791839</w:t>
            </w:r>
          </w:p>
        </w:tc>
      </w:tr>
      <w:tr>
        <w:tc>
          <w:tcPr/>
          <w:p>
            <w:pPr>
              <w:pStyle w:val="Compact"/>
              <w:jc w:val="left"/>
            </w:pPr>
            <w:r>
              <w:t xml:space="preserve">X3SsnPorch</w:t>
            </w:r>
          </w:p>
        </w:tc>
        <w:tc>
          <w:tcPr/>
          <w:p>
            <w:pPr>
              <w:pStyle w:val="Compact"/>
              <w:jc w:val="right"/>
            </w:pPr>
            <w:r>
              <w:t xml:space="preserve">2.038201e+01</w:t>
            </w:r>
          </w:p>
        </w:tc>
        <w:tc>
          <w:tcPr/>
          <w:p>
            <w:pPr>
              <w:pStyle w:val="Compact"/>
              <w:jc w:val="right"/>
            </w:pPr>
            <w:r>
              <w:t xml:space="preserve">3.139056e+01</w:t>
            </w:r>
          </w:p>
        </w:tc>
        <w:tc>
          <w:tcPr/>
          <w:p>
            <w:pPr>
              <w:pStyle w:val="Compact"/>
              <w:jc w:val="right"/>
            </w:pPr>
            <w:r>
              <w:t xml:space="preserve">0.6493039</w:t>
            </w:r>
          </w:p>
        </w:tc>
        <w:tc>
          <w:tcPr/>
          <w:p>
            <w:pPr>
              <w:pStyle w:val="Compact"/>
              <w:jc w:val="right"/>
            </w:pPr>
            <w:r>
              <w:t xml:space="preserve">0.5162466</w:t>
            </w:r>
          </w:p>
        </w:tc>
      </w:tr>
      <w:tr>
        <w:tc>
          <w:tcPr/>
          <w:p>
            <w:pPr>
              <w:pStyle w:val="Compact"/>
              <w:jc w:val="left"/>
            </w:pPr>
            <w:r>
              <w:t xml:space="preserve">ScreenPorch</w:t>
            </w:r>
          </w:p>
        </w:tc>
        <w:tc>
          <w:tcPr/>
          <w:p>
            <w:pPr>
              <w:pStyle w:val="Compact"/>
              <w:jc w:val="right"/>
            </w:pPr>
            <w:r>
              <w:t xml:space="preserve">5.596076e+01</w:t>
            </w:r>
          </w:p>
        </w:tc>
        <w:tc>
          <w:tcPr/>
          <w:p>
            <w:pPr>
              <w:pStyle w:val="Compact"/>
              <w:jc w:val="right"/>
            </w:pPr>
            <w:r>
              <w:t xml:space="preserve">1.719053e+01</w:t>
            </w:r>
          </w:p>
        </w:tc>
        <w:tc>
          <w:tcPr/>
          <w:p>
            <w:pPr>
              <w:pStyle w:val="Compact"/>
              <w:jc w:val="right"/>
            </w:pPr>
            <w:r>
              <w:t xml:space="preserve">3.2553247</w:t>
            </w:r>
          </w:p>
        </w:tc>
        <w:tc>
          <w:tcPr/>
          <w:p>
            <w:pPr>
              <w:pStyle w:val="Compact"/>
              <w:jc w:val="right"/>
            </w:pPr>
            <w:r>
              <w:t xml:space="preserve">0.0011592</w:t>
            </w:r>
          </w:p>
        </w:tc>
      </w:tr>
      <w:tr>
        <w:tc>
          <w:tcPr/>
          <w:p>
            <w:pPr>
              <w:pStyle w:val="Compact"/>
              <w:jc w:val="left"/>
            </w:pPr>
            <w:r>
              <w:t xml:space="preserve">PoolArea</w:t>
            </w:r>
          </w:p>
        </w:tc>
        <w:tc>
          <w:tcPr/>
          <w:p>
            <w:pPr>
              <w:pStyle w:val="Compact"/>
              <w:jc w:val="right"/>
            </w:pPr>
            <w:r>
              <w:t xml:space="preserve">-2.908211e+01</w:t>
            </w:r>
          </w:p>
        </w:tc>
        <w:tc>
          <w:tcPr/>
          <w:p>
            <w:pPr>
              <w:pStyle w:val="Compact"/>
              <w:jc w:val="right"/>
            </w:pPr>
            <w:r>
              <w:t xml:space="preserve">2.380658e+01</w:t>
            </w:r>
          </w:p>
        </w:tc>
        <w:tc>
          <w:tcPr/>
          <w:p>
            <w:pPr>
              <w:pStyle w:val="Compact"/>
              <w:jc w:val="right"/>
            </w:pPr>
            <w:r>
              <w:t xml:space="preserve">-1.2215996</w:t>
            </w:r>
          </w:p>
        </w:tc>
        <w:tc>
          <w:tcPr/>
          <w:p>
            <w:pPr>
              <w:pStyle w:val="Compact"/>
              <w:jc w:val="right"/>
            </w:pPr>
            <w:r>
              <w:t xml:space="preserve">0.2220611</w:t>
            </w:r>
          </w:p>
        </w:tc>
      </w:tr>
      <w:tr>
        <w:tc>
          <w:tcPr/>
          <w:p>
            <w:pPr>
              <w:pStyle w:val="Compact"/>
              <w:jc w:val="left"/>
            </w:pPr>
            <w:r>
              <w:t xml:space="preserve">MiscVal</w:t>
            </w:r>
          </w:p>
        </w:tc>
        <w:tc>
          <w:tcPr/>
          <w:p>
            <w:pPr>
              <w:pStyle w:val="Compact"/>
              <w:jc w:val="right"/>
            </w:pPr>
            <w:r>
              <w:t xml:space="preserve">-7.313279e-01</w:t>
            </w:r>
          </w:p>
        </w:tc>
        <w:tc>
          <w:tcPr/>
          <w:p>
            <w:pPr>
              <w:pStyle w:val="Compact"/>
              <w:jc w:val="right"/>
            </w:pPr>
            <w:r>
              <w:t xml:space="preserve">1.854773e+00</w:t>
            </w:r>
          </w:p>
        </w:tc>
        <w:tc>
          <w:tcPr/>
          <w:p>
            <w:pPr>
              <w:pStyle w:val="Compact"/>
              <w:jc w:val="right"/>
            </w:pPr>
            <w:r>
              <w:t xml:space="preserve">-0.3942951</w:t>
            </w:r>
          </w:p>
        </w:tc>
        <w:tc>
          <w:tcPr/>
          <w:p>
            <w:pPr>
              <w:pStyle w:val="Compact"/>
              <w:jc w:val="right"/>
            </w:pPr>
            <w:r>
              <w:t xml:space="preserve">0.6934221</w:t>
            </w:r>
          </w:p>
        </w:tc>
      </w:tr>
      <w:tr>
        <w:tc>
          <w:tcPr/>
          <w:p>
            <w:pPr>
              <w:pStyle w:val="Compact"/>
              <w:jc w:val="left"/>
            </w:pPr>
            <w:r>
              <w:t xml:space="preserve">MoSold</w:t>
            </w:r>
          </w:p>
        </w:tc>
        <w:tc>
          <w:tcPr/>
          <w:p>
            <w:pPr>
              <w:pStyle w:val="Compact"/>
              <w:jc w:val="right"/>
            </w:pPr>
            <w:r>
              <w:t xml:space="preserve">-4.856806e+01</w:t>
            </w:r>
          </w:p>
        </w:tc>
        <w:tc>
          <w:tcPr/>
          <w:p>
            <w:pPr>
              <w:pStyle w:val="Compact"/>
              <w:jc w:val="right"/>
            </w:pPr>
            <w:r>
              <w:t xml:space="preserve">3.447724e+02</w:t>
            </w:r>
          </w:p>
        </w:tc>
        <w:tc>
          <w:tcPr/>
          <w:p>
            <w:pPr>
              <w:pStyle w:val="Compact"/>
              <w:jc w:val="right"/>
            </w:pPr>
            <w:r>
              <w:t xml:space="preserve">-0.1408699</w:t>
            </w:r>
          </w:p>
        </w:tc>
        <w:tc>
          <w:tcPr/>
          <w:p>
            <w:pPr>
              <w:pStyle w:val="Compact"/>
              <w:jc w:val="right"/>
            </w:pPr>
            <w:r>
              <w:t xml:space="preserve">0.8879926</w:t>
            </w:r>
          </w:p>
        </w:tc>
      </w:tr>
      <w:tr>
        <w:tc>
          <w:tcPr/>
          <w:p>
            <w:pPr>
              <w:pStyle w:val="Compact"/>
              <w:jc w:val="left"/>
            </w:pPr>
            <w:r>
              <w:t xml:space="preserve">YrSold</w:t>
            </w:r>
          </w:p>
        </w:tc>
        <w:tc>
          <w:tcPr/>
          <w:p>
            <w:pPr>
              <w:pStyle w:val="Compact"/>
              <w:jc w:val="right"/>
            </w:pPr>
            <w:r>
              <w:t xml:space="preserve">-7.796538e+02</w:t>
            </w:r>
          </w:p>
        </w:tc>
        <w:tc>
          <w:tcPr/>
          <w:p>
            <w:pPr>
              <w:pStyle w:val="Compact"/>
              <w:jc w:val="right"/>
            </w:pPr>
            <w:r>
              <w:t xml:space="preserve">7.024882e+02</w:t>
            </w:r>
          </w:p>
        </w:tc>
        <w:tc>
          <w:tcPr/>
          <w:p>
            <w:pPr>
              <w:pStyle w:val="Compact"/>
              <w:jc w:val="right"/>
            </w:pPr>
            <w:r>
              <w:t xml:space="preserve">-1.1098461</w:t>
            </w:r>
          </w:p>
        </w:tc>
        <w:tc>
          <w:tcPr/>
          <w:p>
            <w:pPr>
              <w:pStyle w:val="Compact"/>
              <w:jc w:val="right"/>
            </w:pPr>
            <w:r>
              <w:t xml:space="preserve">0.2672526</w:t>
            </w:r>
          </w:p>
        </w:tc>
      </w:tr>
    </w:tbl>
    <w:p>
      <w:pPr>
        <w:pStyle w:val="BodyText"/>
      </w:pPr>
      <w:r>
        <w:t xml:space="preserve">In both the numeric and categorical linear regression tests, not all variables were significant. I decided to keep all variables in to see if those variables had any affect on the final results.</w:t>
      </w:r>
    </w:p>
    <w:p>
      <w:r>
        <w:br w:type="page"/>
      </w:r>
    </w:p>
    <w:bookmarkEnd w:id="32"/>
    <w:bookmarkStart w:id="60" w:name="machine-learning-modeling"/>
    <w:p>
      <w:pPr>
        <w:pStyle w:val="Heading2"/>
      </w:pPr>
      <w:r>
        <w:t xml:space="preserve">4.2 Machine Learning Modeling</w:t>
      </w:r>
    </w:p>
    <w:bookmarkStart w:id="46" w:name="model-performance-metrics"/>
    <w:p>
      <w:pPr>
        <w:pStyle w:val="Heading3"/>
      </w:pPr>
      <w:r>
        <w:t xml:space="preserve">4.2.1 Model Performance Metrics</w:t>
      </w:r>
    </w:p>
    <w:p>
      <w:pPr>
        <w:pStyle w:val="FirstParagraph"/>
      </w:pPr>
      <w:hyperlink w:anchor="tbl-resulttable1">
        <w:r>
          <w:rPr>
            <w:rStyle w:val="Hyperlink"/>
          </w:rPr>
          <w:t xml:space="preserve">Table 2</w:t>
        </w:r>
      </w:hyperlink>
      <w:r>
        <w:t xml:space="preserve"> </w:t>
      </w:r>
      <w:r>
        <w:t xml:space="preserve">displays the relevant metrics for the regression models runs.</w:t>
      </w:r>
    </w:p>
    <w:tbl>
      <w:tblPr>
        <w:tblStyle w:val="Table"/>
        <w:tblW w:type="pct" w:w="5000"/>
        <w:tblLook w:firstRow="0" w:lastRow="0" w:firstColumn="0" w:lastColumn="0" w:noHBand="0" w:noVBand="0" w:val="0000"/>
        <w:jc w:val="start"/>
        <w:tblLayout w:type="fixed"/>
      </w:tblPr>
      <w:tblGrid>
        <w:gridCol w:w="7920"/>
      </w:tblGrid>
      <w:tr>
        <w:tc>
          <w:tcPr/>
          <w:bookmarkStart w:id="33" w:name="tbl-resulttable1"/>
          <w:p>
            <w:pPr>
              <w:jc w:val="center"/>
            </w:pPr>
            <w:pPr>
              <w:jc w:val="start"/>
              <w:spacing w:before="200"/>
              <w:pStyle w:val="ImageCaption"/>
            </w:pPr>
            <w:r>
              <w:t xml:space="preserve">Table 2: Performance Metrics for Machine Learning Models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jc w:val="center"/>
                  </w:pPr>
                  <w:r>
                    <w:t xml:space="preserve">LNM</w:t>
                  </w:r>
                </w:p>
              </w:tc>
              <w:tc>
                <w:tcPr/>
                <w:p>
                  <w:pPr>
                    <w:pStyle w:val="Compact"/>
                    <w:jc w:val="right"/>
                    <w:jc w:val="center"/>
                  </w:pPr>
                  <w:r>
                    <w:t xml:space="preserve">KNN</w:t>
                  </w:r>
                </w:p>
              </w:tc>
              <w:tc>
                <w:tcPr/>
                <w:p>
                  <w:pPr>
                    <w:pStyle w:val="Compact"/>
                    <w:jc w:val="right"/>
                    <w:jc w:val="center"/>
                  </w:pPr>
                  <w:r>
                    <w:t xml:space="preserve">RFM</w:t>
                  </w:r>
                </w:p>
              </w:tc>
            </w:tr>
            <w:tr>
              <w:tc>
                <w:tcPr/>
                <w:p>
                  <w:pPr>
                    <w:pStyle w:val="Compact"/>
                    <w:jc w:val="left"/>
                    <w:jc w:val="center"/>
                  </w:pPr>
                  <w:r>
                    <w:t xml:space="preserve">RMSE</w:t>
                  </w:r>
                </w:p>
              </w:tc>
              <w:tc>
                <w:tcPr/>
                <w:p>
                  <w:pPr>
                    <w:pStyle w:val="Compact"/>
                    <w:jc w:val="right"/>
                    <w:jc w:val="center"/>
                  </w:pPr>
                  <w:r>
                    <w:t xml:space="preserve">54819.808</w:t>
                  </w:r>
                </w:p>
              </w:tc>
              <w:tc>
                <w:tcPr/>
                <w:p>
                  <w:pPr>
                    <w:pStyle w:val="Compact"/>
                    <w:jc w:val="right"/>
                    <w:jc w:val="center"/>
                  </w:pPr>
                  <w:r>
                    <w:t xml:space="preserve">45321.318</w:t>
                  </w:r>
                </w:p>
              </w:tc>
              <w:tc>
                <w:tcPr/>
                <w:p>
                  <w:pPr>
                    <w:pStyle w:val="Compact"/>
                    <w:jc w:val="right"/>
                    <w:jc w:val="center"/>
                  </w:pPr>
                  <w:r>
                    <w:t xml:space="preserve">37742.731</w:t>
                  </w:r>
                </w:p>
              </w:tc>
            </w:tr>
            <w:tr>
              <w:tc>
                <w:tcPr/>
                <w:p>
                  <w:pPr>
                    <w:pStyle w:val="Compact"/>
                    <w:jc w:val="left"/>
                    <w:jc w:val="center"/>
                  </w:pPr>
                  <w:r>
                    <w:t xml:space="preserve">Rsquared</w:t>
                  </w:r>
                </w:p>
              </w:tc>
              <w:tc>
                <w:tcPr/>
                <w:p>
                  <w:pPr>
                    <w:pStyle w:val="Compact"/>
                    <w:jc w:val="right"/>
                    <w:jc w:val="center"/>
                  </w:pPr>
                  <w:r>
                    <w:t xml:space="preserve">0.612</w:t>
                  </w:r>
                </w:p>
              </w:tc>
              <w:tc>
                <w:tcPr/>
                <w:p>
                  <w:pPr>
                    <w:pStyle w:val="Compact"/>
                    <w:jc w:val="right"/>
                    <w:jc w:val="center"/>
                  </w:pPr>
                  <w:r>
                    <w:t xml:space="preserve">0.646</w:t>
                  </w:r>
                </w:p>
              </w:tc>
              <w:tc>
                <w:tcPr/>
                <w:p>
                  <w:pPr>
                    <w:pStyle w:val="Compact"/>
                    <w:jc w:val="right"/>
                    <w:jc w:val="center"/>
                  </w:pPr>
                  <w:r>
                    <w:t xml:space="preserve">0.754</w:t>
                  </w:r>
                </w:p>
              </w:tc>
            </w:tr>
            <w:tr>
              <w:tc>
                <w:tcPr/>
                <w:p>
                  <w:pPr>
                    <w:pStyle w:val="Compact"/>
                    <w:jc w:val="left"/>
                    <w:jc w:val="center"/>
                  </w:pPr>
                  <w:r>
                    <w:t xml:space="preserve">MAE</w:t>
                  </w:r>
                </w:p>
              </w:tc>
              <w:tc>
                <w:tcPr/>
                <w:p>
                  <w:pPr>
                    <w:pStyle w:val="Compact"/>
                    <w:jc w:val="right"/>
                    <w:jc w:val="center"/>
                  </w:pPr>
                  <w:r>
                    <w:t xml:space="preserve">20989.778</w:t>
                  </w:r>
                </w:p>
              </w:tc>
              <w:tc>
                <w:tcPr/>
                <w:p>
                  <w:pPr>
                    <w:pStyle w:val="Compact"/>
                    <w:jc w:val="right"/>
                    <w:jc w:val="center"/>
                  </w:pPr>
                  <w:r>
                    <w:t xml:space="preserve">24633.264</w:t>
                  </w:r>
                </w:p>
              </w:tc>
              <w:tc>
                <w:tcPr/>
                <w:p>
                  <w:pPr>
                    <w:pStyle w:val="Compact"/>
                    <w:jc w:val="right"/>
                    <w:jc w:val="center"/>
                  </w:pPr>
                  <w:r>
                    <w:t xml:space="preserve">19650.826</w:t>
                  </w:r>
                </w:p>
              </w:tc>
            </w:tr>
          </w:tbl>
          <w:bookmarkEnd w:id="33"/>
          <w:p/>
        </w:tc>
      </w:tr>
    </w:tbl>
    <w:p>
      <w:pPr>
        <w:pStyle w:val="BodyText"/>
      </w:pPr>
      <w:r>
        <w:t xml:space="preserve">The RandomForest model performed the best of the three models, outputting the best results by a fairly considerable margin, in all three categories. The KNN model performed the second best of the three, but was closer to the Linear Model’s results than to the RandomForest model.</w:t>
      </w:r>
    </w:p>
    <w:p>
      <w:pPr>
        <w:pStyle w:val="BodyText"/>
      </w:pPr>
      <w:hyperlink w:anchor="fig-result1">
        <w:r>
          <w:rPr>
            <w:rStyle w:val="Hyperlink"/>
          </w:rPr>
          <w:t xml:space="preserve">Figure 1</w:t>
        </w:r>
      </w:hyperlink>
      <w:r>
        <w:t xml:space="preserve"> </w:t>
      </w:r>
      <w:r>
        <w:t xml:space="preserve">shows the distribution of predicted values for each model, overlayed with the real observed values (OBS).</w:t>
      </w:r>
    </w:p>
    <w:tbl>
      <w:tblPr>
        <w:tblStyle w:val="Table"/>
        <w:tblW w:type="pct" w:w="5000"/>
        <w:tblLook w:firstRow="0" w:lastRow="0" w:firstColumn="0" w:lastColumn="0" w:noHBand="0" w:noVBand="0" w:val="0000"/>
        <w:jc w:val="start"/>
        <w:tblLayout w:type="fixed"/>
      </w:tblPr>
      <w:tblGrid>
        <w:gridCol w:w="7920"/>
      </w:tblGrid>
      <w:tr>
        <w:tc>
          <w:tcPr/>
          <w:bookmarkStart w:id="37" w:name="fig-result1"/>
          <w:p>
            <w:pPr>
              <w:pStyle w:val="Compact"/>
              <w:jc w:val="center"/>
            </w:pPr>
            <w:r>
              <w:drawing>
                <wp:inline>
                  <wp:extent cx="5334000" cy="3291658"/>
                  <wp:effectExtent b="0" l="0" r="0" t="0"/>
                  <wp:docPr descr="" title="" id="35" name="Picture"/>
                  <a:graphic>
                    <a:graphicData uri="http://schemas.openxmlformats.org/drawingml/2006/picture">
                      <pic:pic>
                        <pic:nvPicPr>
                          <pic:cNvPr descr="results/predictions.png" id="36" name="Picture"/>
                          <pic:cNvPicPr>
                            <a:picLocks noChangeArrowheads="1" noChangeAspect="1"/>
                          </pic:cNvPicPr>
                        </pic:nvPicPr>
                        <pic:blipFill>
                          <a:blip r:embed="rId34"/>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Predicted Values Compared to Observed Values</w:t>
            </w:r>
          </w:p>
          <w:bookmarkEnd w:id="37"/>
        </w:tc>
      </w:tr>
    </w:tbl>
    <w:p>
      <w:r>
        <w:br w:type="page"/>
      </w:r>
    </w:p>
    <w:p>
      <w:pPr>
        <w:pStyle w:val="BodyText"/>
      </w:pPr>
      <w:hyperlink w:anchor="fig-result2">
        <w:r>
          <w:rPr>
            <w:rStyle w:val="Hyperlink"/>
          </w:rPr>
          <w:t xml:space="preserve">Figure 2</w:t>
        </w:r>
      </w:hyperlink>
      <w:r>
        <w:t xml:space="preserve"> </w:t>
      </w:r>
      <w:r>
        <w:t xml:space="preserve">and</w:t>
      </w:r>
      <w:r>
        <w:t xml:space="preserve"> </w:t>
      </w:r>
      <w:hyperlink w:anchor="fig-result3">
        <w:r>
          <w:rPr>
            <w:rStyle w:val="Hyperlink"/>
          </w:rPr>
          <w:t xml:space="preserve">Figure 3</w:t>
        </w:r>
      </w:hyperlink>
      <w:r>
        <w:t xml:space="preserve"> </w:t>
      </w:r>
      <w:r>
        <w:t xml:space="preserve">provide additional views comparing RMSE and MAE across the different models</w:t>
      </w:r>
    </w:p>
    <w:tbl>
      <w:tblPr>
        <w:tblStyle w:val="Table"/>
        <w:tblW w:type="pct" w:w="5000"/>
        <w:tblLook w:firstRow="0" w:lastRow="0" w:firstColumn="0" w:lastColumn="0" w:noHBand="0" w:noVBand="0" w:val="0000"/>
        <w:jc w:val="start"/>
        <w:tblLayout w:type="fixed"/>
      </w:tblPr>
      <w:tblGrid>
        <w:gridCol w:w="7920"/>
      </w:tblGrid>
      <w:tr>
        <w:tc>
          <w:tcPr/>
          <w:bookmarkStart w:id="41" w:name="fig-result2"/>
          <w:p>
            <w:pPr>
              <w:pStyle w:val="Compact"/>
              <w:jc w:val="center"/>
            </w:pPr>
            <w:r>
              <w:drawing>
                <wp:inline>
                  <wp:extent cx="5334000" cy="3291658"/>
                  <wp:effectExtent b="0" l="0" r="0" t="0"/>
                  <wp:docPr descr="" title="" id="39" name="Picture"/>
                  <a:graphic>
                    <a:graphicData uri="http://schemas.openxmlformats.org/drawingml/2006/picture">
                      <pic:pic>
                        <pic:nvPicPr>
                          <pic:cNvPr descr="results/RMSE.png" id="40" name="Picture"/>
                          <pic:cNvPicPr>
                            <a:picLocks noChangeArrowheads="1" noChangeAspect="1"/>
                          </pic:cNvPicPr>
                        </pic:nvPicPr>
                        <pic:blipFill>
                          <a:blip r:embed="rId38"/>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Root Mean Squared Error Barplot</w:t>
            </w:r>
          </w:p>
          <w:bookmarkEnd w:id="41"/>
        </w:tc>
      </w:tr>
    </w:tbl>
    <w:tbl>
      <w:tblPr>
        <w:tblStyle w:val="Table"/>
        <w:tblW w:type="pct" w:w="5000"/>
        <w:tblLook w:firstRow="0" w:lastRow="0" w:firstColumn="0" w:lastColumn="0" w:noHBand="0" w:noVBand="0" w:val="0000"/>
        <w:jc w:val="start"/>
        <w:tblLayout w:type="fixed"/>
      </w:tblPr>
      <w:tblGrid>
        <w:gridCol w:w="7920"/>
      </w:tblGrid>
      <w:tr>
        <w:tc>
          <w:tcPr/>
          <w:bookmarkStart w:id="45" w:name="fig-result3"/>
          <w:p>
            <w:pPr>
              <w:pStyle w:val="Compact"/>
              <w:jc w:val="center"/>
            </w:pPr>
            <w:r>
              <w:drawing>
                <wp:inline>
                  <wp:extent cx="5334000" cy="3291658"/>
                  <wp:effectExtent b="0" l="0" r="0" t="0"/>
                  <wp:docPr descr="" title="" id="43" name="Picture"/>
                  <a:graphic>
                    <a:graphicData uri="http://schemas.openxmlformats.org/drawingml/2006/picture">
                      <pic:pic>
                        <pic:nvPicPr>
                          <pic:cNvPr descr="results/MAE.png" id="44" name="Picture"/>
                          <pic:cNvPicPr>
                            <a:picLocks noChangeArrowheads="1" noChangeAspect="1"/>
                          </pic:cNvPicPr>
                        </pic:nvPicPr>
                        <pic:blipFill>
                          <a:blip r:embed="rId42"/>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Mean Absolute Error Barplot</w:t>
            </w:r>
          </w:p>
          <w:bookmarkEnd w:id="45"/>
        </w:tc>
      </w:tr>
    </w:tbl>
    <w:p>
      <w:r>
        <w:br w:type="page"/>
      </w:r>
    </w:p>
    <w:bookmarkEnd w:id="46"/>
    <w:bookmarkStart w:id="59" w:name="variables-of-importance"/>
    <w:p>
      <w:pPr>
        <w:pStyle w:val="Heading3"/>
      </w:pPr>
      <w:r>
        <w:t xml:space="preserve">4.2.2 Variables of Importance</w:t>
      </w:r>
    </w:p>
    <w:p>
      <w:pPr>
        <w:pStyle w:val="FirstParagraph"/>
      </w:pPr>
      <w:r>
        <w:t xml:space="preserve">Finally, we can examine which predictors specifically improved prediction the most. That is, which had the greatest weight on the final result.</w:t>
      </w:r>
    </w:p>
    <w:p>
      <w:pPr>
        <w:pStyle w:val="BodyText"/>
      </w:pPr>
      <w:hyperlink w:anchor="fig-result4">
        <w:r>
          <w:rPr>
            <w:rStyle w:val="Hyperlink"/>
          </w:rPr>
          <w:t xml:space="preserve">Figure 4</w:t>
        </w:r>
      </w:hyperlink>
      <w:r>
        <w:t xml:space="preserve"> </w:t>
      </w:r>
      <w:r>
        <w:t xml:space="preserve">shows the Predictors that had the most impact on the Linear Regression Model</w:t>
      </w:r>
    </w:p>
    <w:tbl>
      <w:tblPr>
        <w:tblStyle w:val="Table"/>
        <w:tblW w:type="pct" w:w="5000"/>
        <w:tblLook w:firstRow="0" w:lastRow="0" w:firstColumn="0" w:lastColumn="0" w:noHBand="0" w:noVBand="0" w:val="0000"/>
        <w:jc w:val="start"/>
        <w:tblLayout w:type="fixed"/>
      </w:tblPr>
      <w:tblGrid>
        <w:gridCol w:w="7920"/>
      </w:tblGrid>
      <w:tr>
        <w:tc>
          <w:tcPr/>
          <w:bookmarkStart w:id="50" w:name="fig-result4"/>
          <w:p>
            <w:pPr>
              <w:pStyle w:val="Compact"/>
              <w:jc w:val="center"/>
            </w:pPr>
            <w:r>
              <w:drawing>
                <wp:inline>
                  <wp:extent cx="5334000" cy="3291658"/>
                  <wp:effectExtent b="0" l="0" r="0" t="0"/>
                  <wp:docPr descr="" title="" id="48" name="Picture"/>
                  <a:graphic>
                    <a:graphicData uri="http://schemas.openxmlformats.org/drawingml/2006/picture">
                      <pic:pic>
                        <pic:nvPicPr>
                          <pic:cNvPr descr="results/importantLN.png" id="49" name="Picture"/>
                          <pic:cNvPicPr>
                            <a:picLocks noChangeArrowheads="1" noChangeAspect="1"/>
                          </pic:cNvPicPr>
                        </pic:nvPicPr>
                        <pic:blipFill>
                          <a:blip r:embed="rId47"/>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Linear Model Variables of Importance</w:t>
            </w:r>
          </w:p>
          <w:bookmarkEnd w:id="50"/>
        </w:tc>
      </w:tr>
    </w:tbl>
    <w:p>
      <w:pPr>
        <w:pStyle w:val="BodyText"/>
      </w:pPr>
      <w:r>
        <w:t xml:space="preserve">X2ndFlrSF indicates the variable Second floor square feet (X is added prefix to align with R naming conventions).</w:t>
      </w:r>
      <w:r>
        <w:t xml:space="preserve"> </w:t>
      </w:r>
      <w:r>
        <w:t xml:space="preserve">BsmtFinSF1 represents the variable for Basement finished area square feet.</w:t>
      </w:r>
      <w:r>
        <w:t xml:space="preserve"> </w:t>
      </w:r>
      <w:r>
        <w:t xml:space="preserve">BsmtUnfSF represents the variable for Basement unfinished area square feet.</w:t>
      </w:r>
    </w:p>
    <w:p>
      <w:r>
        <w:br w:type="page"/>
      </w:r>
    </w:p>
    <w:p>
      <w:pPr>
        <w:pStyle w:val="BodyText"/>
      </w:pPr>
      <w:hyperlink w:anchor="fig-result5">
        <w:r>
          <w:rPr>
            <w:rStyle w:val="Hyperlink"/>
          </w:rPr>
          <w:t xml:space="preserve">Figure 5</w:t>
        </w:r>
      </w:hyperlink>
      <w:r>
        <w:t xml:space="preserve"> </w:t>
      </w:r>
      <w:r>
        <w:t xml:space="preserve">shows the Predictors that had the most impact on the KNN Model</w:t>
      </w:r>
    </w:p>
    <w:tbl>
      <w:tblPr>
        <w:tblStyle w:val="Table"/>
        <w:tblW w:type="pct" w:w="5000"/>
        <w:tblLook w:firstRow="0" w:lastRow="0" w:firstColumn="0" w:lastColumn="0" w:noHBand="0" w:noVBand="0" w:val="0000"/>
        <w:jc w:val="start"/>
        <w:tblLayout w:type="fixed"/>
      </w:tblPr>
      <w:tblGrid>
        <w:gridCol w:w="7920"/>
      </w:tblGrid>
      <w:tr>
        <w:tc>
          <w:tcPr/>
          <w:bookmarkStart w:id="54" w:name="fig-result5"/>
          <w:p>
            <w:pPr>
              <w:pStyle w:val="Compact"/>
              <w:jc w:val="center"/>
            </w:pPr>
            <w:r>
              <w:drawing>
                <wp:inline>
                  <wp:extent cx="5334000" cy="3291658"/>
                  <wp:effectExtent b="0" l="0" r="0" t="0"/>
                  <wp:docPr descr="" title="" id="52" name="Picture"/>
                  <a:graphic>
                    <a:graphicData uri="http://schemas.openxmlformats.org/drawingml/2006/picture">
                      <pic:pic>
                        <pic:nvPicPr>
                          <pic:cNvPr descr="results/importantKNN.png" id="53" name="Picture"/>
                          <pic:cNvPicPr>
                            <a:picLocks noChangeArrowheads="1" noChangeAspect="1"/>
                          </pic:cNvPicPr>
                        </pic:nvPicPr>
                        <pic:blipFill>
                          <a:blip r:embed="rId51"/>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KNN Model Variables of Importance</w:t>
            </w:r>
          </w:p>
          <w:bookmarkEnd w:id="54"/>
        </w:tc>
      </w:tr>
    </w:tbl>
    <w:p>
      <w:pPr>
        <w:pStyle w:val="BodyText"/>
      </w:pPr>
      <w:r>
        <w:t xml:space="preserve">OverallQual is a categorical variable that rates the overall material and finish of the house in terms of</w:t>
      </w:r>
      <w:r>
        <w:t xml:space="preserve"> </w:t>
      </w:r>
      <w:r>
        <w:t xml:space="preserve">“</w:t>
      </w:r>
      <w:r>
        <w:t xml:space="preserve">Excellent</w:t>
      </w:r>
      <w:r>
        <w:t xml:space="preserve">”</w:t>
      </w:r>
      <w:r>
        <w:t xml:space="preserve">,</w:t>
      </w:r>
      <w:r>
        <w:t xml:space="preserve"> </w:t>
      </w:r>
      <w:r>
        <w:t xml:space="preserve">“</w:t>
      </w:r>
      <w:r>
        <w:t xml:space="preserve">Poor</w:t>
      </w:r>
      <w:r>
        <w:t xml:space="preserve">”</w:t>
      </w:r>
      <w:r>
        <w:t xml:space="preserve">, etc. GrLivArea represents the total square feet of the above ground living area. TotalBsmtSF is the total basement square footage.</w:t>
      </w:r>
    </w:p>
    <w:p>
      <w:r>
        <w:br w:type="page"/>
      </w:r>
    </w:p>
    <w:p>
      <w:pPr>
        <w:pStyle w:val="BodyText"/>
      </w:pPr>
      <w:hyperlink w:anchor="fig-result6">
        <w:r>
          <w:rPr>
            <w:rStyle w:val="Hyperlink"/>
          </w:rPr>
          <w:t xml:space="preserve">Figure 6</w:t>
        </w:r>
      </w:hyperlink>
      <w:r>
        <w:t xml:space="preserve"> </w:t>
      </w:r>
      <w:r>
        <w:t xml:space="preserve">shows the Predictors that had the most impact on the RF Model</w:t>
      </w:r>
    </w:p>
    <w:tbl>
      <w:tblPr>
        <w:tblStyle w:val="Table"/>
        <w:tblW w:type="pct" w:w="5000"/>
        <w:tblLook w:firstRow="0" w:lastRow="0" w:firstColumn="0" w:lastColumn="0" w:noHBand="0" w:noVBand="0" w:val="0000"/>
        <w:jc w:val="start"/>
        <w:tblLayout w:type="fixed"/>
      </w:tblPr>
      <w:tblGrid>
        <w:gridCol w:w="7920"/>
      </w:tblGrid>
      <w:tr>
        <w:tc>
          <w:tcPr/>
          <w:bookmarkStart w:id="58" w:name="fig-result6"/>
          <w:p>
            <w:pPr>
              <w:pStyle w:val="Compact"/>
              <w:jc w:val="center"/>
            </w:pPr>
            <w:r>
              <w:drawing>
                <wp:inline>
                  <wp:extent cx="5334000" cy="3291658"/>
                  <wp:effectExtent b="0" l="0" r="0" t="0"/>
                  <wp:docPr descr="" title="" id="56" name="Picture"/>
                  <a:graphic>
                    <a:graphicData uri="http://schemas.openxmlformats.org/drawingml/2006/picture">
                      <pic:pic>
                        <pic:nvPicPr>
                          <pic:cNvPr descr="results/importantRF.png" id="57" name="Picture"/>
                          <pic:cNvPicPr>
                            <a:picLocks noChangeArrowheads="1" noChangeAspect="1"/>
                          </pic:cNvPicPr>
                        </pic:nvPicPr>
                        <pic:blipFill>
                          <a:blip r:embed="rId55"/>
                          <a:stretch>
                            <a:fillRect/>
                          </a:stretch>
                        </pic:blipFill>
                        <pic:spPr bwMode="auto">
                          <a:xfrm>
                            <a:off x="0" y="0"/>
                            <a:ext cx="5334000" cy="329165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RF Variables of Importance</w:t>
            </w:r>
          </w:p>
          <w:bookmarkEnd w:id="58"/>
        </w:tc>
      </w:tr>
    </w:tbl>
    <w:p>
      <w:pPr>
        <w:pStyle w:val="BodyText"/>
      </w:pPr>
      <w:r>
        <w:t xml:space="preserve">We can observe similar values to those highlighted by the KNN model, with the Neighborhood value appearing higher for the RandomForest model.</w:t>
      </w:r>
    </w:p>
    <w:p>
      <w:r>
        <w:br w:type="page"/>
      </w:r>
    </w:p>
    <w:bookmarkEnd w:id="59"/>
    <w:bookmarkEnd w:id="60"/>
    <w:bookmarkEnd w:id="61"/>
    <w:bookmarkStart w:id="64" w:name="discussion"/>
    <w:p>
      <w:pPr>
        <w:pStyle w:val="Heading1"/>
      </w:pPr>
      <w:r>
        <w:t xml:space="preserve">5. Discussion</w:t>
      </w:r>
    </w:p>
    <w:bookmarkStart w:id="62" w:name="summary-and-interpretation"/>
    <w:p>
      <w:pPr>
        <w:pStyle w:val="Heading2"/>
      </w:pPr>
      <w:r>
        <w:t xml:space="preserve">5.1 Summary and Interpretation</w:t>
      </w:r>
    </w:p>
    <w:p>
      <w:pPr>
        <w:pStyle w:val="FirstParagraph"/>
      </w:pPr>
      <w:r>
        <w:t xml:space="preserve">The results generated in this project indicate that there is some quality predictive power attributed to the chosen machine learning models. While the performance metrics were not quite as impressive as would be desired, given the relatively small size of the training data, these results are substantial. In addition to these findings, the models were able to produce which variables provided the most weight towards the prediction power. The Overall Quality and General Living Area Square Footage were the two predictors that were listed in all three models. Total square footage for Basements was also a variable common in both the RandomForest and KNN models.</w:t>
      </w:r>
    </w:p>
    <w:bookmarkEnd w:id="62"/>
    <w:bookmarkStart w:id="63" w:name="conclusions"/>
    <w:p>
      <w:pPr>
        <w:pStyle w:val="Heading2"/>
      </w:pPr>
      <w:r>
        <w:t xml:space="preserve">5.2 Conclusions</w:t>
      </w:r>
    </w:p>
    <w:p>
      <w:pPr>
        <w:pStyle w:val="FirstParagraph"/>
      </w:pPr>
      <w:r>
        <w:t xml:space="preserve">I attempted to develop different regression models that accurately predicted the prices of houses with minimal error. The three models that I ran all showed substantial predictive power for determining the correct sales price of a house, however, the performance metrics showed some room for future improvement.</w:t>
      </w:r>
    </w:p>
    <w:p>
      <w:pPr>
        <w:pStyle w:val="BodyText"/>
      </w:pPr>
      <w:r>
        <w:t xml:space="preserve">The other goal of this project was to identify which variables could best aid in identifying correct housing prices. While there was some variance among the predictors in terms of importance, some predictors clearly stood out above the rest. This information could be used as a items of focus in future analysis of housing prices as well as features of importance for real estate firms to prioritize.</w:t>
      </w:r>
    </w:p>
    <w:p>
      <w:pPr>
        <w:pStyle w:val="BodyText"/>
      </w:pPr>
      <w:r>
        <w:t xml:space="preserve">Further research would include utilizing different datasets to determine if these results are reproducible. Specifically, using a larger dataset with more observations could provide additional insights as well as improve predictability. Using housing data for a different general location could also be useful in determining whether the results presented here are indicative of most areas or if they are subject to localized bias.</w:t>
      </w:r>
    </w:p>
    <w:p>
      <w:r>
        <w:br w:type="page"/>
      </w:r>
    </w:p>
    <w:bookmarkEnd w:id="63"/>
    <w:bookmarkEnd w:id="64"/>
    <w:bookmarkStart w:id="68" w:name="references"/>
    <w:p>
      <w:pPr>
        <w:pStyle w:val="Heading1"/>
      </w:pPr>
      <w:r>
        <w:t xml:space="preserve">6. References</w:t>
      </w:r>
    </w:p>
    <w:bookmarkStart w:id="67" w:name="refs"/>
    <w:bookmarkStart w:id="65" w:name="ref-IBM"/>
    <w:p>
      <w:pPr>
        <w:pStyle w:val="Bibliography"/>
      </w:pPr>
      <w:r>
        <w:t xml:space="preserve">IBM. (n.d.).</w:t>
      </w:r>
      <w:r>
        <w:t xml:space="preserve"> </w:t>
      </w:r>
      <w:r>
        <w:rPr>
          <w:iCs/>
          <w:i/>
        </w:rPr>
        <w:t xml:space="preserve">What is random forest?</w:t>
      </w:r>
    </w:p>
    <w:bookmarkEnd w:id="65"/>
    <w:bookmarkStart w:id="66" w:name="ref-kuhn2018"/>
    <w:p>
      <w:pPr>
        <w:pStyle w:val="Bibliography"/>
      </w:pPr>
      <w:r>
        <w:t xml:space="preserve">Kuhn, &amp;. J., M. (2018).</w:t>
      </w:r>
      <w:r>
        <w:t xml:space="preserve"> </w:t>
      </w:r>
      <w:r>
        <w:rPr>
          <w:iCs/>
          <w:i/>
        </w:rPr>
        <w:t xml:space="preserve">Applied predictive modeling</w:t>
      </w:r>
      <w:r>
        <w:t xml:space="preserve">.</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Housing Prices with Machine Learning Models</dc:title>
  <dc:creator>Antonio Flores</dc:creator>
  <cp:keywords/>
  <dcterms:created xsi:type="dcterms:W3CDTF">2024-08-09T01:09:30Z</dcterms:created>
  <dcterms:modified xsi:type="dcterms:W3CDTF">2024-08-09T01:09:30Z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2024-08-08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