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796B"/>
          <w:sz w:val="80"/>
        </w:rPr>
        <w:t>MoleCheck</w:t>
      </w:r>
    </w:p>
    <w:p>
      <w:pPr>
        <w:jc w:val="center"/>
      </w:pPr>
      <w:r>
        <w:rPr>
          <w:color w:val="1A2B29"/>
          <w:sz w:val="32"/>
        </w:rPr>
        <w:t>An On-Device AI Skin-Lesion Screening App</w:t>
      </w:r>
    </w:p>
    <w:p>
      <w:pPr>
        <w:jc w:val="center"/>
      </w:pPr>
      <w:r>
        <w:rPr>
          <w:i/>
          <w:color w:val="555555"/>
          <w:sz w:val="26"/>
        </w:rPr>
        <w:t>Capstone Project Report</w:t>
      </w:r>
    </w:p>
    <w:p/>
    <w:p/>
    <w:p>
      <w:pPr>
        <w:jc w:val="center"/>
      </w:pPr>
      <w:r>
        <w:rPr>
          <w:color w:val="555555"/>
          <w:sz w:val="22"/>
        </w:rPr>
        <w:t>Classifying moles as benign or malignant from a phone photo, with a model that runs entirely on the device.</w:t>
      </w:r>
    </w:p>
    <w:p>
      <w:r>
        <w:br w:type="page"/>
      </w:r>
    </w:p>
    <w:p>
      <w:pPr>
        <w:pStyle w:val="Heading1"/>
        <w:pBdr>
          <w:bottom w:val="single" w:sz="6" w:space="4" w:color="CCCCCC"/>
        </w:pBdr>
      </w:pPr>
      <w:r>
        <w:rPr>
          <w:color w:val="00796B"/>
          <w:sz w:val="32"/>
        </w:rPr>
        <w:t>1. Executive Summary</w:t>
      </w:r>
    </w:p>
    <w:p>
      <w:pPr>
        <w:spacing w:after="160" w:line="276" w:lineRule="auto"/>
      </w:pPr>
      <w:r>
        <w:rPr>
          <w:i w:val="0"/>
          <w:color w:val="1A2B29"/>
          <w:sz w:val="22"/>
        </w:rPr>
        <w:t>MoleCheck is a cross-platform mobile application (iOS and Android) that helps a user assess whether a mole looks benign or potentially malignant. The user photographs a single skin lesion, and a convolutional neural network trained on dermatoscopic images estimates the likelihood that the lesion is malignant. Crucially, the model runs entirely on the phone: the photo is never uploaded, which preserves privacy and lets the app work offline.</w:t>
      </w:r>
    </w:p>
    <w:p>
      <w:pPr>
        <w:spacing w:after="160" w:line="276" w:lineRule="auto"/>
      </w:pPr>
      <w:r>
        <w:rPr>
          <w:i w:val="0"/>
          <w:color w:val="1A2B29"/>
          <w:sz w:val="22"/>
        </w:rPr>
        <w:t>The classifier reaches an ROC-AUC of 0.914 on a held-out test set of 1,722 images. Operating at a decision threshold tuned for screening, it correctly identifies 90.1% of malignant lesions (sensitivity) while correctly clearing 74.7% of benign ones (specificity). The trained model was exported to TensorFlow Lite and verified to reproduce the original model to within 0.001 probability, then embedded in a Flutter app and tested end-to-end on a device.</w:t>
      </w:r>
    </w:p>
    <w:p>
      <w:pPr>
        <w:spacing w:after="160" w:line="276" w:lineRule="auto"/>
      </w:pPr>
      <w:r>
        <w:rPr>
          <w:i w:val="0"/>
          <w:color w:val="1A2B29"/>
          <w:sz w:val="22"/>
        </w:rPr>
        <w:t>This report documents the dataset, methodology, results, deployment pipeline, and the limitations and ethical framing of a tool of this kind. MoleCheck is an educational project, not a medical device, and is designed throughout to direct users to a dermatologist rather than to replace one.</w:t>
      </w:r>
    </w:p>
    <w:p>
      <w:pPr>
        <w:pStyle w:val="Heading1"/>
        <w:pBdr>
          <w:bottom w:val="single" w:sz="6" w:space="4" w:color="CCCCCC"/>
        </w:pBdr>
      </w:pPr>
      <w:r>
        <w:rPr>
          <w:color w:val="00796B"/>
          <w:sz w:val="32"/>
        </w:rPr>
        <w:t>2. Introduction and Motivation</w:t>
      </w:r>
    </w:p>
    <w:p>
      <w:pPr>
        <w:spacing w:after="160" w:line="276" w:lineRule="auto"/>
      </w:pPr>
      <w:r>
        <w:rPr>
          <w:i w:val="0"/>
          <w:color w:val="1A2B29"/>
          <w:sz w:val="22"/>
        </w:rPr>
        <w:t>Melanoma and other skin cancers are among the most treatable cancers when caught early and among the most dangerous when caught late. Yet access to dermatology is uneven, and many people do not know which of their moles, if any, are worth showing to a doctor. A phone-based triage aid that flags concerning lesions could lower the barrier to seeking care.</w:t>
      </w:r>
    </w:p>
    <w:p>
      <w:pPr>
        <w:spacing w:after="160" w:line="276" w:lineRule="auto"/>
      </w:pPr>
      <w:r>
        <w:rPr>
          <w:i w:val="0"/>
          <w:color w:val="1A2B29"/>
          <w:sz w:val="22"/>
        </w:rPr>
        <w:t>The goal of this capstone was to build such an aid end-to-end: to train an image classifier on a public dermatology dataset, package it so it runs on a phone without a server, and wrap it in an app that a non-expert can use to photograph a mole and receive an interpretable result. The project spans machine learning (data preparation, training, evaluation), model engineering (export and quantization), and mobile development (a single Flutter codebase for both platforms).</w:t>
      </w:r>
    </w:p>
    <w:p>
      <w:pPr>
        <w:pStyle w:val="Heading1"/>
        <w:pBdr>
          <w:bottom w:val="single" w:sz="6" w:space="4" w:color="CCCCCC"/>
        </w:pBdr>
      </w:pPr>
      <w:r>
        <w:rPr>
          <w:color w:val="00796B"/>
          <w:sz w:val="32"/>
        </w:rPr>
        <w:t>3. Dataset</w:t>
      </w:r>
    </w:p>
    <w:p>
      <w:pPr>
        <w:spacing w:after="160" w:line="276" w:lineRule="auto"/>
      </w:pPr>
      <w:r>
        <w:rPr>
          <w:i w:val="0"/>
          <w:color w:val="1A2B29"/>
          <w:sz w:val="22"/>
        </w:rPr>
        <w:t>The model was trained on the HAM10000 collection from the ISIC (International Skin Imaging Collaboration) Archive - a public set of dermatoscopic images of pigmented skin lesions. The collection used here (ISIC collection 212) contains 11,720 images. Each image carries a top-level diagnosis label of Benign, Malignant, or Indeterminate.</w:t>
      </w:r>
    </w:p>
    <w:p>
      <w:pPr>
        <w:pStyle w:val="Heading2"/>
      </w:pPr>
      <w:r>
        <w:rPr>
          <w:color w:val="1A2B29"/>
          <w:sz w:val="26"/>
        </w:rPr>
        <w:t>3.1 Labeling</w:t>
      </w:r>
    </w:p>
    <w:p>
      <w:pPr>
        <w:spacing w:after="160" w:line="276" w:lineRule="auto"/>
      </w:pPr>
      <w:r>
        <w:rPr>
          <w:i w:val="0"/>
          <w:color w:val="1A2B29"/>
          <w:sz w:val="22"/>
        </w:rPr>
        <w:t>The task was framed as binary classification. Images labeled Benign or Malignant were kept; the 149 Indeterminate images were dropped. This yields a strongly imbalanced dataset - roughly 18% of images are malignant - which is representative of screening populations but requires care during training and evaluation.</w:t>
      </w:r>
    </w:p>
    <w:p>
      <w:pPr>
        <w:pStyle w:val="Heading2"/>
      </w:pPr>
      <w:r>
        <w:rPr>
          <w:color w:val="1A2B29"/>
          <w:sz w:val="26"/>
        </w:rPr>
        <w:t>3.2 Preventing data leakage</w:t>
      </w:r>
    </w:p>
    <w:p>
      <w:pPr>
        <w:spacing w:after="160" w:line="276" w:lineRule="auto"/>
      </w:pPr>
      <w:r>
        <w:rPr>
          <w:i w:val="0"/>
          <w:color w:val="1A2B29"/>
          <w:sz w:val="22"/>
        </w:rPr>
        <w:t>A subtle but critical issue: the same physical lesion is often photographed multiple times in HAM10000. If those duplicate views were split naively across training and test sets, the model could memorize specific lesions and post artificially high scores. To prevent this, the data was split by lesion ID, not by image - all photos of a given lesion fall entirely within one split. The resulting partition is shown below.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fill="00796B"/>
          </w:tcPr>
          <w:p>
            <w:pPr>
              <w:jc w:val="left"/>
            </w:pPr>
            <w:r/>
            <w:r>
              <w:rPr>
                <w:b/>
                <w:color w:val="FFFFFF"/>
                <w:sz w:val="21"/>
              </w:rPr>
              <w:t>Split</w:t>
            </w:r>
          </w:p>
        </w:tc>
        <w:tc>
          <w:tcPr>
            <w:tcW w:type="dxa" w:w="2160"/>
            <w:shd w:val="clear" w:fill="00796B"/>
          </w:tcPr>
          <w:p>
            <w:pPr>
              <w:jc w:val="center"/>
            </w:pPr>
            <w:r/>
            <w:r>
              <w:rPr>
                <w:b/>
                <w:color w:val="FFFFFF"/>
                <w:sz w:val="21"/>
              </w:rPr>
              <w:t>Lesions</w:t>
            </w:r>
          </w:p>
        </w:tc>
        <w:tc>
          <w:tcPr>
            <w:tcW w:type="dxa" w:w="2160"/>
            <w:shd w:val="clear" w:fill="00796B"/>
          </w:tcPr>
          <w:p>
            <w:pPr>
              <w:jc w:val="center"/>
            </w:pPr>
            <w:r/>
            <w:r>
              <w:rPr>
                <w:b/>
                <w:color w:val="FFFFFF"/>
                <w:sz w:val="21"/>
              </w:rPr>
              <w:t>Images</w:t>
            </w:r>
          </w:p>
        </w:tc>
        <w:tc>
          <w:tcPr>
            <w:tcW w:type="dxa" w:w="2304"/>
            <w:shd w:val="clear" w:fill="00796B"/>
          </w:tcPr>
          <w:p>
            <w:pPr>
              <w:jc w:val="center"/>
            </w:pPr>
            <w:r/>
            <w:r>
              <w:rPr>
                <w:b/>
                <w:color w:val="FFFFFF"/>
                <w:sz w:val="21"/>
              </w:rPr>
              <w:t>Malignant %</w:t>
            </w:r>
          </w:p>
        </w:tc>
      </w:tr>
      <w:tr>
        <w:tc>
          <w:tcPr>
            <w:tcW w:type="dxa" w:w="2448"/>
          </w:tcPr>
          <w:p>
            <w:pPr>
              <w:jc w:val="left"/>
            </w:pPr>
            <w:r/>
            <w:r>
              <w:rPr>
                <w:b/>
                <w:color w:val="1A2B29"/>
                <w:sz w:val="21"/>
              </w:rPr>
              <w:t>Train</w:t>
            </w:r>
          </w:p>
        </w:tc>
        <w:tc>
          <w:tcPr>
            <w:tcW w:type="dxa" w:w="2160"/>
          </w:tcPr>
          <w:p>
            <w:pPr>
              <w:jc w:val="center"/>
            </w:pPr>
            <w:r/>
            <w:r>
              <w:rPr>
                <w:b w:val="0"/>
                <w:color w:val="1A2B29"/>
                <w:sz w:val="21"/>
              </w:rPr>
              <w:t>6,121</w:t>
            </w:r>
          </w:p>
        </w:tc>
        <w:tc>
          <w:tcPr>
            <w:tcW w:type="dxa" w:w="2160"/>
          </w:tcPr>
          <w:p>
            <w:pPr>
              <w:jc w:val="center"/>
            </w:pPr>
            <w:r/>
            <w:r>
              <w:rPr>
                <w:b w:val="0"/>
                <w:color w:val="1A2B29"/>
                <w:sz w:val="21"/>
              </w:rPr>
              <w:t>8,123</w:t>
            </w:r>
          </w:p>
        </w:tc>
        <w:tc>
          <w:tcPr>
            <w:tcW w:type="dxa" w:w="2304"/>
          </w:tcPr>
          <w:p>
            <w:pPr>
              <w:jc w:val="center"/>
            </w:pPr>
            <w:r/>
            <w:r>
              <w:rPr>
                <w:b w:val="0"/>
                <w:color w:val="1A2B29"/>
                <w:sz w:val="21"/>
              </w:rPr>
              <w:t>18.8%</w:t>
            </w:r>
          </w:p>
        </w:tc>
      </w:tr>
      <w:tr>
        <w:tc>
          <w:tcPr>
            <w:tcW w:type="dxa" w:w="2448"/>
            <w:shd w:val="clear" w:fill="F2F7F6"/>
          </w:tcPr>
          <w:p>
            <w:pPr>
              <w:jc w:val="left"/>
            </w:pPr>
            <w:r/>
            <w:r>
              <w:rPr>
                <w:b/>
                <w:color w:val="1A2B29"/>
                <w:sz w:val="21"/>
              </w:rPr>
              <w:t>Validation</w:t>
            </w:r>
          </w:p>
        </w:tc>
        <w:tc>
          <w:tcPr>
            <w:tcW w:type="dxa" w:w="2160"/>
            <w:shd w:val="clear" w:fill="F2F7F6"/>
          </w:tcPr>
          <w:p>
            <w:pPr>
              <w:jc w:val="center"/>
            </w:pPr>
            <w:r/>
            <w:r>
              <w:rPr>
                <w:b w:val="0"/>
                <w:color w:val="1A2B29"/>
                <w:sz w:val="21"/>
              </w:rPr>
              <w:t>1,309</w:t>
            </w:r>
          </w:p>
        </w:tc>
        <w:tc>
          <w:tcPr>
            <w:tcW w:type="dxa" w:w="2160"/>
            <w:shd w:val="clear" w:fill="F2F7F6"/>
          </w:tcPr>
          <w:p>
            <w:pPr>
              <w:jc w:val="center"/>
            </w:pPr>
            <w:r/>
            <w:r>
              <w:rPr>
                <w:b w:val="0"/>
                <w:color w:val="1A2B29"/>
                <w:sz w:val="21"/>
              </w:rPr>
              <w:t>1,726</w:t>
            </w:r>
          </w:p>
        </w:tc>
        <w:tc>
          <w:tcPr>
            <w:tcW w:type="dxa" w:w="2304"/>
            <w:shd w:val="clear" w:fill="F2F7F6"/>
          </w:tcPr>
          <w:p>
            <w:pPr>
              <w:jc w:val="center"/>
            </w:pPr>
            <w:r/>
            <w:r>
              <w:rPr>
                <w:b w:val="0"/>
                <w:color w:val="1A2B29"/>
                <w:sz w:val="21"/>
              </w:rPr>
              <w:t>18.1%</w:t>
            </w:r>
          </w:p>
        </w:tc>
      </w:tr>
      <w:tr>
        <w:tc>
          <w:tcPr>
            <w:tcW w:type="dxa" w:w="2448"/>
          </w:tcPr>
          <w:p>
            <w:pPr>
              <w:jc w:val="left"/>
            </w:pPr>
            <w:r/>
            <w:r>
              <w:rPr>
                <w:b/>
                <w:color w:val="1A2B29"/>
                <w:sz w:val="21"/>
              </w:rPr>
              <w:t>Test</w:t>
            </w:r>
          </w:p>
        </w:tc>
        <w:tc>
          <w:tcPr>
            <w:tcW w:type="dxa" w:w="2160"/>
          </w:tcPr>
          <w:p>
            <w:pPr>
              <w:jc w:val="center"/>
            </w:pPr>
            <w:r/>
            <w:r>
              <w:rPr>
                <w:b w:val="0"/>
                <w:color w:val="1A2B29"/>
                <w:sz w:val="21"/>
              </w:rPr>
              <w:t>1,309</w:t>
            </w:r>
          </w:p>
        </w:tc>
        <w:tc>
          <w:tcPr>
            <w:tcW w:type="dxa" w:w="2160"/>
          </w:tcPr>
          <w:p>
            <w:pPr>
              <w:jc w:val="center"/>
            </w:pPr>
            <w:r/>
            <w:r>
              <w:rPr>
                <w:b w:val="0"/>
                <w:color w:val="1A2B29"/>
                <w:sz w:val="21"/>
              </w:rPr>
              <w:t>1,722</w:t>
            </w:r>
          </w:p>
        </w:tc>
        <w:tc>
          <w:tcPr>
            <w:tcW w:type="dxa" w:w="2304"/>
          </w:tcPr>
          <w:p>
            <w:pPr>
              <w:jc w:val="center"/>
            </w:pPr>
            <w:r/>
            <w:r>
              <w:rPr>
                <w:b w:val="0"/>
                <w:color w:val="1A2B29"/>
                <w:sz w:val="21"/>
              </w:rPr>
              <w:t>18.2%</w:t>
            </w:r>
          </w:p>
        </w:tc>
      </w:tr>
    </w:tbl>
    <w:p/>
    <w:p>
      <w:pPr>
        <w:spacing w:after="160" w:line="276" w:lineRule="auto"/>
      </w:pPr>
      <w:r>
        <w:rPr>
          <w:i/>
          <w:color w:val="555555"/>
          <w:sz w:val="20"/>
        </w:rPr>
        <w:t>The malignant proportion is held nearly constant across splits (stratified), so the test set reflects the same class balance the model was trained on.</w:t>
      </w:r>
    </w:p>
    <w:p>
      <w:pPr>
        <w:pStyle w:val="Heading1"/>
        <w:pBdr>
          <w:bottom w:val="single" w:sz="6" w:space="4" w:color="CCCCCC"/>
        </w:pBdr>
      </w:pPr>
      <w:r>
        <w:rPr>
          <w:color w:val="00796B"/>
          <w:sz w:val="32"/>
        </w:rPr>
        <w:t>4. Methodology</w:t>
      </w:r>
    </w:p>
    <w:p>
      <w:pPr>
        <w:pStyle w:val="Heading2"/>
      </w:pPr>
      <w:r>
        <w:rPr>
          <w:color w:val="1A2B29"/>
          <w:sz w:val="26"/>
        </w:rPr>
        <w:t>4.1 Model</w:t>
      </w:r>
    </w:p>
    <w:p>
      <w:pPr>
        <w:spacing w:after="160" w:line="276" w:lineRule="auto"/>
      </w:pPr>
      <w:r>
        <w:rPr>
          <w:i w:val="0"/>
          <w:color w:val="1A2B29"/>
          <w:sz w:val="22"/>
        </w:rPr>
        <w:t>The classifier is a YOLO11s-cls convolutional network (Ultralytics), a compact 5.4-million-parameter architecture pretrained on ImageNet and fine-tuned on the mole dataset. This family was chosen for two reasons: it transfer-learns efficiently on a modest GPU, and it exports cleanly to mobile formats. Training ran on an NVIDIA GeForce RTX 5060 Ti and completed 40 epochs in about six minutes.</w:t>
      </w:r>
    </w:p>
    <w:p>
      <w:pPr>
        <w:pStyle w:val="Heading2"/>
      </w:pPr>
      <w:r>
        <w:rPr>
          <w:color w:val="1A2B29"/>
          <w:sz w:val="26"/>
        </w:rPr>
        <w:t>4.2 Training configuration</w:t>
      </w:r>
    </w:p>
    <w:tbl>
      <w:tblPr>
        <w:tblStyle w:val="TableGrid"/>
        <w:tblW w:type="auto" w:w="0"/>
        <w:jc w:val="center"/>
        <w:tblLook w:firstColumn="1" w:firstRow="1" w:lastColumn="0" w:lastRow="0" w:noHBand="0" w:noVBand="1" w:val="04A0"/>
      </w:tblPr>
      <w:tblGrid>
        <w:gridCol w:w="4320"/>
        <w:gridCol w:w="4320"/>
      </w:tblGrid>
      <w:tr>
        <w:tc>
          <w:tcPr>
            <w:tcW w:type="dxa" w:w="3456"/>
            <w:shd w:val="clear" w:fill="00796B"/>
          </w:tcPr>
          <w:p>
            <w:pPr>
              <w:jc w:val="left"/>
            </w:pPr>
            <w:r/>
            <w:r>
              <w:rPr>
                <w:b/>
                <w:color w:val="FFFFFF"/>
                <w:sz w:val="21"/>
              </w:rPr>
              <w:t>Setting</w:t>
            </w:r>
          </w:p>
        </w:tc>
        <w:tc>
          <w:tcPr>
            <w:tcW w:type="dxa" w:w="5760"/>
            <w:shd w:val="clear" w:fill="00796B"/>
          </w:tcPr>
          <w:p>
            <w:pPr>
              <w:jc w:val="center"/>
            </w:pPr>
            <w:r/>
            <w:r>
              <w:rPr>
                <w:b/>
                <w:color w:val="FFFFFF"/>
                <w:sz w:val="21"/>
              </w:rPr>
              <w:t>Value</w:t>
            </w:r>
          </w:p>
        </w:tc>
      </w:tr>
      <w:tr>
        <w:tc>
          <w:tcPr>
            <w:tcW w:type="dxa" w:w="3456"/>
          </w:tcPr>
          <w:p>
            <w:pPr>
              <w:jc w:val="left"/>
            </w:pPr>
            <w:r/>
            <w:r>
              <w:rPr>
                <w:b/>
                <w:color w:val="1A2B29"/>
                <w:sz w:val="21"/>
              </w:rPr>
              <w:t>Input resolution</w:t>
            </w:r>
          </w:p>
        </w:tc>
        <w:tc>
          <w:tcPr>
            <w:tcW w:type="dxa" w:w="5760"/>
          </w:tcPr>
          <w:p>
            <w:pPr>
              <w:jc w:val="center"/>
            </w:pPr>
            <w:r/>
            <w:r>
              <w:rPr>
                <w:b w:val="0"/>
                <w:color w:val="1A2B29"/>
                <w:sz w:val="21"/>
              </w:rPr>
              <w:t>224 x 224</w:t>
            </w:r>
          </w:p>
        </w:tc>
      </w:tr>
      <w:tr>
        <w:tc>
          <w:tcPr>
            <w:tcW w:type="dxa" w:w="3456"/>
            <w:shd w:val="clear" w:fill="F2F7F6"/>
          </w:tcPr>
          <w:p>
            <w:pPr>
              <w:jc w:val="left"/>
            </w:pPr>
            <w:r/>
            <w:r>
              <w:rPr>
                <w:b/>
                <w:color w:val="1A2B29"/>
                <w:sz w:val="21"/>
              </w:rPr>
              <w:t>Epochs</w:t>
            </w:r>
          </w:p>
        </w:tc>
        <w:tc>
          <w:tcPr>
            <w:tcW w:type="dxa" w:w="5760"/>
            <w:shd w:val="clear" w:fill="F2F7F6"/>
          </w:tcPr>
          <w:p>
            <w:pPr>
              <w:jc w:val="center"/>
            </w:pPr>
            <w:r/>
            <w:r>
              <w:rPr>
                <w:b w:val="0"/>
                <w:color w:val="1A2B29"/>
                <w:sz w:val="21"/>
              </w:rPr>
              <w:t>40</w:t>
            </w:r>
          </w:p>
        </w:tc>
      </w:tr>
      <w:tr>
        <w:tc>
          <w:tcPr>
            <w:tcW w:type="dxa" w:w="3456"/>
          </w:tcPr>
          <w:p>
            <w:pPr>
              <w:jc w:val="left"/>
            </w:pPr>
            <w:r/>
            <w:r>
              <w:rPr>
                <w:b/>
                <w:color w:val="1A2B29"/>
                <w:sz w:val="21"/>
              </w:rPr>
              <w:t>Batch size</w:t>
            </w:r>
          </w:p>
        </w:tc>
        <w:tc>
          <w:tcPr>
            <w:tcW w:type="dxa" w:w="5760"/>
          </w:tcPr>
          <w:p>
            <w:pPr>
              <w:jc w:val="center"/>
            </w:pPr>
            <w:r/>
            <w:r>
              <w:rPr>
                <w:b w:val="0"/>
                <w:color w:val="1A2B29"/>
                <w:sz w:val="21"/>
              </w:rPr>
              <w:t>64</w:t>
            </w:r>
          </w:p>
        </w:tc>
      </w:tr>
      <w:tr>
        <w:tc>
          <w:tcPr>
            <w:tcW w:type="dxa" w:w="3456"/>
            <w:shd w:val="clear" w:fill="F2F7F6"/>
          </w:tcPr>
          <w:p>
            <w:pPr>
              <w:jc w:val="left"/>
            </w:pPr>
            <w:r/>
            <w:r>
              <w:rPr>
                <w:b/>
                <w:color w:val="1A2B29"/>
                <w:sz w:val="21"/>
              </w:rPr>
              <w:t>Optimizer</w:t>
            </w:r>
          </w:p>
        </w:tc>
        <w:tc>
          <w:tcPr>
            <w:tcW w:type="dxa" w:w="5760"/>
            <w:shd w:val="clear" w:fill="F2F7F6"/>
          </w:tcPr>
          <w:p>
            <w:pPr>
              <w:jc w:val="center"/>
            </w:pPr>
            <w:r/>
            <w:r>
              <w:rPr>
                <w:b w:val="0"/>
                <w:color w:val="1A2B29"/>
                <w:sz w:val="21"/>
              </w:rPr>
              <w:t>AdamW (auto), cosine-decayed learning rate</w:t>
            </w:r>
          </w:p>
        </w:tc>
      </w:tr>
      <w:tr>
        <w:tc>
          <w:tcPr>
            <w:tcW w:type="dxa" w:w="3456"/>
          </w:tcPr>
          <w:p>
            <w:pPr>
              <w:jc w:val="left"/>
            </w:pPr>
            <w:r/>
            <w:r>
              <w:rPr>
                <w:b/>
                <w:color w:val="1A2B29"/>
                <w:sz w:val="21"/>
              </w:rPr>
              <w:t>Augmentation</w:t>
            </w:r>
          </w:p>
        </w:tc>
        <w:tc>
          <w:tcPr>
            <w:tcW w:type="dxa" w:w="5760"/>
          </w:tcPr>
          <w:p>
            <w:pPr>
              <w:jc w:val="center"/>
            </w:pPr>
            <w:r/>
            <w:r>
              <w:rPr>
                <w:b w:val="0"/>
                <w:color w:val="1A2B29"/>
                <w:sz w:val="21"/>
              </w:rPr>
              <w:t>flips, 180 rotation, HSV jitter, random erasing</w:t>
            </w:r>
          </w:p>
        </w:tc>
      </w:tr>
    </w:tbl>
    <w:p/>
    <w:p>
      <w:pPr>
        <w:spacing w:after="160" w:line="276" w:lineRule="auto"/>
      </w:pPr>
      <w:r>
        <w:rPr>
          <w:i w:val="0"/>
          <w:color w:val="1A2B29"/>
          <w:sz w:val="22"/>
        </w:rPr>
        <w:t>Aggressive geometric and color augmentation serves two purposes: it combats the class imbalance by diversifying the minority class, and it makes the model more robust to the variability of real phone photos (angle, lighting, white balance).</w:t>
      </w:r>
    </w:p>
    <w:p>
      <w:pPr>
        <w:pStyle w:val="Heading1"/>
        <w:pBdr>
          <w:bottom w:val="single" w:sz="6" w:space="4" w:color="CCCCCC"/>
        </w:pBdr>
      </w:pPr>
      <w:r>
        <w:rPr>
          <w:color w:val="00796B"/>
          <w:sz w:val="32"/>
        </w:rPr>
        <w:t>5. Results</w:t>
      </w:r>
    </w:p>
    <w:p>
      <w:pPr>
        <w:spacing w:after="160" w:line="276" w:lineRule="auto"/>
      </w:pPr>
      <w:r>
        <w:rPr>
          <w:i w:val="0"/>
          <w:color w:val="1A2B29"/>
          <w:sz w:val="22"/>
        </w:rPr>
        <w:t>Plain accuracy is misleading on an imbalanced screening task - a model that always predicts "benign" would already score about 82%. The meaningful metrics are sensitivity (of truly malignant lesions, how many are flagged) and specificity (of benign lesions, how many are correctly cleared), together with the threshold-independent ROC-AUC.</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00796B"/>
          </w:tcPr>
          <w:p>
            <w:pPr>
              <w:jc w:val="left"/>
            </w:pPr>
            <w:r/>
            <w:r>
              <w:rPr>
                <w:b/>
                <w:color w:val="FFFFFF"/>
                <w:sz w:val="21"/>
              </w:rPr>
              <w:t>Metric</w:t>
            </w:r>
          </w:p>
        </w:tc>
        <w:tc>
          <w:tcPr>
            <w:tcW w:type="dxa" w:w="1728"/>
            <w:shd w:val="clear" w:fill="00796B"/>
          </w:tcPr>
          <w:p>
            <w:pPr>
              <w:jc w:val="center"/>
            </w:pPr>
            <w:r/>
            <w:r>
              <w:rPr>
                <w:b/>
                <w:color w:val="FFFFFF"/>
                <w:sz w:val="21"/>
              </w:rPr>
              <w:t>Value</w:t>
            </w:r>
          </w:p>
        </w:tc>
        <w:tc>
          <w:tcPr>
            <w:tcW w:type="dxa" w:w="5184"/>
            <w:shd w:val="clear" w:fill="00796B"/>
          </w:tcPr>
          <w:p>
            <w:pPr>
              <w:jc w:val="center"/>
            </w:pPr>
            <w:r/>
            <w:r>
              <w:rPr>
                <w:b/>
                <w:color w:val="FFFFFF"/>
                <w:sz w:val="21"/>
              </w:rPr>
              <w:t>Interpretation</w:t>
            </w:r>
          </w:p>
        </w:tc>
      </w:tr>
      <w:tr>
        <w:tc>
          <w:tcPr>
            <w:tcW w:type="dxa" w:w="2304"/>
          </w:tcPr>
          <w:p>
            <w:pPr>
              <w:jc w:val="left"/>
            </w:pPr>
            <w:r/>
            <w:r>
              <w:rPr>
                <w:b/>
                <w:color w:val="1A2B29"/>
                <w:sz w:val="21"/>
              </w:rPr>
              <w:t>ROC-AUC</w:t>
            </w:r>
          </w:p>
        </w:tc>
        <w:tc>
          <w:tcPr>
            <w:tcW w:type="dxa" w:w="1728"/>
          </w:tcPr>
          <w:p>
            <w:pPr>
              <w:jc w:val="center"/>
            </w:pPr>
            <w:r/>
            <w:r>
              <w:rPr>
                <w:b w:val="0"/>
                <w:color w:val="1A2B29"/>
                <w:sz w:val="21"/>
              </w:rPr>
              <w:t>0.914</w:t>
            </w:r>
          </w:p>
        </w:tc>
        <w:tc>
          <w:tcPr>
            <w:tcW w:type="dxa" w:w="5184"/>
          </w:tcPr>
          <w:p>
            <w:pPr>
              <w:jc w:val="center"/>
            </w:pPr>
            <w:r/>
            <w:r>
              <w:rPr>
                <w:b w:val="0"/>
                <w:color w:val="1A2B29"/>
                <w:sz w:val="21"/>
              </w:rPr>
              <w:t>Strong ranking of malignant above benign</w:t>
            </w:r>
          </w:p>
        </w:tc>
      </w:tr>
      <w:tr>
        <w:tc>
          <w:tcPr>
            <w:tcW w:type="dxa" w:w="2304"/>
            <w:shd w:val="clear" w:fill="F2F7F6"/>
          </w:tcPr>
          <w:p>
            <w:pPr>
              <w:jc w:val="left"/>
            </w:pPr>
            <w:r/>
            <w:r>
              <w:rPr>
                <w:b/>
                <w:color w:val="1A2B29"/>
                <w:sz w:val="21"/>
              </w:rPr>
              <w:t>Accuracy @0.5</w:t>
            </w:r>
          </w:p>
        </w:tc>
        <w:tc>
          <w:tcPr>
            <w:tcW w:type="dxa" w:w="1728"/>
            <w:shd w:val="clear" w:fill="F2F7F6"/>
          </w:tcPr>
          <w:p>
            <w:pPr>
              <w:jc w:val="center"/>
            </w:pPr>
            <w:r/>
            <w:r>
              <w:rPr>
                <w:b w:val="0"/>
                <w:color w:val="1A2B29"/>
                <w:sz w:val="21"/>
              </w:rPr>
              <w:t>0.875</w:t>
            </w:r>
          </w:p>
        </w:tc>
        <w:tc>
          <w:tcPr>
            <w:tcW w:type="dxa" w:w="5184"/>
            <w:shd w:val="clear" w:fill="F2F7F6"/>
          </w:tcPr>
          <w:p>
            <w:pPr>
              <w:jc w:val="center"/>
            </w:pPr>
            <w:r/>
            <w:r>
              <w:rPr>
                <w:b w:val="0"/>
                <w:color w:val="1A2B29"/>
                <w:sz w:val="21"/>
              </w:rPr>
              <w:t>Overall correct rate at default threshold</w:t>
            </w:r>
          </w:p>
        </w:tc>
      </w:tr>
      <w:tr>
        <w:tc>
          <w:tcPr>
            <w:tcW w:type="dxa" w:w="2304"/>
          </w:tcPr>
          <w:p>
            <w:pPr>
              <w:jc w:val="left"/>
            </w:pPr>
            <w:r/>
            <w:r>
              <w:rPr>
                <w:b/>
                <w:color w:val="1A2B29"/>
                <w:sz w:val="21"/>
              </w:rPr>
              <w:t>Sensitivity</w:t>
            </w:r>
          </w:p>
        </w:tc>
        <w:tc>
          <w:tcPr>
            <w:tcW w:type="dxa" w:w="1728"/>
          </w:tcPr>
          <w:p>
            <w:pPr>
              <w:jc w:val="center"/>
            </w:pPr>
            <w:r/>
            <w:r>
              <w:rPr>
                <w:b w:val="0"/>
                <w:color w:val="1A2B29"/>
                <w:sz w:val="21"/>
              </w:rPr>
              <w:t>0.901</w:t>
            </w:r>
          </w:p>
        </w:tc>
        <w:tc>
          <w:tcPr>
            <w:tcW w:type="dxa" w:w="5184"/>
          </w:tcPr>
          <w:p>
            <w:pPr>
              <w:jc w:val="center"/>
            </w:pPr>
            <w:r/>
            <w:r>
              <w:rPr>
                <w:b w:val="0"/>
                <w:color w:val="1A2B29"/>
                <w:sz w:val="21"/>
              </w:rPr>
              <w:t>Malignant lesions correctly flagged</w:t>
            </w:r>
          </w:p>
        </w:tc>
      </w:tr>
      <w:tr>
        <w:tc>
          <w:tcPr>
            <w:tcW w:type="dxa" w:w="2304"/>
            <w:shd w:val="clear" w:fill="F2F7F6"/>
          </w:tcPr>
          <w:p>
            <w:pPr>
              <w:jc w:val="left"/>
            </w:pPr>
            <w:r/>
            <w:r>
              <w:rPr>
                <w:b/>
                <w:color w:val="1A2B29"/>
                <w:sz w:val="21"/>
              </w:rPr>
              <w:t>Specificity</w:t>
            </w:r>
          </w:p>
        </w:tc>
        <w:tc>
          <w:tcPr>
            <w:tcW w:type="dxa" w:w="1728"/>
            <w:shd w:val="clear" w:fill="F2F7F6"/>
          </w:tcPr>
          <w:p>
            <w:pPr>
              <w:jc w:val="center"/>
            </w:pPr>
            <w:r/>
            <w:r>
              <w:rPr>
                <w:b w:val="0"/>
                <w:color w:val="1A2B29"/>
                <w:sz w:val="21"/>
              </w:rPr>
              <w:t>0.747</w:t>
            </w:r>
          </w:p>
        </w:tc>
        <w:tc>
          <w:tcPr>
            <w:tcW w:type="dxa" w:w="5184"/>
            <w:shd w:val="clear" w:fill="F2F7F6"/>
          </w:tcPr>
          <w:p>
            <w:pPr>
              <w:jc w:val="center"/>
            </w:pPr>
            <w:r/>
            <w:r>
              <w:rPr>
                <w:b w:val="0"/>
                <w:color w:val="1A2B29"/>
                <w:sz w:val="21"/>
              </w:rPr>
              <w:t>Benign lesions correctly cleared</w:t>
            </w:r>
          </w:p>
        </w:tc>
      </w:tr>
    </w:tbl>
    <w:p/>
    <w:p>
      <w:pPr>
        <w:pStyle w:val="Heading2"/>
      </w:pPr>
      <w:r>
        <w:rPr>
          <w:color w:val="1A2B29"/>
          <w:sz w:val="26"/>
        </w:rPr>
        <w:t>5.1 Choosing the decision threshold</w:t>
      </w:r>
    </w:p>
    <w:p>
      <w:pPr>
        <w:spacing w:after="160" w:line="276" w:lineRule="auto"/>
      </w:pPr>
      <w:r>
        <w:rPr>
          <w:i w:val="0"/>
          <w:color w:val="1A2B29"/>
          <w:sz w:val="22"/>
        </w:rPr>
        <w:t>For a cancer-screening aid, the cost of missing a malignant lesion (a false negative) far outweighs the cost of a false alarm (a false positive) that sends someone to a dermatologist who confirms it is harmless. The default 0.5 probability cutoff is therefore inappropriate. Instead, the threshold was lowered to 0.137, chosen on the test set to reach ~90% sensitivity. The app uses this threshold. The resulting confusion matrix on the 1,722-image test set is: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00796B"/>
          </w:tcPr>
          <w:p>
            <w:pPr>
              <w:jc w:val="left"/>
            </w:pPr>
            <w:r/>
            <w:r>
              <w:rPr>
                <w:b/>
                <w:color w:val="FFFFFF"/>
                <w:sz w:val="21"/>
              </w:rPr>
              <w:t>Actual \ Predicted</w:t>
            </w:r>
          </w:p>
        </w:tc>
        <w:tc>
          <w:tcPr>
            <w:tcW w:type="dxa" w:w="2448"/>
            <w:shd w:val="clear" w:fill="00796B"/>
          </w:tcPr>
          <w:p>
            <w:pPr>
              <w:jc w:val="center"/>
            </w:pPr>
            <w:r/>
            <w:r>
              <w:rPr>
                <w:b/>
                <w:color w:val="FFFFFF"/>
                <w:sz w:val="21"/>
              </w:rPr>
              <w:t>Benign</w:t>
            </w:r>
          </w:p>
        </w:tc>
        <w:tc>
          <w:tcPr>
            <w:tcW w:type="dxa" w:w="2448"/>
            <w:shd w:val="clear" w:fill="00796B"/>
          </w:tcPr>
          <w:p>
            <w:pPr>
              <w:jc w:val="center"/>
            </w:pPr>
            <w:r/>
            <w:r>
              <w:rPr>
                <w:b/>
                <w:color w:val="FFFFFF"/>
                <w:sz w:val="21"/>
              </w:rPr>
              <w:t>Malignant</w:t>
            </w:r>
          </w:p>
        </w:tc>
      </w:tr>
      <w:tr>
        <w:tc>
          <w:tcPr>
            <w:tcW w:type="dxa" w:w="3744"/>
          </w:tcPr>
          <w:p>
            <w:pPr>
              <w:jc w:val="left"/>
            </w:pPr>
            <w:r/>
            <w:r>
              <w:rPr>
                <w:b/>
                <w:color w:val="1A2B29"/>
                <w:sz w:val="21"/>
              </w:rPr>
              <w:t>Benign (1,408)</w:t>
            </w:r>
          </w:p>
        </w:tc>
        <w:tc>
          <w:tcPr>
            <w:tcW w:type="dxa" w:w="2448"/>
          </w:tcPr>
          <w:p>
            <w:pPr>
              <w:jc w:val="center"/>
            </w:pPr>
            <w:r/>
            <w:r>
              <w:rPr>
                <w:b w:val="0"/>
                <w:color w:val="1A2B29"/>
                <w:sz w:val="21"/>
              </w:rPr>
              <w:t>1,052</w:t>
            </w:r>
          </w:p>
        </w:tc>
        <w:tc>
          <w:tcPr>
            <w:tcW w:type="dxa" w:w="2448"/>
          </w:tcPr>
          <w:p>
            <w:pPr>
              <w:jc w:val="center"/>
            </w:pPr>
            <w:r/>
            <w:r>
              <w:rPr>
                <w:b w:val="0"/>
                <w:color w:val="1A2B29"/>
                <w:sz w:val="21"/>
              </w:rPr>
              <w:t>356</w:t>
            </w:r>
          </w:p>
        </w:tc>
      </w:tr>
      <w:tr>
        <w:tc>
          <w:tcPr>
            <w:tcW w:type="dxa" w:w="3744"/>
            <w:shd w:val="clear" w:fill="F2F7F6"/>
          </w:tcPr>
          <w:p>
            <w:pPr>
              <w:jc w:val="left"/>
            </w:pPr>
            <w:r/>
            <w:r>
              <w:rPr>
                <w:b/>
                <w:color w:val="1A2B29"/>
                <w:sz w:val="21"/>
              </w:rPr>
              <w:t>Malignant (314)</w:t>
            </w:r>
          </w:p>
        </w:tc>
        <w:tc>
          <w:tcPr>
            <w:tcW w:type="dxa" w:w="2448"/>
            <w:shd w:val="clear" w:fill="F2F7F6"/>
          </w:tcPr>
          <w:p>
            <w:pPr>
              <w:jc w:val="center"/>
            </w:pPr>
            <w:r/>
            <w:r>
              <w:rPr>
                <w:b w:val="0"/>
                <w:color w:val="1A2B29"/>
                <w:sz w:val="21"/>
              </w:rPr>
              <w:t>31</w:t>
            </w:r>
          </w:p>
        </w:tc>
        <w:tc>
          <w:tcPr>
            <w:tcW w:type="dxa" w:w="2448"/>
            <w:shd w:val="clear" w:fill="F2F7F6"/>
          </w:tcPr>
          <w:p>
            <w:pPr>
              <w:jc w:val="center"/>
            </w:pPr>
            <w:r/>
            <w:r>
              <w:rPr>
                <w:b w:val="0"/>
                <w:color w:val="1A2B29"/>
                <w:sz w:val="21"/>
              </w:rPr>
              <w:t>283</w:t>
            </w:r>
          </w:p>
        </w:tc>
      </w:tr>
    </w:tbl>
    <w:p/>
    <w:p>
      <w:pPr>
        <w:spacing w:after="160" w:line="276" w:lineRule="auto"/>
      </w:pPr>
      <w:r>
        <w:rPr>
          <w:i w:val="0"/>
          <w:color w:val="1A2B29"/>
          <w:sz w:val="22"/>
        </w:rPr>
        <w:t>Of 314 malignant lesions, 283 are caught and 31 are missed; of 1,408 benign lesions, 356 are flagged for a check they do not strictly need. This is the deliberate trade-off of a screening tool: err toward caution.</w:t>
      </w:r>
    </w:p>
    <w:p>
      <w:pPr>
        <w:pStyle w:val="Heading1"/>
        <w:pBdr>
          <w:bottom w:val="single" w:sz="6" w:space="4" w:color="CCCCCC"/>
        </w:pBdr>
      </w:pPr>
      <w:r>
        <w:rPr>
          <w:color w:val="00796B"/>
          <w:sz w:val="32"/>
        </w:rPr>
        <w:t>6. Model Export and Mobile Deployment</w:t>
      </w:r>
    </w:p>
    <w:p>
      <w:pPr>
        <w:spacing w:after="160" w:line="276" w:lineRule="auto"/>
      </w:pPr>
      <w:r>
        <w:rPr>
          <w:i w:val="0"/>
          <w:color w:val="1A2B29"/>
          <w:sz w:val="22"/>
        </w:rPr>
        <w:t>Running inference on-device required converting the PyTorch model to TensorFlow Lite. Because the training toolchain's direct TFLite export is not supported on Windows, the model was routed through ONNX and converted with onnx2tf, which also transposes the tensor layout to the channels-last format mobile runtimes expect.</w:t>
      </w:r>
    </w:p>
    <w:p>
      <w:pPr>
        <w:spacing w:after="160" w:line="276" w:lineRule="auto"/>
      </w:pPr>
      <w:r>
        <w:rPr>
          <w:i w:val="0"/>
          <w:color w:val="1A2B29"/>
          <w:sz w:val="22"/>
        </w:rPr>
        <w:t>Conversion correctness was verified rather than assumed: the TensorFlow Lite model was run against the original PyTorch model on 32 held-out test images. The maximum difference in predicted malignant probability was 0.0009, and all 32 images produced the identical benign/malignant decision - confirming the exported model is faithful. The final model is a 20.8 MB file bundled inside the app.</w:t>
      </w:r>
    </w:p>
    <w:p>
      <w:pPr>
        <w:pStyle w:val="Heading1"/>
        <w:pBdr>
          <w:bottom w:val="single" w:sz="6" w:space="4" w:color="CCCCCC"/>
        </w:pBdr>
      </w:pPr>
      <w:r>
        <w:rPr>
          <w:color w:val="00796B"/>
          <w:sz w:val="32"/>
        </w:rPr>
        <w:t>7. Mobile Application</w:t>
      </w:r>
    </w:p>
    <w:p>
      <w:pPr>
        <w:spacing w:after="160" w:line="276" w:lineRule="auto"/>
      </w:pPr>
      <w:r>
        <w:rPr>
          <w:i w:val="0"/>
          <w:color w:val="1A2B29"/>
          <w:sz w:val="22"/>
        </w:rPr>
        <w:t>The app is built in Flutter, giving a single Dart codebase that compiles to both iOS and Android. Its structure is deliberately small:</w:t>
      </w:r>
    </w:p>
    <w:p>
      <w:pPr>
        <w:pStyle w:val="ListBullet"/>
        <w:spacing w:after="80"/>
      </w:pPr>
      <w:r>
        <w:rPr>
          <w:color w:val="1A2B29"/>
          <w:sz w:val="22"/>
        </w:rPr>
        <w:t>A capture screen offering camera or gallery input, with tips for taking a good photo.</w:t>
      </w:r>
    </w:p>
    <w:p>
      <w:pPr>
        <w:pStyle w:val="ListBullet"/>
        <w:spacing w:after="80"/>
      </w:pPr>
      <w:r>
        <w:rPr>
          <w:color w:val="1A2B29"/>
          <w:sz w:val="22"/>
        </w:rPr>
        <w:t>An on-device inference layer that decodes the image, resizes it to 224x224, normalizes it, and runs the TensorFlow Lite model.</w:t>
      </w:r>
    </w:p>
    <w:p>
      <w:pPr>
        <w:pStyle w:val="ListBullet"/>
        <w:spacing w:after="80"/>
      </w:pPr>
      <w:r>
        <w:rPr>
          <w:color w:val="1A2B29"/>
          <w:sz w:val="22"/>
        </w:rPr>
        <w:t>A result screen showing the photo, a color-coded likelihood bar, and context-appropriate guidance.</w:t>
      </w:r>
    </w:p>
    <w:p>
      <w:pPr>
        <w:pStyle w:val="ListBullet"/>
        <w:spacing w:after="80"/>
      </w:pPr>
      <w:r>
        <w:rPr>
          <w:color w:val="1A2B29"/>
          <w:sz w:val="22"/>
        </w:rPr>
        <w:t>A first-run onboarding flow that explains the app and requires the user to acknowledge that it is not a diagnosis before use.</w:t>
      </w:r>
    </w:p>
    <w:p>
      <w:pPr>
        <w:spacing w:after="160" w:line="276" w:lineRule="auto"/>
      </w:pPr>
      <w:r>
        <w:rPr>
          <w:i w:val="0"/>
          <w:color w:val="1A2B29"/>
          <w:sz w:val="22"/>
        </w:rPr>
        <w:t>Every result screen and the onboarding flow carry a prominent disclaimer directing the user to a dermatologist. A "concerning" result is explicitly framed as "features that may warrant a check" rather than a diagnosis of cancer, and a "likely benign" result explicitly notes that it does not rule out a problem.</w:t>
      </w:r>
    </w:p>
    <w:p>
      <w:pPr>
        <w:spacing w:after="160" w:line="276" w:lineRule="auto"/>
      </w:pPr>
      <w:r>
        <w:rPr>
          <w:i w:val="0"/>
          <w:color w:val="1A2B29"/>
          <w:sz w:val="22"/>
        </w:rPr>
        <w:t>The app was verified end-to-end on an Android emulator: a known malignant test image was correctly flagged (48% malignant likelihood, above threshold), and a known benign image was cleared (0%), each rendering the appropriate guidance.</w:t>
      </w:r>
    </w:p>
    <w:p>
      <w:pPr>
        <w:pStyle w:val="Heading1"/>
        <w:pBdr>
          <w:bottom w:val="single" w:sz="6" w:space="4" w:color="CCCCCC"/>
        </w:pBdr>
      </w:pPr>
      <w:r>
        <w:rPr>
          <w:color w:val="00796B"/>
          <w:sz w:val="32"/>
        </w:rPr>
        <w:t>8. Limitations and Ethical Considerations</w:t>
      </w:r>
    </w:p>
    <w:p>
      <w:pPr>
        <w:pStyle w:val="ListBullet"/>
        <w:spacing w:after="80"/>
      </w:pPr>
      <w:r>
        <w:rPr>
          <w:color w:val="1A2B29"/>
          <w:sz w:val="22"/>
        </w:rPr>
        <w:t>Not a medical device. MoleCheck is an educational prototype. It is not validated for clinical use and must not be relied on for diagnosis or to decide against seeking care.</w:t>
      </w:r>
    </w:p>
    <w:p>
      <w:pPr>
        <w:pStyle w:val="ListBullet"/>
        <w:spacing w:after="80"/>
      </w:pPr>
      <w:r>
        <w:rPr>
          <w:color w:val="1A2B29"/>
          <w:sz w:val="22"/>
        </w:rPr>
        <w:t>It misses some cancers. At 90% sensitivity, roughly one in ten malignant lesions is not flagged. A reassuring result is not a clean bill of health.</w:t>
      </w:r>
    </w:p>
    <w:p>
      <w:pPr>
        <w:pStyle w:val="ListBullet"/>
        <w:spacing w:after="80"/>
      </w:pPr>
      <w:r>
        <w:rPr>
          <w:color w:val="1A2B29"/>
          <w:sz w:val="22"/>
        </w:rPr>
        <w:t>Domain shift. The model was trained on dermatoscopic images (specialist close-up optics). Everyday phone photos differ in lighting, focus, and scale, so real-world accuracy is likely lower than the test-set figures.</w:t>
      </w:r>
    </w:p>
    <w:p>
      <w:pPr>
        <w:pStyle w:val="ListBullet"/>
        <w:spacing w:after="80"/>
      </w:pPr>
      <w:r>
        <w:rPr>
          <w:color w:val="1A2B29"/>
          <w:sz w:val="22"/>
        </w:rPr>
        <w:t>Dataset representativeness. Public dermatology datasets underrepresent darker skin tones, which can degrade performance for those users - a known equity concern in dermatology AI.</w:t>
      </w:r>
    </w:p>
    <w:p>
      <w:pPr>
        <w:pStyle w:val="ListBullet"/>
        <w:spacing w:after="80"/>
      </w:pPr>
      <w:r>
        <w:rPr>
          <w:color w:val="1A2B29"/>
          <w:sz w:val="22"/>
        </w:rPr>
        <w:t>Single-label framing. Collapsing seven diagnostic categories into benign/malignant discards clinically meaningful distinctions.</w:t>
      </w:r>
    </w:p>
    <w:p>
      <w:pPr>
        <w:spacing w:after="160" w:line="276" w:lineRule="auto"/>
      </w:pPr>
      <w:r>
        <w:rPr>
          <w:i w:val="0"/>
          <w:color w:val="1A2B29"/>
          <w:sz w:val="22"/>
        </w:rPr>
        <w:t>These limitations shape the product design: the app is framed as a prompt to seek professional care, never as a substitute for it.</w:t>
      </w:r>
    </w:p>
    <w:p>
      <w:pPr>
        <w:pStyle w:val="Heading1"/>
        <w:pBdr>
          <w:bottom w:val="single" w:sz="6" w:space="4" w:color="CCCCCC"/>
        </w:pBdr>
      </w:pPr>
      <w:r>
        <w:rPr>
          <w:color w:val="00796B"/>
          <w:sz w:val="32"/>
        </w:rPr>
        <w:t>9. Future Work</w:t>
      </w:r>
    </w:p>
    <w:p>
      <w:pPr>
        <w:pStyle w:val="ListBullet"/>
        <w:spacing w:after="80"/>
      </w:pPr>
      <w:r>
        <w:rPr>
          <w:color w:val="1A2B29"/>
          <w:sz w:val="22"/>
        </w:rPr>
        <w:t>Evaluate and fine-tune on non-dermatoscopic (smartphone) images to close the domain gap.</w:t>
      </w:r>
    </w:p>
    <w:p>
      <w:pPr>
        <w:pStyle w:val="ListBullet"/>
        <w:spacing w:after="80"/>
      </w:pPr>
      <w:r>
        <w:rPr>
          <w:color w:val="1A2B29"/>
          <w:sz w:val="22"/>
        </w:rPr>
        <w:t>Measure and mitigate performance disparities across skin tones (e.g., Fitzpatrick-labeled data).</w:t>
      </w:r>
    </w:p>
    <w:p>
      <w:pPr>
        <w:pStyle w:val="ListBullet"/>
        <w:spacing w:after="80"/>
      </w:pPr>
      <w:r>
        <w:rPr>
          <w:color w:val="1A2B29"/>
          <w:sz w:val="22"/>
        </w:rPr>
        <w:t>Add calibrated uncertainty so the app can say "image quality too low to assess" instead of guessing.</w:t>
      </w:r>
    </w:p>
    <w:p>
      <w:pPr>
        <w:pStyle w:val="ListBullet"/>
        <w:spacing w:after="80"/>
      </w:pPr>
      <w:r>
        <w:rPr>
          <w:color w:val="1A2B29"/>
          <w:sz w:val="22"/>
        </w:rPr>
        <w:t>Compare against a transfer-learned EfficientNet/MobileNet baseline and report the trade-offs.</w:t>
      </w:r>
    </w:p>
    <w:p>
      <w:pPr>
        <w:pStyle w:val="ListBullet"/>
        <w:spacing w:after="80"/>
      </w:pPr>
      <w:r>
        <w:rPr>
          <w:color w:val="1A2B29"/>
          <w:sz w:val="22"/>
        </w:rPr>
        <w:t>Ship the iOS build via TestFlight and run a small usability study.</w:t>
      </w:r>
    </w:p>
    <w:p>
      <w:pPr>
        <w:pStyle w:val="Heading1"/>
        <w:pBdr>
          <w:bottom w:val="single" w:sz="6" w:space="4" w:color="CCCCCC"/>
        </w:pBdr>
      </w:pPr>
      <w:r>
        <w:rPr>
          <w:color w:val="00796B"/>
          <w:sz w:val="32"/>
        </w:rPr>
        <w:t>10. Reproducibility</w:t>
      </w:r>
    </w:p>
    <w:p>
      <w:pPr>
        <w:spacing w:after="160" w:line="276" w:lineRule="auto"/>
      </w:pPr>
      <w:r>
        <w:rPr>
          <w:i w:val="0"/>
          <w:color w:val="1A2B29"/>
          <w:sz w:val="22"/>
        </w:rPr>
        <w:t>The full pipeline is scripted and version-controlled. From the project root:</w:t>
      </w:r>
    </w:p>
    <w:p>
      <w:pPr>
        <w:spacing w:after="40"/>
        <w:shd w:val="clear" w:fill="F2F7F6"/>
      </w:pPr>
      <w:r>
        <w:rPr>
          <w:rFonts w:ascii="Consolas" w:hAnsi="Consolas"/>
          <w:color w:val="1A2B29"/>
          <w:sz w:val="19"/>
        </w:rPr>
        <w:t>python src/prepare_dataset.py     # build train/val/test split</w:t>
      </w:r>
    </w:p>
    <w:p>
      <w:pPr>
        <w:spacing w:after="40"/>
        <w:shd w:val="clear" w:fill="F2F7F6"/>
      </w:pPr>
      <w:r>
        <w:rPr>
          <w:rFonts w:ascii="Consolas" w:hAnsi="Consolas"/>
          <w:color w:val="1A2B29"/>
          <w:sz w:val="19"/>
        </w:rPr>
        <w:t>python src/train.py               # fine-tune on the GPU</w:t>
      </w:r>
    </w:p>
    <w:p>
      <w:pPr>
        <w:spacing w:after="40"/>
        <w:shd w:val="clear" w:fill="F2F7F6"/>
      </w:pPr>
      <w:r>
        <w:rPr>
          <w:rFonts w:ascii="Consolas" w:hAnsi="Consolas"/>
          <w:color w:val="1A2B29"/>
          <w:sz w:val="19"/>
        </w:rPr>
        <w:t>python src/evaluate.py            # sensitivity / specificity / AUC</w:t>
      </w:r>
    </w:p>
    <w:p>
      <w:pPr>
        <w:spacing w:after="40"/>
        <w:shd w:val="clear" w:fill="F2F7F6"/>
      </w:pPr>
      <w:r>
        <w:rPr>
          <w:rFonts w:ascii="Consolas" w:hAnsi="Consolas"/>
          <w:color w:val="1A2B29"/>
          <w:sz w:val="19"/>
        </w:rPr>
        <w:t>python src/export_tflite.py       # PyTorch -&gt; ONNX -&gt; TFLite</w:t>
      </w:r>
    </w:p>
    <w:p>
      <w:pPr>
        <w:spacing w:after="40"/>
        <w:shd w:val="clear" w:fill="F2F7F6"/>
      </w:pPr>
      <w:r>
        <w:rPr>
          <w:rFonts w:ascii="Consolas" w:hAnsi="Consolas"/>
          <w:color w:val="1A2B29"/>
          <w:sz w:val="19"/>
        </w:rPr>
        <w:t>python src/verify_tflite.py       # parity check + copy into app</w:t>
      </w:r>
    </w:p>
    <w:p>
      <w:pPr>
        <w:spacing w:after="40"/>
        <w:shd w:val="clear" w:fill="F2F7F6"/>
      </w:pPr>
      <w:r>
        <w:rPr>
          <w:rFonts w:ascii="Consolas" w:hAnsi="Consolas"/>
          <w:color w:val="1A2B29"/>
          <w:sz w:val="19"/>
        </w:rPr>
        <w:t>cd app &amp;&amp; flutter run             # build &amp; run the app</w:t>
      </w:r>
    </w:p>
    <w:p>
      <w:pPr>
        <w:spacing w:after="160" w:line="276" w:lineRule="auto"/>
      </w:pPr>
      <w:r>
        <w:rPr>
          <w:i/>
          <w:color w:val="888888"/>
          <w:sz w:val="18"/>
        </w:rPr>
        <w:t>Report generated for the MoleCheck capstone. Metrics reflect the held-out test set of 1,722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