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3FD8F">
      <w:pPr>
        <w:spacing w:after="0"/>
      </w:pPr>
    </w:p>
    <w:p w14:paraId="07CA0047">
      <w:pPr>
        <w:spacing w:after="0"/>
      </w:pPr>
    </w:p>
    <w:p w14:paraId="067B5966">
      <w:pPr>
        <w:spacing w:after="0"/>
      </w:pPr>
    </w:p>
    <w:p w14:paraId="3DC7E1E9">
      <w:pPr>
        <w:spacing w:after="0"/>
      </w:pPr>
    </w:p>
    <w:p w14:paraId="28A96B88">
      <w:pPr>
        <w:pBdr>
          <w:left w:val="single" w:color="3A78B8" w:sz="30" w:space="12"/>
        </w:pBdr>
        <w:spacing w:after="120"/>
        <w:ind w:left="360"/>
      </w:pPr>
      <w:r>
        <w:rPr>
          <w:rFonts w:ascii="Arial" w:hAnsi="Arial" w:eastAsia="微软雅黑"/>
          <w:b/>
          <w:i w:val="0"/>
          <w:color w:val="3A78B8"/>
          <w:sz w:val="22"/>
        </w:rPr>
        <w:t>OPSGUARD · 智御</w:t>
      </w:r>
    </w:p>
    <w:p w14:paraId="1BC7DD9A">
      <w:pPr>
        <w:pBdr>
          <w:left w:val="single" w:color="3A78B8" w:sz="30" w:space="12"/>
        </w:pBdr>
        <w:spacing w:after="160"/>
        <w:ind w:left="360"/>
      </w:pPr>
      <w:r>
        <w:rPr>
          <w:rFonts w:ascii="Arial" w:hAnsi="Arial" w:eastAsia="微软雅黑"/>
          <w:b/>
          <w:i w:val="0"/>
          <w:color w:val="173A5E"/>
          <w:sz w:val="60"/>
        </w:rPr>
        <w:t>软件产品说明书</w:t>
      </w:r>
      <w:bookmarkStart w:id="39" w:name="_GoBack"/>
      <w:bookmarkEnd w:id="39"/>
    </w:p>
    <w:p w14:paraId="597AC686">
      <w:pPr>
        <w:pBdr>
          <w:left w:val="single" w:color="3A78B8" w:sz="30" w:space="12"/>
        </w:pBdr>
        <w:spacing w:after="680"/>
        <w:ind w:left="360"/>
      </w:pPr>
      <w:r>
        <w:rPr>
          <w:rFonts w:ascii="Arial" w:hAnsi="Arial" w:eastAsia="微软雅黑"/>
          <w:b w:val="0"/>
          <w:i w:val="0"/>
          <w:color w:val="687684"/>
          <w:sz w:val="26"/>
        </w:rPr>
        <w:t>面向龙芯麒麟环境的智能运维安全护栏 Agent</w:t>
      </w:r>
    </w:p>
    <w:tbl>
      <w:tblPr>
        <w:tblStyle w:val="34"/>
        <w:tblW w:w="909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0"/>
      </w:tblGrid>
      <w:tr w14:paraId="1D3F5C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0" w:type="dxa"/>
            <w:tcBorders>
              <w:top w:val="nil"/>
              <w:left w:val="single" w:color="3A78B8" w:sz="18" w:space="0"/>
              <w:bottom w:val="nil"/>
              <w:right w:val="nil"/>
            </w:tcBorders>
            <w:shd w:val="clear" w:color="auto" w:fill="F5F9FD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740588D0">
            <w:pPr>
              <w:spacing w:after="0" w:line="300" w:lineRule="auto"/>
            </w:pPr>
            <w:r>
              <w:rPr>
                <w:rFonts w:ascii="Arial" w:hAnsi="Arial" w:eastAsia="微软雅黑"/>
                <w:b/>
                <w:i w:val="0"/>
                <w:color w:val="173A5E"/>
                <w:sz w:val="21"/>
              </w:rPr>
              <w:t xml:space="preserve">产品说明  </w:t>
            </w: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21"/>
              </w:rPr>
              <w:t>本手册面向实际使用过程：从告警后的自然语言问询，到证据查看、人工确认、受控执行与结果复核。</w:t>
            </w:r>
          </w:p>
        </w:tc>
      </w:tr>
    </w:tbl>
    <w:p w14:paraId="571A10B9">
      <w:pPr>
        <w:spacing w:after="0"/>
      </w:pPr>
    </w:p>
    <w:p w14:paraId="14BDBF73">
      <w:pPr>
        <w:spacing w:after="0"/>
      </w:pPr>
    </w:p>
    <w:p w14:paraId="5A643D9A">
      <w:pPr>
        <w:spacing w:after="0"/>
      </w:pPr>
    </w:p>
    <w:p w14:paraId="7F302213">
      <w:pPr>
        <w:sectPr>
          <w:pgSz w:w="11906" w:h="16838"/>
          <w:pgMar w:top="1361" w:right="1247" w:bottom="1361" w:left="1474" w:header="652" w:footer="652" w:gutter="0"/>
          <w:cols w:space="720" w:num="1"/>
          <w:docGrid w:linePitch="360" w:charSpace="0"/>
        </w:sectPr>
      </w:pPr>
    </w:p>
    <w:p w14:paraId="652BAA4C">
      <w:pPr>
        <w:spacing w:before="440" w:after="200"/>
      </w:pPr>
      <w:r>
        <w:rPr>
          <w:rFonts w:ascii="Arial" w:hAnsi="Arial" w:eastAsia="微软雅黑"/>
          <w:b/>
          <w:i w:val="0"/>
          <w:color w:val="173A5E"/>
          <w:sz w:val="36"/>
        </w:rPr>
        <w:t>目录</w:t>
      </w:r>
    </w:p>
    <w:p w14:paraId="3B7FA28B">
      <w:pPr>
        <w:pStyle w:val="26"/>
        <w:tabs>
          <w:tab w:val="right" w:leader="dot" w:pos="9185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_Toc28159 </w:instrText>
      </w:r>
      <w:r>
        <w:fldChar w:fldCharType="separate"/>
      </w:r>
      <w:r>
        <w:t>第1章  产品概述</w:t>
      </w:r>
      <w:r>
        <w:tab/>
      </w:r>
      <w:r>
        <w:fldChar w:fldCharType="begin"/>
      </w:r>
      <w:r>
        <w:instrText xml:space="preserve"> PAGEREF _Toc28159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CA65CBF">
      <w:pPr>
        <w:pStyle w:val="29"/>
        <w:tabs>
          <w:tab w:val="right" w:leader="dot" w:pos="9185"/>
        </w:tabs>
      </w:pPr>
      <w:r>
        <w:fldChar w:fldCharType="begin"/>
      </w:r>
      <w:r>
        <w:instrText xml:space="preserve"> HYPERLINK \l _Toc9624 </w:instrText>
      </w:r>
      <w:r>
        <w:fldChar w:fldCharType="separate"/>
      </w:r>
      <w:r>
        <w:t>1.1  产品定位</w:t>
      </w:r>
      <w:r>
        <w:tab/>
      </w:r>
      <w:r>
        <w:fldChar w:fldCharType="begin"/>
      </w:r>
      <w:r>
        <w:instrText xml:space="preserve"> PAGEREF _Toc9624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A66E193">
      <w:pPr>
        <w:pStyle w:val="29"/>
        <w:tabs>
          <w:tab w:val="right" w:leader="dot" w:pos="9185"/>
        </w:tabs>
      </w:pPr>
      <w:r>
        <w:fldChar w:fldCharType="begin"/>
      </w:r>
      <w:r>
        <w:instrText xml:space="preserve"> HYPERLINK \l _Toc23429 </w:instrText>
      </w:r>
      <w:r>
        <w:fldChar w:fldCharType="separate"/>
      </w:r>
      <w:r>
        <w:t>1.2  适用对象与场景</w:t>
      </w:r>
      <w:r>
        <w:tab/>
      </w:r>
      <w:r>
        <w:fldChar w:fldCharType="begin"/>
      </w:r>
      <w:r>
        <w:instrText xml:space="preserve"> PAGEREF _Toc23429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2ED17A1">
      <w:pPr>
        <w:pStyle w:val="29"/>
        <w:tabs>
          <w:tab w:val="right" w:leader="dot" w:pos="9185"/>
        </w:tabs>
      </w:pPr>
      <w:r>
        <w:fldChar w:fldCharType="begin"/>
      </w:r>
      <w:r>
        <w:instrText xml:space="preserve"> HYPERLINK \l _Toc7620 </w:instrText>
      </w:r>
      <w:r>
        <w:fldChar w:fldCharType="separate"/>
      </w:r>
      <w:r>
        <w:t>1.3  用户可见的核心能力</w:t>
      </w:r>
      <w:r>
        <w:tab/>
      </w:r>
      <w:r>
        <w:fldChar w:fldCharType="begin"/>
      </w:r>
      <w:r>
        <w:instrText xml:space="preserve"> PAGEREF _Toc7620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7EACEAD">
      <w:pPr>
        <w:pStyle w:val="29"/>
        <w:tabs>
          <w:tab w:val="right" w:leader="dot" w:pos="9185"/>
        </w:tabs>
      </w:pPr>
      <w:r>
        <w:fldChar w:fldCharType="begin"/>
      </w:r>
      <w:r>
        <w:instrText xml:space="preserve"> HYPERLINK \l _Toc31845 </w:instrText>
      </w:r>
      <w:r>
        <w:fldChar w:fldCharType="separate"/>
      </w:r>
      <w:r>
        <w:t>1.4  使用边界</w:t>
      </w:r>
      <w:r>
        <w:tab/>
      </w:r>
      <w:r>
        <w:fldChar w:fldCharType="begin"/>
      </w:r>
      <w:r>
        <w:instrText xml:space="preserve"> PAGEREF _Toc31845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2A88330">
      <w:pPr>
        <w:pStyle w:val="26"/>
        <w:tabs>
          <w:tab w:val="right" w:leader="dot" w:pos="9185"/>
        </w:tabs>
      </w:pPr>
      <w:r>
        <w:fldChar w:fldCharType="begin"/>
      </w:r>
      <w:r>
        <w:instrText xml:space="preserve"> HYPERLINK \l _Toc15382 </w:instrText>
      </w:r>
      <w:r>
        <w:fldChar w:fldCharType="separate"/>
      </w:r>
      <w:r>
        <w:t>第2章  运行环境与启动</w:t>
      </w:r>
      <w:r>
        <w:tab/>
      </w:r>
      <w:r>
        <w:fldChar w:fldCharType="begin"/>
      </w:r>
      <w:r>
        <w:instrText xml:space="preserve"> PAGEREF _Toc15382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725870D">
      <w:pPr>
        <w:pStyle w:val="29"/>
        <w:tabs>
          <w:tab w:val="right" w:leader="dot" w:pos="9185"/>
        </w:tabs>
      </w:pPr>
      <w:r>
        <w:fldChar w:fldCharType="begin"/>
      </w:r>
      <w:r>
        <w:instrText xml:space="preserve"> HYPERLINK \l _Toc18235 </w:instrText>
      </w:r>
      <w:r>
        <w:fldChar w:fldCharType="separate"/>
      </w:r>
      <w:r>
        <w:t>2.1  运行环境</w:t>
      </w:r>
      <w:r>
        <w:tab/>
      </w:r>
      <w:r>
        <w:fldChar w:fldCharType="begin"/>
      </w:r>
      <w:r>
        <w:instrText xml:space="preserve"> PAGEREF _Toc18235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ECCF94F">
      <w:pPr>
        <w:pStyle w:val="29"/>
        <w:tabs>
          <w:tab w:val="right" w:leader="dot" w:pos="9185"/>
        </w:tabs>
      </w:pPr>
      <w:r>
        <w:fldChar w:fldCharType="begin"/>
      </w:r>
      <w:r>
        <w:instrText xml:space="preserve"> HYPERLINK \l _Toc28755 </w:instrText>
      </w:r>
      <w:r>
        <w:fldChar w:fldCharType="separate"/>
      </w:r>
      <w:r>
        <w:t>2.2  演示模式启动</w:t>
      </w:r>
      <w:r>
        <w:tab/>
      </w:r>
      <w:r>
        <w:fldChar w:fldCharType="begin"/>
      </w:r>
      <w:r>
        <w:instrText xml:space="preserve"> PAGEREF _Toc28755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DB25F94">
      <w:pPr>
        <w:pStyle w:val="29"/>
        <w:tabs>
          <w:tab w:val="right" w:leader="dot" w:pos="9185"/>
        </w:tabs>
      </w:pPr>
      <w:r>
        <w:fldChar w:fldCharType="begin"/>
      </w:r>
      <w:r>
        <w:instrText xml:space="preserve"> HYPERLINK \l _Toc23016 </w:instrText>
      </w:r>
      <w:r>
        <w:fldChar w:fldCharType="separate"/>
      </w:r>
      <w:r>
        <w:t>2.3  真实环境受控启用</w:t>
      </w:r>
      <w:r>
        <w:tab/>
      </w:r>
      <w:r>
        <w:fldChar w:fldCharType="begin"/>
      </w:r>
      <w:r>
        <w:instrText xml:space="preserve"> PAGEREF _Toc23016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D8A155D">
      <w:pPr>
        <w:pStyle w:val="29"/>
        <w:tabs>
          <w:tab w:val="right" w:leader="dot" w:pos="9185"/>
        </w:tabs>
      </w:pPr>
      <w:r>
        <w:fldChar w:fldCharType="begin"/>
      </w:r>
      <w:r>
        <w:instrText xml:space="preserve"> HYPERLINK \l _Toc24897 </w:instrText>
      </w:r>
      <w:r>
        <w:fldChar w:fldCharType="separate"/>
      </w:r>
      <w:r>
        <w:t>2.4  运行模式约定</w:t>
      </w:r>
      <w:r>
        <w:tab/>
      </w:r>
      <w:r>
        <w:fldChar w:fldCharType="begin"/>
      </w:r>
      <w:r>
        <w:instrText xml:space="preserve"> PAGEREF _Toc24897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78D0EA5">
      <w:pPr>
        <w:pStyle w:val="26"/>
        <w:tabs>
          <w:tab w:val="right" w:leader="dot" w:pos="9185"/>
        </w:tabs>
      </w:pPr>
      <w:r>
        <w:fldChar w:fldCharType="begin"/>
      </w:r>
      <w:r>
        <w:instrText xml:space="preserve"> HYPERLINK \l _Toc26330 </w:instrText>
      </w:r>
      <w:r>
        <w:fldChar w:fldCharType="separate"/>
      </w:r>
      <w:r>
        <w:t>第3章  三分钟快速上手</w:t>
      </w:r>
      <w:r>
        <w:tab/>
      </w:r>
      <w:r>
        <w:fldChar w:fldCharType="begin"/>
      </w:r>
      <w:r>
        <w:instrText xml:space="preserve"> PAGEREF _Toc26330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C2BAB09">
      <w:pPr>
        <w:pStyle w:val="29"/>
        <w:tabs>
          <w:tab w:val="right" w:leader="dot" w:pos="9185"/>
        </w:tabs>
      </w:pPr>
      <w:r>
        <w:fldChar w:fldCharType="begin"/>
      </w:r>
      <w:r>
        <w:instrText xml:space="preserve"> HYPERLINK \l _Toc2898 </w:instrText>
      </w:r>
      <w:r>
        <w:fldChar w:fldCharType="separate"/>
      </w:r>
      <w:r>
        <w:t>3.1  从告警到处置建议</w:t>
      </w:r>
      <w:r>
        <w:tab/>
      </w:r>
      <w:r>
        <w:fldChar w:fldCharType="begin"/>
      </w:r>
      <w:r>
        <w:instrText xml:space="preserve"> PAGEREF _Toc2898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C8E0C15">
      <w:pPr>
        <w:pStyle w:val="29"/>
        <w:tabs>
          <w:tab w:val="right" w:leader="dot" w:pos="9185"/>
        </w:tabs>
      </w:pPr>
      <w:r>
        <w:fldChar w:fldCharType="begin"/>
      </w:r>
      <w:r>
        <w:instrText xml:space="preserve"> HYPERLINK \l _Toc9616 </w:instrText>
      </w:r>
      <w:r>
        <w:fldChar w:fldCharType="separate"/>
      </w:r>
      <w:r>
        <w:t>3.2  快速判断处理结果</w:t>
      </w:r>
      <w:r>
        <w:tab/>
      </w:r>
      <w:r>
        <w:fldChar w:fldCharType="begin"/>
      </w:r>
      <w:r>
        <w:instrText xml:space="preserve"> PAGEREF _Toc9616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C9F9407">
      <w:pPr>
        <w:pStyle w:val="26"/>
        <w:tabs>
          <w:tab w:val="right" w:leader="dot" w:pos="9185"/>
        </w:tabs>
      </w:pPr>
      <w:r>
        <w:fldChar w:fldCharType="begin"/>
      </w:r>
      <w:r>
        <w:instrText xml:space="preserve"> HYPERLINK \l _Toc2452 </w:instrText>
      </w:r>
      <w:r>
        <w:fldChar w:fldCharType="separate"/>
      </w:r>
      <w:r>
        <w:t>第4章  控制台界面与使用约定</w:t>
      </w:r>
      <w:r>
        <w:tab/>
      </w:r>
      <w:r>
        <w:fldChar w:fldCharType="begin"/>
      </w:r>
      <w:r>
        <w:instrText xml:space="preserve"> PAGEREF _Toc2452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D461741">
      <w:pPr>
        <w:pStyle w:val="29"/>
        <w:tabs>
          <w:tab w:val="right" w:leader="dot" w:pos="9185"/>
        </w:tabs>
      </w:pPr>
      <w:r>
        <w:fldChar w:fldCharType="begin"/>
      </w:r>
      <w:r>
        <w:instrText xml:space="preserve"> HYPERLINK \l _Toc10307 </w:instrText>
      </w:r>
      <w:r>
        <w:fldChar w:fldCharType="separate"/>
      </w:r>
      <w:r>
        <w:t>4.1  控制台组成</w:t>
      </w:r>
      <w:r>
        <w:tab/>
      </w:r>
      <w:r>
        <w:fldChar w:fldCharType="begin"/>
      </w:r>
      <w:r>
        <w:instrText xml:space="preserve"> PAGEREF _Toc10307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02FAE2C">
      <w:pPr>
        <w:pStyle w:val="29"/>
        <w:tabs>
          <w:tab w:val="right" w:leader="dot" w:pos="9185"/>
        </w:tabs>
      </w:pPr>
      <w:r>
        <w:fldChar w:fldCharType="begin"/>
      </w:r>
      <w:r>
        <w:instrText xml:space="preserve"> HYPERLINK \l _Toc819 </w:instrText>
      </w:r>
      <w:r>
        <w:fldChar w:fldCharType="separate"/>
      </w:r>
      <w:r>
        <w:t>4.2  当前会话约定</w:t>
      </w:r>
      <w:r>
        <w:tab/>
      </w:r>
      <w:r>
        <w:fldChar w:fldCharType="begin"/>
      </w:r>
      <w:r>
        <w:instrText xml:space="preserve"> PAGEREF _Toc819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5A8C428">
      <w:pPr>
        <w:pStyle w:val="26"/>
        <w:tabs>
          <w:tab w:val="right" w:leader="dot" w:pos="9185"/>
        </w:tabs>
      </w:pPr>
      <w:r>
        <w:fldChar w:fldCharType="begin"/>
      </w:r>
      <w:r>
        <w:instrText xml:space="preserve"> HYPERLINK \l _Toc18398 </w:instrText>
      </w:r>
      <w:r>
        <w:fldChar w:fldCharType="separate"/>
      </w:r>
      <w:r>
        <w:t>第5章  核心功能使用说明</w:t>
      </w:r>
      <w:r>
        <w:tab/>
      </w:r>
      <w:r>
        <w:fldChar w:fldCharType="begin"/>
      </w:r>
      <w:r>
        <w:instrText xml:space="preserve"> PAGEREF _Toc18398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C2FF919">
      <w:pPr>
        <w:pStyle w:val="29"/>
        <w:tabs>
          <w:tab w:val="right" w:leader="dot" w:pos="9185"/>
        </w:tabs>
      </w:pPr>
      <w:r>
        <w:fldChar w:fldCharType="begin"/>
      </w:r>
      <w:r>
        <w:instrText xml:space="preserve"> HYPERLINK \l _Toc18968 </w:instrText>
      </w:r>
      <w:r>
        <w:fldChar w:fldCharType="separate"/>
      </w:r>
      <w:r>
        <w:t>5.1  自然语言问询与实时状态感知</w:t>
      </w:r>
      <w:r>
        <w:tab/>
      </w:r>
      <w:r>
        <w:fldChar w:fldCharType="begin"/>
      </w:r>
      <w:r>
        <w:instrText xml:space="preserve"> PAGEREF _Toc18968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BA31AB2">
      <w:pPr>
        <w:pStyle w:val="29"/>
        <w:tabs>
          <w:tab w:val="right" w:leader="dot" w:pos="9185"/>
        </w:tabs>
      </w:pPr>
      <w:r>
        <w:fldChar w:fldCharType="begin"/>
      </w:r>
      <w:r>
        <w:instrText xml:space="preserve"> HYPERLINK \l _Toc8362 </w:instrText>
      </w:r>
      <w:r>
        <w:fldChar w:fldCharType="separate"/>
      </w:r>
      <w:r>
        <w:t>5.2  诊断依据与处置计划</w:t>
      </w:r>
      <w:r>
        <w:tab/>
      </w:r>
      <w:r>
        <w:fldChar w:fldCharType="begin"/>
      </w:r>
      <w:r>
        <w:instrText xml:space="preserve"> PAGEREF _Toc8362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363EA45">
      <w:pPr>
        <w:pStyle w:val="29"/>
        <w:tabs>
          <w:tab w:val="right" w:leader="dot" w:pos="9185"/>
        </w:tabs>
      </w:pPr>
      <w:r>
        <w:fldChar w:fldCharType="begin"/>
      </w:r>
      <w:r>
        <w:instrText xml:space="preserve"> HYPERLINK \l _Toc23396 </w:instrText>
      </w:r>
      <w:r>
        <w:fldChar w:fldCharType="separate"/>
      </w:r>
      <w:r>
        <w:t>5.3  人工确认与受控执行</w:t>
      </w:r>
      <w:r>
        <w:tab/>
      </w:r>
      <w:r>
        <w:fldChar w:fldCharType="begin"/>
      </w:r>
      <w:r>
        <w:instrText xml:space="preserve"> PAGEREF _Toc23396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7625BF2">
      <w:pPr>
        <w:pStyle w:val="29"/>
        <w:tabs>
          <w:tab w:val="right" w:leader="dot" w:pos="9185"/>
        </w:tabs>
      </w:pPr>
      <w:r>
        <w:fldChar w:fldCharType="begin"/>
      </w:r>
      <w:r>
        <w:instrText xml:space="preserve"> HYPERLINK \l _Toc11605 </w:instrText>
      </w:r>
      <w:r>
        <w:fldChar w:fldCharType="separate"/>
      </w:r>
      <w:r>
        <w:t>5.4  日志轮转与空间复核</w:t>
      </w:r>
      <w:r>
        <w:tab/>
      </w:r>
      <w:r>
        <w:fldChar w:fldCharType="begin"/>
      </w:r>
      <w:r>
        <w:instrText xml:space="preserve"> PAGEREF _Toc11605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44105CB">
      <w:pPr>
        <w:pStyle w:val="29"/>
        <w:tabs>
          <w:tab w:val="right" w:leader="dot" w:pos="9185"/>
        </w:tabs>
      </w:pPr>
      <w:r>
        <w:fldChar w:fldCharType="begin"/>
      </w:r>
      <w:r>
        <w:instrText xml:space="preserve"> HYPERLINK \l _Toc14551 </w:instrText>
      </w:r>
      <w:r>
        <w:fldChar w:fldCharType="separate"/>
      </w:r>
      <w:r>
        <w:t>5.5  执行结果、复核与溯源</w:t>
      </w:r>
      <w:r>
        <w:tab/>
      </w:r>
      <w:r>
        <w:fldChar w:fldCharType="begin"/>
      </w:r>
      <w:r>
        <w:instrText xml:space="preserve"> PAGEREF _Toc14551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8AA4A5C">
      <w:pPr>
        <w:pStyle w:val="29"/>
        <w:tabs>
          <w:tab w:val="right" w:leader="dot" w:pos="9185"/>
        </w:tabs>
      </w:pPr>
      <w:r>
        <w:fldChar w:fldCharType="begin"/>
      </w:r>
      <w:r>
        <w:instrText xml:space="preserve"> HYPERLINK \l _Toc15167 </w:instrText>
      </w:r>
      <w:r>
        <w:fldChar w:fldCharType="separate"/>
      </w:r>
      <w:r>
        <w:t>5.6  主动巡检</w:t>
      </w:r>
      <w:r>
        <w:tab/>
      </w:r>
      <w:r>
        <w:fldChar w:fldCharType="begin"/>
      </w:r>
      <w:r>
        <w:instrText xml:space="preserve"> PAGEREF _Toc15167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46F599C">
      <w:pPr>
        <w:pStyle w:val="26"/>
        <w:tabs>
          <w:tab w:val="right" w:leader="dot" w:pos="9185"/>
        </w:tabs>
      </w:pPr>
      <w:r>
        <w:fldChar w:fldCharType="begin"/>
      </w:r>
      <w:r>
        <w:instrText xml:space="preserve"> HYPERLINK \l _Toc2665 </w:instrText>
      </w:r>
      <w:r>
        <w:fldChar w:fldCharType="separate"/>
      </w:r>
      <w:r>
        <w:t>第6章  MCP 能力接入与使用</w:t>
      </w:r>
      <w:r>
        <w:tab/>
      </w:r>
      <w:r>
        <w:fldChar w:fldCharType="begin"/>
      </w:r>
      <w:r>
        <w:instrText xml:space="preserve"> PAGEREF _Toc2665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8924057">
      <w:pPr>
        <w:pStyle w:val="29"/>
        <w:tabs>
          <w:tab w:val="right" w:leader="dot" w:pos="9185"/>
        </w:tabs>
      </w:pPr>
      <w:r>
        <w:fldChar w:fldCharType="begin"/>
      </w:r>
      <w:r>
        <w:instrText xml:space="preserve"> HYPERLINK \l _Toc2617 </w:instrText>
      </w:r>
      <w:r>
        <w:fldChar w:fldCharType="separate"/>
      </w:r>
      <w:r>
        <w:t>6.1  MCP 接入概述</w:t>
      </w:r>
      <w:r>
        <w:tab/>
      </w:r>
      <w:r>
        <w:fldChar w:fldCharType="begin"/>
      </w:r>
      <w:r>
        <w:instrText xml:space="preserve"> PAGEREF _Toc2617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5B20E77">
      <w:pPr>
        <w:pStyle w:val="29"/>
        <w:tabs>
          <w:tab w:val="right" w:leader="dot" w:pos="9185"/>
        </w:tabs>
      </w:pPr>
      <w:r>
        <w:fldChar w:fldCharType="begin"/>
      </w:r>
      <w:r>
        <w:instrText xml:space="preserve"> HYPERLINK \l _Toc12692 </w:instrText>
      </w:r>
      <w:r>
        <w:fldChar w:fldCharType="separate"/>
      </w:r>
      <w:r>
        <w:t>6.2  工具发现与调用流程</w:t>
      </w:r>
      <w:r>
        <w:tab/>
      </w:r>
      <w:r>
        <w:fldChar w:fldCharType="begin"/>
      </w:r>
      <w:r>
        <w:instrText xml:space="preserve"> PAGEREF _Toc12692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1B3429D">
      <w:pPr>
        <w:pStyle w:val="29"/>
        <w:tabs>
          <w:tab w:val="right" w:leader="dot" w:pos="9185"/>
        </w:tabs>
      </w:pPr>
      <w:r>
        <w:fldChar w:fldCharType="begin"/>
      </w:r>
      <w:r>
        <w:instrText xml:space="preserve"> HYPERLINK \l _Toc15118 </w:instrText>
      </w:r>
      <w:r>
        <w:fldChar w:fldCharType="separate"/>
      </w:r>
      <w:r>
        <w:t>6.3  MCP 工具清单</w:t>
      </w:r>
      <w:r>
        <w:tab/>
      </w:r>
      <w:r>
        <w:fldChar w:fldCharType="begin"/>
      </w:r>
      <w:r>
        <w:instrText xml:space="preserve"> PAGEREF _Toc15118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3CFF89E">
      <w:pPr>
        <w:pStyle w:val="29"/>
        <w:tabs>
          <w:tab w:val="right" w:leader="dot" w:pos="9185"/>
        </w:tabs>
      </w:pPr>
      <w:r>
        <w:fldChar w:fldCharType="begin"/>
      </w:r>
      <w:r>
        <w:instrText xml:space="preserve"> HYPERLINK \l _Toc1069 </w:instrText>
      </w:r>
      <w:r>
        <w:fldChar w:fldCharType="separate"/>
      </w:r>
      <w:r>
        <w:t>6.4  接入安全约定</w:t>
      </w:r>
      <w:r>
        <w:tab/>
      </w:r>
      <w:r>
        <w:fldChar w:fldCharType="begin"/>
      </w:r>
      <w:r>
        <w:instrText xml:space="preserve"> PAGEREF _Toc1069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9804BB1">
      <w:pPr>
        <w:pStyle w:val="26"/>
        <w:tabs>
          <w:tab w:val="right" w:leader="dot" w:pos="9185"/>
        </w:tabs>
      </w:pPr>
      <w:r>
        <w:fldChar w:fldCharType="begin"/>
      </w:r>
      <w:r>
        <w:instrText xml:space="preserve"> HYPERLINK \l _Toc2967 </w:instrText>
      </w:r>
      <w:r>
        <w:fldChar w:fldCharType="separate"/>
      </w:r>
      <w:r>
        <w:t>第7章  典型应用场景</w:t>
      </w:r>
      <w:r>
        <w:tab/>
      </w:r>
      <w:r>
        <w:fldChar w:fldCharType="begin"/>
      </w:r>
      <w:r>
        <w:instrText xml:space="preserve"> PAGEREF _Toc2967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F2A7456">
      <w:pPr>
        <w:pStyle w:val="29"/>
        <w:tabs>
          <w:tab w:val="right" w:leader="dot" w:pos="9185"/>
        </w:tabs>
      </w:pPr>
      <w:r>
        <w:fldChar w:fldCharType="begin"/>
      </w:r>
      <w:r>
        <w:instrText xml:space="preserve"> HYPERLINK \l _Toc21177 </w:instrText>
      </w:r>
      <w:r>
        <w:fldChar w:fldCharType="separate"/>
      </w:r>
      <w:r>
        <w:t>7.1  监控告警后的磁盘日志处理</w:t>
      </w:r>
      <w:r>
        <w:tab/>
      </w:r>
      <w:r>
        <w:fldChar w:fldCharType="begin"/>
      </w:r>
      <w:r>
        <w:instrText xml:space="preserve"> PAGEREF _Toc21177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A104E78">
      <w:pPr>
        <w:pStyle w:val="29"/>
        <w:tabs>
          <w:tab w:val="right" w:leader="dot" w:pos="9185"/>
        </w:tabs>
      </w:pPr>
      <w:r>
        <w:fldChar w:fldCharType="begin"/>
      </w:r>
      <w:r>
        <w:instrText xml:space="preserve"> HYPERLINK \l _Toc5156 </w:instrText>
      </w:r>
      <w:r>
        <w:fldChar w:fldCharType="separate"/>
      </w:r>
      <w:r>
        <w:t>7.2  僵尸进程与负载异常排查</w:t>
      </w:r>
      <w:r>
        <w:tab/>
      </w:r>
      <w:r>
        <w:fldChar w:fldCharType="begin"/>
      </w:r>
      <w:r>
        <w:instrText xml:space="preserve"> PAGEREF _Toc5156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5376AC1">
      <w:pPr>
        <w:pStyle w:val="29"/>
        <w:tabs>
          <w:tab w:val="right" w:leader="dot" w:pos="9185"/>
        </w:tabs>
      </w:pPr>
      <w:r>
        <w:fldChar w:fldCharType="begin"/>
      </w:r>
      <w:r>
        <w:instrText xml:space="preserve"> HYPERLINK \l _Toc16026 </w:instrText>
      </w:r>
      <w:r>
        <w:fldChar w:fldCharType="separate"/>
      </w:r>
      <w:r>
        <w:t>7.3  服务异常与配置保护</w:t>
      </w:r>
      <w:r>
        <w:tab/>
      </w:r>
      <w:r>
        <w:fldChar w:fldCharType="begin"/>
      </w:r>
      <w:r>
        <w:instrText xml:space="preserve"> PAGEREF _Toc16026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9076326">
      <w:pPr>
        <w:pStyle w:val="29"/>
        <w:tabs>
          <w:tab w:val="right" w:leader="dot" w:pos="9185"/>
        </w:tabs>
      </w:pPr>
      <w:r>
        <w:fldChar w:fldCharType="begin"/>
      </w:r>
      <w:r>
        <w:instrText xml:space="preserve"> HYPERLINK \l _Toc6533 </w:instrText>
      </w:r>
      <w:r>
        <w:fldChar w:fldCharType="separate"/>
      </w:r>
      <w:r>
        <w:t>7.4  危险请求与提示词注入拦截</w:t>
      </w:r>
      <w:r>
        <w:tab/>
      </w:r>
      <w:r>
        <w:fldChar w:fldCharType="begin"/>
      </w:r>
      <w:r>
        <w:instrText xml:space="preserve"> PAGEREF _Toc6533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232B62F">
      <w:pPr>
        <w:pStyle w:val="26"/>
        <w:tabs>
          <w:tab w:val="right" w:leader="dot" w:pos="9185"/>
        </w:tabs>
      </w:pPr>
      <w:r>
        <w:fldChar w:fldCharType="begin"/>
      </w:r>
      <w:r>
        <w:instrText xml:space="preserve"> HYPERLINK \l _Toc18065 </w:instrText>
      </w:r>
      <w:r>
        <w:fldChar w:fldCharType="separate"/>
      </w:r>
      <w:r>
        <w:t>第8章  安全说明与异常处理</w:t>
      </w:r>
      <w:r>
        <w:tab/>
      </w:r>
      <w:r>
        <w:fldChar w:fldCharType="begin"/>
      </w:r>
      <w:r>
        <w:instrText xml:space="preserve"> PAGEREF _Toc18065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F96D8FA">
      <w:pPr>
        <w:pStyle w:val="29"/>
        <w:tabs>
          <w:tab w:val="right" w:leader="dot" w:pos="9185"/>
        </w:tabs>
      </w:pPr>
      <w:r>
        <w:fldChar w:fldCharType="begin"/>
      </w:r>
      <w:r>
        <w:instrText xml:space="preserve"> HYPERLINK \l _Toc24564 </w:instrText>
      </w:r>
      <w:r>
        <w:fldChar w:fldCharType="separate"/>
      </w:r>
      <w:r>
        <w:t>8.1  四级风险裁决</w:t>
      </w:r>
      <w:r>
        <w:tab/>
      </w:r>
      <w:r>
        <w:fldChar w:fldCharType="begin"/>
      </w:r>
      <w:r>
        <w:instrText xml:space="preserve"> PAGEREF _Toc24564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1212205">
      <w:pPr>
        <w:pStyle w:val="29"/>
        <w:tabs>
          <w:tab w:val="right" w:leader="dot" w:pos="9185"/>
        </w:tabs>
      </w:pPr>
      <w:r>
        <w:fldChar w:fldCharType="begin"/>
      </w:r>
      <w:r>
        <w:instrText xml:space="preserve"> HYPERLINK \l _Toc25703 </w:instrText>
      </w:r>
      <w:r>
        <w:fldChar w:fldCharType="separate"/>
      </w:r>
      <w:r>
        <w:t>8.2  不能通过会话放行的安全红线</w:t>
      </w:r>
      <w:r>
        <w:tab/>
      </w:r>
      <w:r>
        <w:fldChar w:fldCharType="begin"/>
      </w:r>
      <w:r>
        <w:instrText xml:space="preserve"> PAGEREF _Toc25703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9C74425">
      <w:pPr>
        <w:pStyle w:val="29"/>
        <w:tabs>
          <w:tab w:val="right" w:leader="dot" w:pos="9185"/>
        </w:tabs>
      </w:pPr>
      <w:r>
        <w:fldChar w:fldCharType="begin"/>
      </w:r>
      <w:r>
        <w:instrText xml:space="preserve"> HYPERLINK \l _Toc3755 </w:instrText>
      </w:r>
      <w:r>
        <w:fldChar w:fldCharType="separate"/>
      </w:r>
      <w:r>
        <w:t>8.3  常见异常处理</w:t>
      </w:r>
      <w:r>
        <w:tab/>
      </w:r>
      <w:r>
        <w:fldChar w:fldCharType="begin"/>
      </w:r>
      <w:r>
        <w:instrText xml:space="preserve"> PAGEREF _Toc3755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42B0BD5">
      <w:pPr>
        <w:pStyle w:val="26"/>
        <w:tabs>
          <w:tab w:val="right" w:leader="dot" w:pos="9185"/>
        </w:tabs>
      </w:pPr>
      <w:r>
        <w:fldChar w:fldCharType="begin"/>
      </w:r>
      <w:r>
        <w:instrText xml:space="preserve"> HYPERLINK \l _Toc11447 </w:instrText>
      </w:r>
      <w:r>
        <w:fldChar w:fldCharType="separate"/>
      </w:r>
      <w:r>
        <w:t>附录A  常用术语与状态说明</w:t>
      </w:r>
      <w:r>
        <w:tab/>
      </w:r>
      <w:r>
        <w:fldChar w:fldCharType="begin"/>
      </w:r>
      <w:r>
        <w:instrText xml:space="preserve"> PAGEREF _Toc11447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AE2B307">
      <w:pPr>
        <w:pStyle w:val="26"/>
        <w:tabs>
          <w:tab w:val="right" w:leader="dot" w:pos="9185"/>
        </w:tabs>
      </w:pPr>
      <w:r>
        <w:fldChar w:fldCharType="begin"/>
      </w:r>
      <w:r>
        <w:instrText xml:space="preserve"> HYPERLINK \l _Toc28921 </w:instrText>
      </w:r>
      <w:r>
        <w:fldChar w:fldCharType="separate"/>
      </w:r>
      <w:r>
        <w:t>附录B  使用前检查清单</w:t>
      </w:r>
      <w:r>
        <w:tab/>
      </w:r>
      <w:r>
        <w:fldChar w:fldCharType="begin"/>
      </w:r>
      <w:r>
        <w:instrText xml:space="preserve"> PAGEREF _Toc28921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42CC4F4">
      <w:pPr>
        <w:spacing w:after="0"/>
      </w:pPr>
      <w:r>
        <w:fldChar w:fldCharType="end"/>
      </w:r>
    </w:p>
    <w:p w14:paraId="601CFF63">
      <w:r>
        <w:br w:type="page"/>
      </w:r>
    </w:p>
    <w:p w14:paraId="0184B17F">
      <w:pPr>
        <w:pStyle w:val="3"/>
      </w:pPr>
      <w:bookmarkStart w:id="0" w:name="_Toc28159"/>
      <w:r>
        <w:t>第1章  产品概述</w:t>
      </w:r>
      <w:bookmarkEnd w:id="0"/>
    </w:p>
    <w:p w14:paraId="5FE5DFCA">
      <w:pPr>
        <w:pStyle w:val="4"/>
      </w:pPr>
      <w:bookmarkStart w:id="1" w:name="_Toc9624"/>
      <w:r>
        <w:t>1.1  产品定位</w:t>
      </w:r>
      <w:bookmarkEnd w:id="1"/>
    </w:p>
    <w:tbl>
      <w:tblPr>
        <w:tblStyle w:val="34"/>
        <w:tblW w:w="909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0"/>
      </w:tblGrid>
      <w:tr w14:paraId="401DAB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0" w:type="dxa"/>
            <w:tcBorders>
              <w:top w:val="nil"/>
              <w:left w:val="single" w:color="3A78B8" w:sz="18" w:space="0"/>
              <w:bottom w:val="nil"/>
              <w:right w:val="nil"/>
            </w:tcBorders>
            <w:shd w:val="clear" w:color="auto" w:fill="EAF3FB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7137DE37">
            <w:pPr>
              <w:spacing w:after="0" w:line="300" w:lineRule="auto"/>
            </w:pPr>
            <w:r>
              <w:rPr>
                <w:rFonts w:ascii="Arial" w:hAnsi="Arial" w:eastAsia="微软雅黑"/>
                <w:b/>
                <w:i w:val="0"/>
                <w:color w:val="173A5E"/>
                <w:sz w:val="21"/>
              </w:rPr>
              <w:t xml:space="preserve">核心定位  </w:t>
            </w: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21"/>
              </w:rPr>
              <w:t>智御是部署于龙芯麒麟环境的个人智能运维 Agent。它以自然语言连接运维人员与操作系统，在安全护栏约束下完成状态感知、辅助诊断、处置规划、人工确认、受控执行与结果复核。</w:t>
            </w:r>
          </w:p>
        </w:tc>
      </w:tr>
    </w:tbl>
    <w:p w14:paraId="1FAC77D7">
      <w:pPr>
        <w:spacing w:after="12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当监控平台已经发出告警，或运维人员发现系统出现异常时，智御不替代人工做不可控决策。它先给出可核验的系统证据、诊断假设和处置计划；涉及变更时，当前会话中的运维人员须审阅计划后再决定是否执行。每一步都以风险裁决、执行状态和 traceId 留痕呈现。</w:t>
      </w:r>
    </w:p>
    <w:p w14:paraId="4F5176C3">
      <w:pPr>
        <w:pStyle w:val="4"/>
      </w:pPr>
      <w:bookmarkStart w:id="2" w:name="_Toc23429"/>
      <w:r>
        <w:t>1.2  适用对象与场景</w:t>
      </w:r>
      <w:bookmarkEnd w:id="2"/>
    </w:p>
    <w:tbl>
      <w:tblPr>
        <w:tblStyle w:val="34"/>
        <w:tblW w:w="909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900"/>
        <w:gridCol w:w="4090"/>
      </w:tblGrid>
      <w:tr w14:paraId="36208F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25615B17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使用对象</w:t>
            </w:r>
          </w:p>
        </w:tc>
        <w:tc>
          <w:tcPr>
            <w:tcW w:w="29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51C5EA13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典型触发</w:t>
            </w:r>
          </w:p>
        </w:tc>
        <w:tc>
          <w:tcPr>
            <w:tcW w:w="409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0439CF0D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智御提供的帮助</w:t>
            </w:r>
          </w:p>
        </w:tc>
      </w:tr>
      <w:tr w14:paraId="0F4925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43C9E78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一线运维人员</w:t>
            </w:r>
          </w:p>
        </w:tc>
        <w:tc>
          <w:tcPr>
            <w:tcW w:w="29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565B031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收到磁盘、负载、服务等告警</w:t>
            </w:r>
          </w:p>
        </w:tc>
        <w:tc>
          <w:tcPr>
            <w:tcW w:w="409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4ABF5AD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快速采集证据、缩小排查范围、给出处置建议</w:t>
            </w:r>
          </w:p>
        </w:tc>
      </w:tr>
      <w:tr w14:paraId="7FB82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EA7EEE9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值班 SRE</w:t>
            </w:r>
          </w:p>
        </w:tc>
        <w:tc>
          <w:tcPr>
            <w:tcW w:w="29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DFE9E54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夜间故障或系统状态异常</w:t>
            </w:r>
          </w:p>
        </w:tc>
        <w:tc>
          <w:tcPr>
            <w:tcW w:w="409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09616D3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将诊断、风险与处置过程透明化，辅助人工判断</w:t>
            </w:r>
          </w:p>
        </w:tc>
      </w:tr>
      <w:tr w14:paraId="6F064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9BAD24D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安全复盘人员</w:t>
            </w:r>
          </w:p>
        </w:tc>
        <w:tc>
          <w:tcPr>
            <w:tcW w:w="29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597F92C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需要回看一次处置过程</w:t>
            </w:r>
          </w:p>
        </w:tc>
        <w:tc>
          <w:tcPr>
            <w:tcW w:w="409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3B805C3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按 traceId 查看输入、证据、裁决、执行结果和分析结论</w:t>
            </w:r>
          </w:p>
        </w:tc>
      </w:tr>
    </w:tbl>
    <w:p w14:paraId="22A6BF26">
      <w:pPr>
        <w:pStyle w:val="4"/>
      </w:pPr>
      <w:bookmarkStart w:id="3" w:name="_Toc7620"/>
      <w:r>
        <w:t>1.3  用户可见的核心能力</w:t>
      </w:r>
      <w:bookmarkEnd w:id="3"/>
    </w:p>
    <w:tbl>
      <w:tblPr>
        <w:tblStyle w:val="34"/>
        <w:tblW w:w="909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4050"/>
        <w:gridCol w:w="3290"/>
      </w:tblGrid>
      <w:tr w14:paraId="2C7DC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18CAC58C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能力</w:t>
            </w:r>
          </w:p>
        </w:tc>
        <w:tc>
          <w:tcPr>
            <w:tcW w:w="40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525BFF2D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用户看到的内容</w:t>
            </w:r>
          </w:p>
        </w:tc>
        <w:tc>
          <w:tcPr>
            <w:tcW w:w="329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3240FED2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使用价值</w:t>
            </w:r>
          </w:p>
        </w:tc>
      </w:tr>
      <w:tr w14:paraId="1289E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BAD9E48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状态感知</w:t>
            </w:r>
          </w:p>
        </w:tc>
        <w:tc>
          <w:tcPr>
            <w:tcW w:w="40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D00C261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系统、进程、磁盘、网络、日志、数据库、监控指标等只读证据</w:t>
            </w:r>
          </w:p>
        </w:tc>
        <w:tc>
          <w:tcPr>
            <w:tcW w:w="329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CFCE149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诊断有依据，可对照系统真实状态</w:t>
            </w:r>
          </w:p>
        </w:tc>
      </w:tr>
      <w:tr w14:paraId="06AC5E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F9067AA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辅助诊断</w:t>
            </w:r>
          </w:p>
        </w:tc>
        <w:tc>
          <w:tcPr>
            <w:tcW w:w="40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717C772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根因假设、置信度、关联证据与处置建议</w:t>
            </w:r>
          </w:p>
        </w:tc>
        <w:tc>
          <w:tcPr>
            <w:tcW w:w="329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5E62622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减少命令记忆与人工检索成本</w:t>
            </w:r>
          </w:p>
        </w:tc>
      </w:tr>
      <w:tr w14:paraId="6AF61F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09C5297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计划审阅</w:t>
            </w:r>
          </w:p>
        </w:tc>
        <w:tc>
          <w:tcPr>
            <w:tcW w:w="40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7BF10A0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OBSERVE / CHANGE / VERIFY 任务、目标对象、风险等级</w:t>
            </w:r>
          </w:p>
        </w:tc>
        <w:tc>
          <w:tcPr>
            <w:tcW w:w="329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2930930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变更前清楚知道做什么、影响什么</w:t>
            </w:r>
          </w:p>
        </w:tc>
      </w:tr>
      <w:tr w14:paraId="229884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79FFB9A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安全闭环</w:t>
            </w:r>
          </w:p>
        </w:tc>
        <w:tc>
          <w:tcPr>
            <w:tcW w:w="40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20CBF35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确认门、最小权限、按对象建立恢复点、复核与回滚建议</w:t>
            </w:r>
          </w:p>
        </w:tc>
        <w:tc>
          <w:tcPr>
            <w:tcW w:w="329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DB6CFD1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将大模型的不确定性约束在可控流程内</w:t>
            </w:r>
          </w:p>
        </w:tc>
      </w:tr>
      <w:tr w14:paraId="67BECA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7728239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链路溯源</w:t>
            </w:r>
          </w:p>
        </w:tc>
        <w:tc>
          <w:tcPr>
            <w:tcW w:w="40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2C86C57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阶段链路、处置报告、traceId 与脱敏结果</w:t>
            </w:r>
          </w:p>
        </w:tc>
        <w:tc>
          <w:tcPr>
            <w:tcW w:w="329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0A39D1D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便于追踪、复核与经验沉淀</w:t>
            </w:r>
          </w:p>
        </w:tc>
      </w:tr>
    </w:tbl>
    <w:p w14:paraId="30C7423E">
      <w:pPr>
        <w:pStyle w:val="4"/>
      </w:pPr>
      <w:bookmarkStart w:id="4" w:name="_Toc31845"/>
      <w:r>
        <w:t>1.4  使用边界</w:t>
      </w:r>
      <w:bookmarkEnd w:id="4"/>
    </w:p>
    <w:p w14:paraId="5CA18107">
      <w:pPr>
        <w:keepNext/>
        <w:keepLines/>
        <w:numPr>
          <w:ilvl w:val="0"/>
          <w:numId w:val="7"/>
        </w:numPr>
        <w:spacing w:after="60" w:line="300" w:lineRule="auto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产品以“辅助诊断与建议”为主，任何会改变系统状态的动作均不以自然语言自动放行。</w:t>
      </w:r>
    </w:p>
    <w:p w14:paraId="4B26AF55">
      <w:pPr>
        <w:keepNext/>
        <w:keepLines/>
        <w:numPr>
          <w:ilvl w:val="0"/>
          <w:numId w:val="7"/>
        </w:numPr>
        <w:spacing w:after="60" w:line="300" w:lineRule="auto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产品不设置多用户或管理员角色；本说明书中的操作主体均为当前会话的一名运维人员。</w:t>
      </w:r>
    </w:p>
    <w:p w14:paraId="4BCE74F1">
      <w:pPr>
        <w:keepNext w:val="0"/>
        <w:keepLines/>
        <w:numPr>
          <w:ilvl w:val="0"/>
          <w:numId w:val="7"/>
        </w:numPr>
        <w:spacing w:after="60" w:line="300" w:lineRule="auto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对核心数据、敏感数据和受保护系统路径的删除、覆盖、格式化，以及隐私读取或窃取、攻击破坏、安全绕过请求，系统拒绝代为执行。</w:t>
      </w:r>
    </w:p>
    <w:p w14:paraId="5F55E478">
      <w:pPr>
        <w:pStyle w:val="3"/>
      </w:pPr>
      <w:bookmarkStart w:id="5" w:name="_Toc15382"/>
      <w:r>
        <w:t>第2章  运行环境与启动</w:t>
      </w:r>
      <w:bookmarkEnd w:id="5"/>
    </w:p>
    <w:p w14:paraId="230A9E02">
      <w:pPr>
        <w:pStyle w:val="4"/>
      </w:pPr>
      <w:bookmarkStart w:id="6" w:name="_Toc18235"/>
      <w:r>
        <w:t>2.1  运行环境</w:t>
      </w:r>
      <w:bookmarkEnd w:id="6"/>
    </w:p>
    <w:tbl>
      <w:tblPr>
        <w:tblStyle w:val="34"/>
        <w:tblW w:w="909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6540"/>
      </w:tblGrid>
      <w:tr w14:paraId="6C019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4D1E5EF8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项目</w:t>
            </w:r>
          </w:p>
        </w:tc>
        <w:tc>
          <w:tcPr>
            <w:tcW w:w="654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5ACCCAA2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要求或说明</w:t>
            </w:r>
          </w:p>
        </w:tc>
      </w:tr>
      <w:tr w14:paraId="3E06B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85F35A5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硬件架构</w:t>
            </w:r>
          </w:p>
        </w:tc>
        <w:tc>
          <w:tcPr>
            <w:tcW w:w="654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6F9FC66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LoongArch（loong64）</w:t>
            </w:r>
          </w:p>
        </w:tc>
      </w:tr>
      <w:tr w14:paraId="6EEF39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7B17B72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操作系统</w:t>
            </w:r>
          </w:p>
        </w:tc>
        <w:tc>
          <w:tcPr>
            <w:tcW w:w="654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EF81492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麒麟高级服务器操作系统 V11</w:t>
            </w:r>
          </w:p>
        </w:tc>
      </w:tr>
      <w:tr w14:paraId="06BF0F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040B827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运行环境</w:t>
            </w:r>
          </w:p>
        </w:tc>
        <w:tc>
          <w:tcPr>
            <w:tcW w:w="654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DF557D3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JDK 17；推荐使用适配龙芯架构的毕昇 JDK 或 Loongson JDK</w:t>
            </w:r>
          </w:p>
        </w:tc>
      </w:tr>
      <w:tr w14:paraId="5EEE1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091CCA8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构建工具</w:t>
            </w:r>
          </w:p>
        </w:tc>
        <w:tc>
          <w:tcPr>
            <w:tcW w:w="654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9FDBD95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Maven 3.8+</w:t>
            </w:r>
          </w:p>
        </w:tc>
      </w:tr>
      <w:tr w14:paraId="1BDF2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873BBB5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模型服务</w:t>
            </w:r>
          </w:p>
        </w:tc>
        <w:tc>
          <w:tcPr>
            <w:tcW w:w="654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>
            <w:r>
              <w:t>比赛功能演示接入真实 DeepSeek 模型</w:t>
            </w:r>
          </w:p>
        </w:tc>
      </w:tr>
      <w:tr w14:paraId="152EC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F2C0206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访问方式</w:t>
            </w:r>
          </w:p>
        </w:tc>
        <w:tc>
          <w:tcPr>
            <w:tcW w:w="654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54E7FEC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浏览器访问 B/S 控制台；后端同时提供 REST 与 MCP 服务</w:t>
            </w:r>
          </w:p>
        </w:tc>
      </w:tr>
    </w:tbl>
    <w:p w14:paraId="2B4A494B">
      <w:pPr>
        <w:spacing w:before="80" w:after="120"/>
      </w:pPr>
      <w:r>
        <w:rPr>
          <w:rFonts w:ascii="微软雅黑" w:hAnsi="微软雅黑" w:eastAsia="微软雅黑"/>
        </w:rPr>
        <w:t>实际演示环境已验证为 loongarch64 架构、麒麟高级服务器操作系统 V11，并运行 Loongson OpenJDK 17。下图为现场终端采集结果。</w:t>
      </w:r>
    </w:p>
    <w:p w14:paraId="78250162">
      <w:pPr>
        <w:keepNext/>
        <w:spacing w:before="100" w:after="40"/>
        <w:jc w:val="center"/>
      </w:pPr>
      <w:r>
        <w:drawing>
          <wp:inline distT="0" distB="0" distL="114300" distR="114300">
            <wp:extent cx="4976495" cy="3794760"/>
            <wp:effectExtent l="0" t="0" r="5080" b="5715"/>
            <wp:docPr id="3" name="Picture 3" descr="终端显示 loongarch64、麒麟 V11 和 Loongson OpenJDK 17" title="图2-1  龙芯麒麟运行环境与 JDK 信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终端显示 loongarch64、麒麟 V11 和 Loongson OpenJDK 17" title="图2-1  龙芯麒麟运行环境与 JDK 信息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6948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ABFD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图2-1  龙芯麒麟运行环境与 JDK 信息</w:t>
      </w:r>
    </w:p>
    <w:p w14:paraId="56D34858">
      <w:pPr>
        <w:pStyle w:val="4"/>
      </w:pPr>
      <w:bookmarkStart w:id="7" w:name="_Toc28755"/>
      <w:r>
        <w:t>2.2  演示模式启动</w:t>
      </w:r>
      <w:bookmarkEnd w:id="7"/>
    </w:p>
    <w:p w14:paraId="6442632C">
      <w:pPr>
        <w:spacing w:after="120" w:line="300" w:lineRule="auto"/>
        <w:ind w:firstLine="420"/>
        <w:jc w:val="both"/>
      </w:pPr>
      <w:r>
        <w:t>本次软件功能演示采用真实模型推理 + dry-run（受控预演）模式：模型负责理解自然语言请求、形成诊断假设与候选计划，Agent 独立完成命令分级、关键路径保护、人工确认和执行边界裁决。dry-run 用于完整展示感知、检索、推理、规划、校验、反事实回放与审计链路，同时避免在比赛演示环境中产生不可预期的系统变更。</w:t>
      </w:r>
    </w:p>
    <w:tbl>
      <w:tblPr>
        <w:tblStyle w:val="34"/>
        <w:tblW w:w="9090" w:type="dxa"/>
        <w:tblInd w:w="1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"/>
        <w:gridCol w:w="9075"/>
        <w:gridCol w:w="15"/>
      </w:tblGrid>
      <w:tr w14:paraId="03B05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5" w:type="dxa"/>
          <w:cantSplit/>
        </w:trPr>
        <w:tc>
          <w:tcPr>
            <w:tcW w:w="9090" w:type="dxa"/>
            <w:gridSpan w:val="2"/>
            <w:tcBorders>
              <w:top w:val="single" w:color="D9E2E9" w:sz="4" w:space="0"/>
              <w:left w:val="single" w:color="D9E2E9" w:sz="4" w:space="0"/>
              <w:bottom w:val="single" w:color="D9E2E9" w:sz="4" w:space="0"/>
              <w:right w:val="single" w:color="D9E2E9" w:sz="4" w:space="0"/>
            </w:tcBorders>
            <w:shd w:val="clear" w:color="auto" w:fill="F4F7F9"/>
            <w:tcMar>
              <w:top w:w="135" w:type="dxa"/>
              <w:left w:w="175" w:type="dxa"/>
              <w:bottom w:w="135" w:type="dxa"/>
              <w:right w:w="175" w:type="dxa"/>
            </w:tcMar>
          </w:tcPr>
          <w:p w14:paraId="6ADAE75B">
            <w:pPr>
              <w:spacing w:after="0" w:line="264" w:lineRule="auto"/>
              <w:jc w:val="left"/>
            </w:pPr>
            <w:r>
              <w:rPr>
                <w:rFonts w:ascii="Consolas" w:hAnsi="Consolas" w:eastAsia="等线"/>
                <w:b w:val="0"/>
                <w:i w:val="0"/>
                <w:color w:val="34495E"/>
                <w:sz w:val="17"/>
              </w:rPr>
              <w:t>cd backend</w:t>
            </w:r>
            <w:r>
              <w:rPr>
                <w:rFonts w:ascii="Consolas" w:hAnsi="Consolas" w:eastAsia="等线"/>
                <w:b w:val="0"/>
                <w:i w:val="0"/>
                <w:color w:val="34495E"/>
                <w:sz w:val="17"/>
              </w:rPr>
              <w:br w:type="textWrapping"/>
            </w:r>
            <w:r>
              <w:rPr>
                <w:rFonts w:ascii="Consolas" w:hAnsi="Consolas" w:eastAsia="等线"/>
                <w:b w:val="0"/>
                <w:i w:val="0"/>
                <w:color w:val="34495E"/>
                <w:sz w:val="17"/>
              </w:rPr>
              <w:t>mvn -B clean package -DskipTests</w:t>
            </w:r>
            <w:r>
              <w:rPr>
                <w:rFonts w:ascii="Consolas" w:hAnsi="Consolas" w:eastAsia="等线"/>
                <w:b w:val="0"/>
                <w:i w:val="0"/>
                <w:color w:val="34495E"/>
                <w:sz w:val="17"/>
              </w:rPr>
              <w:br w:type="textWrapping"/>
            </w:r>
            <w:r>
              <w:rPr>
                <w:rFonts w:ascii="Consolas" w:hAnsi="Consolas" w:eastAsia="等线"/>
                <w:b w:val="0"/>
                <w:i w:val="0"/>
                <w:color w:val="34495E"/>
                <w:sz w:val="17"/>
              </w:rPr>
              <w:t>java -jar target/ops-agent.jar</w:t>
            </w:r>
            <w:r>
              <w:rPr>
                <w:rFonts w:ascii="Consolas" w:hAnsi="Consolas" w:eastAsia="等线"/>
                <w:b w:val="0"/>
                <w:i w:val="0"/>
                <w:color w:val="34495E"/>
                <w:sz w:val="17"/>
              </w:rPr>
              <w:br w:type="textWrapping"/>
            </w:r>
            <w:r>
              <w:rPr>
                <w:rFonts w:ascii="Consolas" w:hAnsi="Consolas" w:eastAsia="等线"/>
                <w:b w:val="0"/>
                <w:i w:val="0"/>
                <w:color w:val="34495E"/>
                <w:sz w:val="17"/>
              </w:rPr>
              <w:t># 浏览器打开 http://127.0.0.1:8080/</w:t>
            </w:r>
          </w:p>
        </w:tc>
      </w:tr>
      <w:tr w14:paraId="70D74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</w:trPr>
        <w:tc>
          <w:tcPr>
            <w:tcW w:w="9090" w:type="dxa"/>
            <w:gridSpan w:val="2"/>
            <w:tcBorders>
              <w:top w:val="nil"/>
              <w:left w:val="single" w:color="3A78B8" w:sz="18" w:space="0"/>
              <w:bottom w:val="nil"/>
              <w:right w:val="nil"/>
            </w:tcBorders>
            <w:shd w:val="clear" w:color="auto" w:fill="F5F9FD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6CF9E8B9">
            <w:pPr>
              <w:spacing w:after="0" w:line="300" w:lineRule="auto"/>
            </w:pPr>
            <w:r>
              <w:rPr>
                <w:rFonts w:ascii="Arial" w:hAnsi="Arial" w:eastAsia="微软雅黑"/>
                <w:b/>
                <w:i w:val="0"/>
                <w:color w:val="173A5E"/>
                <w:sz w:val="21"/>
              </w:rPr>
              <w:t xml:space="preserve">启动检查  </w:t>
            </w: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21"/>
              </w:rPr>
              <w:t>访问 /actuator/health 确认服务状态；控制台顶部会显示服务状态、运行模式和访问令牌状态。</w:t>
            </w:r>
          </w:p>
        </w:tc>
      </w:tr>
    </w:tbl>
    <w:p w14:paraId="19CA3049">
      <w:pPr>
        <w:pStyle w:val="4"/>
      </w:pPr>
      <w:bookmarkStart w:id="8" w:name="_Toc23016"/>
      <w:r>
        <w:t>2.3  真实环境受控启用</w:t>
      </w:r>
      <w:bookmarkEnd w:id="8"/>
    </w:p>
    <w:p w14:paraId="129A0301">
      <w:pPr>
        <w:spacing w:after="12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真实环境中，建议先完成受限账户和 sudoers 白名单配置，再按运维规范关闭 dry-run。应用层护栏与操作系统层白名单同时生效；即使模型产生了不合适的候选动作，也不能扩大到白名单以外的执行范围。</w:t>
      </w:r>
    </w:p>
    <w:tbl>
      <w:tblPr>
        <w:tblStyle w:val="34"/>
        <w:tblW w:w="9090" w:type="dxa"/>
        <w:tblInd w:w="1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"/>
        <w:gridCol w:w="9075"/>
        <w:gridCol w:w="15"/>
      </w:tblGrid>
      <w:tr w14:paraId="6F9705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5" w:type="dxa"/>
          <w:cantSplit/>
        </w:trPr>
        <w:tc>
          <w:tcPr>
            <w:tcW w:w="9090" w:type="dxa"/>
            <w:gridSpan w:val="2"/>
            <w:tcBorders>
              <w:top w:val="single" w:color="D9E2E9" w:sz="4" w:space="0"/>
              <w:left w:val="single" w:color="D9E2E9" w:sz="4" w:space="0"/>
              <w:bottom w:val="single" w:color="D9E2E9" w:sz="4" w:space="0"/>
              <w:right w:val="single" w:color="D9E2E9" w:sz="4" w:space="0"/>
            </w:tcBorders>
            <w:shd w:val="clear" w:color="auto" w:fill="F4F7F9"/>
            <w:tcMar>
              <w:top w:w="135" w:type="dxa"/>
              <w:left w:w="175" w:type="dxa"/>
              <w:bottom w:w="135" w:type="dxa"/>
              <w:right w:w="175" w:type="dxa"/>
            </w:tcMar>
          </w:tcPr>
          <w:p w14:paraId="34EC3F56">
            <w:pPr>
              <w:spacing w:after="0" w:line="264" w:lineRule="auto"/>
              <w:jc w:val="left"/>
            </w:pPr>
            <w:r>
              <w:rPr>
                <w:rFonts w:ascii="Consolas" w:hAnsi="Consolas" w:eastAsia="等线"/>
                <w:b w:val="0"/>
                <w:i w:val="0"/>
                <w:color w:val="34495E"/>
                <w:sz w:val="17"/>
              </w:rPr>
              <w:t># 在项目根目录执行</w:t>
            </w:r>
            <w:r>
              <w:rPr>
                <w:rFonts w:ascii="Consolas" w:hAnsi="Consolas" w:eastAsia="等线"/>
                <w:b w:val="0"/>
                <w:i w:val="0"/>
                <w:color w:val="34495E"/>
                <w:sz w:val="17"/>
              </w:rPr>
              <w:br w:type="textWrapping"/>
            </w:r>
            <w:r>
              <w:rPr>
                <w:rFonts w:ascii="Consolas" w:hAnsi="Consolas" w:eastAsia="等线"/>
                <w:b w:val="0"/>
                <w:i w:val="0"/>
                <w:color w:val="34495E"/>
                <w:sz w:val="17"/>
              </w:rPr>
              <w:t>sudo OPS_USER=opsagent bash deploy/scripts/setup-ops-user.sh</w:t>
            </w:r>
            <w:r>
              <w:rPr>
                <w:rFonts w:ascii="Consolas" w:hAnsi="Consolas" w:eastAsia="等线"/>
                <w:b w:val="0"/>
                <w:i w:val="0"/>
                <w:color w:val="34495E"/>
                <w:sz w:val="17"/>
              </w:rPr>
              <w:br w:type="textWrapping"/>
            </w:r>
            <w:r>
              <w:rPr>
                <w:rFonts w:ascii="Consolas" w:hAnsi="Consolas" w:eastAsia="等线"/>
                <w:b w:val="0"/>
                <w:i w:val="0"/>
                <w:color w:val="34495E"/>
                <w:sz w:val="17"/>
              </w:rPr>
              <w:t>export OPS_EXEC_USER=opsagent</w:t>
            </w:r>
            <w:r>
              <w:rPr>
                <w:rFonts w:ascii="Consolas" w:hAnsi="Consolas" w:eastAsia="等线"/>
                <w:b w:val="0"/>
                <w:i w:val="0"/>
                <w:color w:val="34495E"/>
                <w:sz w:val="17"/>
              </w:rPr>
              <w:br w:type="textWrapping"/>
            </w:r>
            <w:r>
              <w:rPr>
                <w:rFonts w:ascii="Consolas" w:hAnsi="Consolas" w:eastAsia="等线"/>
                <w:b w:val="0"/>
                <w:i w:val="0"/>
                <w:color w:val="34495E"/>
                <w:sz w:val="17"/>
              </w:rPr>
              <w:t>export OPS_EXEC_USE_SUDO=true</w:t>
            </w:r>
            <w:r>
              <w:rPr>
                <w:rFonts w:ascii="Consolas" w:hAnsi="Consolas" w:eastAsia="等线"/>
                <w:b w:val="0"/>
                <w:i w:val="0"/>
                <w:color w:val="34495E"/>
                <w:sz w:val="17"/>
              </w:rPr>
              <w:br w:type="textWrapping"/>
            </w:r>
            <w:r>
              <w:rPr>
                <w:rFonts w:ascii="Consolas" w:hAnsi="Consolas" w:eastAsia="等线"/>
                <w:b w:val="0"/>
                <w:i w:val="0"/>
                <w:color w:val="34495E"/>
                <w:sz w:val="17"/>
              </w:rPr>
              <w:t>export OPS_EXEC_DRY_RUN=false</w:t>
            </w:r>
          </w:p>
        </w:tc>
      </w:tr>
      <w:tr w14:paraId="351D90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</w:trPr>
        <w:tc>
          <w:tcPr>
            <w:tcW w:w="9090" w:type="dxa"/>
            <w:gridSpan w:val="2"/>
            <w:tcBorders>
              <w:top w:val="nil"/>
              <w:left w:val="single" w:color="3A78B8" w:sz="18" w:space="0"/>
              <w:bottom w:val="nil"/>
              <w:right w:val="nil"/>
            </w:tcBorders>
            <w:shd w:val="clear" w:color="auto" w:fill="EAF3FB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2B541AEB">
            <w:pPr>
              <w:spacing w:after="0" w:line="300" w:lineRule="auto"/>
            </w:pPr>
            <w:r>
              <w:rPr>
                <w:rFonts w:ascii="Arial" w:hAnsi="Arial" w:eastAsia="微软雅黑"/>
                <w:b/>
                <w:i w:val="0"/>
                <w:color w:val="173A5E"/>
                <w:sz w:val="21"/>
              </w:rPr>
              <w:t xml:space="preserve">部署提示  </w:t>
            </w: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21"/>
              </w:rPr>
              <w:t>默认服务只绑定 127.0.0.1。本地以外部署需显式设置访问地址与强随机令牌；REST、MCP 与监控端点均应携带令牌访问。</w:t>
            </w:r>
          </w:p>
        </w:tc>
      </w:tr>
    </w:tbl>
    <w:p w14:paraId="6C80E9ED">
      <w:pPr>
        <w:pStyle w:val="4"/>
      </w:pPr>
      <w:bookmarkStart w:id="9" w:name="_Toc24897"/>
      <w:r>
        <w:t>2.4  运行模式约定</w:t>
      </w:r>
      <w:bookmarkEnd w:id="9"/>
    </w:p>
    <w:tbl>
      <w:tblPr>
        <w:tblStyle w:val="34"/>
        <w:tblW w:w="909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550"/>
        <w:gridCol w:w="3340"/>
      </w:tblGrid>
      <w:tr w14:paraId="4A4B96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13628EE9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模式</w:t>
            </w:r>
          </w:p>
        </w:tc>
        <w:tc>
          <w:tcPr>
            <w:tcW w:w="35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764E42CC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适用目的</w:t>
            </w:r>
          </w:p>
        </w:tc>
        <w:tc>
          <w:tcPr>
            <w:tcW w:w="334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3FCFF444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变更行为</w:t>
            </w:r>
          </w:p>
        </w:tc>
      </w:tr>
      <w:tr w14:paraId="36696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1B15465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真实模型 + dry-run</w:t>
            </w:r>
          </w:p>
        </w:tc>
        <w:tc>
          <w:tcPr>
            <w:tcW w:w="35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651F5E3">
            <w:r>
              <w:t>比赛演示、真实语义理解与证据推理验证</w:t>
            </w:r>
          </w:p>
        </w:tc>
        <w:tc>
          <w:tcPr>
            <w:tcW w:w="334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B188488">
            <w:r>
              <w:t>完整展示诊断、安全裁决与审计闭环，变更不落盘</w:t>
            </w:r>
          </w:p>
        </w:tc>
      </w:tr>
      <w:tr w14:paraId="0CE33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BD6CDAE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真实模型 + LIVE</w:t>
            </w:r>
          </w:p>
        </w:tc>
        <w:tc>
          <w:tcPr>
            <w:tcW w:w="35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1A76511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经部署审批的受控运维</w:t>
            </w:r>
          </w:p>
        </w:tc>
        <w:tc>
          <w:tcPr>
            <w:tcW w:w="334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4996A2F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仅在人工确认、护栏裁决和最小权限条件同时满足时执行</w:t>
            </w:r>
          </w:p>
        </w:tc>
      </w:tr>
    </w:tbl>
    <w:p w14:paraId="3186C99D">
      <w:pPr>
        <w:pStyle w:val="3"/>
      </w:pPr>
      <w:bookmarkStart w:id="10" w:name="_Toc26330"/>
      <w:r>
        <w:t>第3章  三分钟快速上手</w:t>
      </w:r>
      <w:bookmarkEnd w:id="10"/>
    </w:p>
    <w:p w14:paraId="1E63AB73">
      <w:pPr>
        <w:pStyle w:val="4"/>
      </w:pPr>
      <w:bookmarkStart w:id="11" w:name="_Toc2898"/>
      <w:r>
        <w:t>3.1  从告警到处置建议</w:t>
      </w:r>
      <w:bookmarkEnd w:id="11"/>
    </w:p>
    <w:p w14:paraId="268ADD02">
      <w:pPr>
        <w:spacing w:after="120" w:line="348" w:lineRule="auto" w:before="0"/>
        <w:ind w:firstLine="480"/>
        <w:jc w:val="both"/>
      </w:pPr>
      <w:r>
        <w:rPr>
          <w:rFonts w:ascii="宋体" w:hAnsi="宋体" w:eastAsia="宋体"/>
          <w:sz w:val="24"/>
        </w:rPr>
        <w:t>本节以“运维人员收到磁盘空间告警后进行问询”为例，说明一次完整使用过程。操作应遵循“先只读、再建议、后确认、最后复核”的顺序：先让系统缩小故障范围，再由运维人员审阅候选对象与风险，只有在边界清晰时才进入受控变更。一次会话应围绕一个明确目标进行，避免将多个无关问题混合到同一处置计划中。</w:t>
      </w:r>
    </w:p>
    <w:p w14:paraId="303093D4">
      <w:pPr>
        <w:keepLines/>
        <w:numPr>
          <w:ilvl w:val="0"/>
          <w:numId w:val="8"/>
        </w:numPr>
        <w:spacing w:after="120" w:line="348" w:lineRule="auto" w:before="0"/>
        <w:ind w:firstLine="480"/>
      </w:pPr>
      <w:r>
        <w:rPr>
          <w:rFonts w:ascii="宋体" w:hAnsi="宋体" w:eastAsia="宋体"/>
          <w:sz w:val="24"/>
        </w:rPr>
        <w:t>步骤1：进入控制台后，如当前页面仍保留上一项任务，应先点击“新会话”建立新的处理上下文；随后在左侧输入框中说明现象、目标和约束，例如“磁盘快满了，帮我检查日志占用并给出清理建议，先不要修改系统”。明确的约束会使系统优先采用只读感知，而不是直接形成变更计划。</w:t>
      </w:r>
    </w:p>
    <w:p w14:paraId="7853D451">
      <w:pPr>
        <w:keepLines/>
        <w:numPr>
          <w:ilvl w:val="0"/>
          <w:numId w:val="8"/>
        </w:numPr>
        <w:spacing w:after="120" w:line="348" w:lineRule="auto" w:before="0"/>
        <w:ind w:firstLine="480"/>
      </w:pPr>
      <w:r>
        <w:rPr>
          <w:rFonts w:ascii="宋体" w:hAnsi="宋体" w:eastAsia="宋体"/>
          <w:sz w:val="24"/>
        </w:rPr>
        <w:t>步骤2：提交查询后，先查看结果页上的系统证据、诊断摘要和任务计划。对于磁盘空间告警，重点对比候选日志文件、文件是否被进程占用，以及是否触及关键路径或敏感数据。如果证据不足，应继续发起只读查询，而不应直接进入变更阶段。</w:t>
      </w:r>
    </w:p>
    <w:p w14:paraId="09FC30CA">
      <w:pPr>
        <w:keepLines/>
        <w:numPr>
          <w:ilvl w:val="0"/>
          <w:numId w:val="8"/>
        </w:numPr>
        <w:spacing w:after="120" w:line="348" w:lineRule="auto" w:before="0"/>
        <w:ind w:firstLine="480"/>
      </w:pPr>
      <w:r>
        <w:rPr>
          <w:rFonts w:ascii="宋体" w:hAnsi="宋体" w:eastAsia="宋体"/>
          <w:sz w:val="24"/>
        </w:rPr>
        <w:t>步骤3：若系统生成 OBSERVE、CHANGE、VERIFY 计划并显示“待人工确认”，运维人员应对操作对象、归档方式、预期影响、恢复提示和风险级别逐项确认。如果目标文件、参数或经验判断发生变化，应取消当前计划并重新感知，不复用原确认。</w:t>
      </w:r>
    </w:p>
    <w:p w14:paraId="3765E130">
      <w:pPr>
        <w:keepLines/>
        <w:numPr>
          <w:ilvl w:val="0"/>
          <w:numId w:val="8"/>
        </w:numPr>
        <w:spacing w:after="120" w:line="348" w:lineRule="auto" w:before="0"/>
        <w:ind w:firstLine="480"/>
      </w:pPr>
      <w:r>
        <w:rPr>
          <w:rFonts w:ascii="宋体" w:hAnsi="宋体" w:eastAsia="宋体"/>
          <w:sz w:val="24"/>
        </w:rPr>
        <w:t>步骤4：在受控执行或 dry-run 预演结束后，进入结果、链路和报告页查看处置状态。对于日志轮转，应对比归档文件、原文件状态和磁盘空间前后证据；对需要追溯的任务，可依据 traceId 回看任务规划、风险裁决与实际输出。</w:t>
      </w:r>
    </w:p>
    <w:tbl>
      <w:tblPr>
        <w:tblStyle w:val="34"/>
        <w:tblW w:w="909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0"/>
      </w:tblGrid>
      <w:tr w14:paraId="0D48E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0" w:type="dxa"/>
            <w:tcBorders>
              <w:top w:val="nil"/>
              <w:left w:val="single" w:color="3A78B8" w:sz="18" w:space="0"/>
              <w:bottom w:val="nil"/>
              <w:right w:val="nil"/>
            </w:tcBorders>
            <w:shd w:val="clear" w:color="auto" w:fill="EAF3FB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52B8F3A5">
            <w:pPr>
              <w:spacing w:after="0" w:line="300" w:lineRule="auto"/>
            </w:pPr>
            <w:r>
              <w:rPr>
                <w:rFonts w:ascii="Arial" w:hAnsi="Arial" w:eastAsia="微软雅黑"/>
                <w:b/>
                <w:i w:val="0"/>
                <w:color w:val="173A5E"/>
                <w:sz w:val="21"/>
              </w:rPr>
              <w:t xml:space="preserve">推荐输入方式  </w:t>
            </w: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21"/>
              </w:rPr>
              <w:t>说明“现象 + 目标 + 约束”即可，例如“日志占用异常，只检查不修改”或“列出可安全轮转的日志候选，我确认后再执行”。</w:t>
            </w:r>
          </w:p>
        </w:tc>
      </w:tr>
    </w:tbl>
    <w:p w14:paraId="174D2348">
      <w:pPr>
        <w:pStyle w:val="4"/>
      </w:pPr>
      <w:bookmarkStart w:id="12" w:name="_Toc9616"/>
      <w:r>
        <w:t>3.2  快速判断处理结果</w:t>
      </w:r>
      <w:bookmarkEnd w:id="12"/>
    </w:p>
    <w:p>
      <w:pPr>
        <w:spacing w:line="348" w:lineRule="auto" w:before="0" w:after="120"/>
        <w:ind w:firstLine="480"/>
      </w:pPr>
      <w:r>
        <w:rPr>
          <w:rFonts w:ascii="宋体" w:hAnsi="宋体" w:eastAsia="宋体"/>
          <w:sz w:val="24"/>
        </w:rPr>
        <w:t>系统以状态值说明本轮处理已经走到哪一步，运维人员不应只关注“是否执行”，还应关注是否完成证据核验。表3-1给出控制台中最常见的处理状态及相应的下一步操作；其中 BLOCKED 和 INJECTION_BLOCKED 表示安全边界已生效，不应尝试通过追加会话指令绕过。</w:t>
      </w:r>
    </w:p>
    <w:p>
      <w:pPr>
        <w:pStyle w:val="15"/>
        <w:spacing w:line="348" w:lineRule="auto" w:before="0" w:after="80"/>
        <w:ind w:firstLine="0"/>
        <w:jc w:val="center"/>
      </w:pPr>
      <w:r>
        <w:rPr>
          <w:rFonts w:ascii="宋体" w:hAnsi="宋体" w:eastAsia="宋体"/>
          <w:sz w:val="22"/>
        </w:rPr>
        <w:t>表3-1  常见处理状态及运维人员下一步操作</w:t>
      </w:r>
    </w:p>
    <w:tbl>
      <w:tblPr>
        <w:tblStyle w:val="34"/>
        <w:tblW w:w="9090" w:type="dxa"/>
        <w:tblInd w:w="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"/>
        <w:gridCol w:w="3000"/>
        <w:gridCol w:w="3200"/>
        <w:gridCol w:w="2825"/>
        <w:gridCol w:w="65"/>
      </w:tblGrid>
      <w:tr w14:paraId="4BDEE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5" w:type="dxa"/>
          <w:tblHeader/>
        </w:trPr>
        <w:tc>
          <w:tcPr>
            <w:tcW w:w="30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7EFFB1D4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8"/>
              </w:rPr>
              <w:t>结果状态</w:t>
            </w:r>
          </w:p>
        </w:tc>
        <w:tc>
          <w:tcPr>
            <w:tcW w:w="32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5357F9D1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8"/>
              </w:rPr>
              <w:t>含义</w:t>
            </w:r>
          </w:p>
        </w:tc>
        <w:tc>
          <w:tcPr>
            <w:tcW w:w="2890" w:type="dxa"/>
            <w:gridSpan w:val="2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7C6D50A9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8"/>
              </w:rPr>
              <w:t>运维人员应做什么</w:t>
            </w:r>
          </w:p>
        </w:tc>
      </w:tr>
      <w:tr w14:paraId="0480C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5" w:type="dxa"/>
          <w:cantSplit/>
        </w:trPr>
        <w:tc>
          <w:tcPr>
            <w:tcW w:w="30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2085B96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8"/>
              </w:rPr>
              <w:t>OBSERVED</w:t>
            </w:r>
          </w:p>
        </w:tc>
        <w:tc>
          <w:tcPr>
            <w:tcW w:w="32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0273792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8"/>
              </w:rPr>
              <w:t>只读诊断完成，系统未修改</w:t>
            </w:r>
          </w:p>
        </w:tc>
        <w:tc>
          <w:tcPr>
            <w:tcW w:w="2890" w:type="dxa"/>
            <w:gridSpan w:val="2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BCA4C22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8"/>
              </w:rPr>
              <w:t>核验证据与诊断结论</w:t>
            </w:r>
          </w:p>
        </w:tc>
      </w:tr>
      <w:tr w14:paraId="6CC4BD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5" w:type="dxa"/>
          <w:cantSplit/>
        </w:trPr>
        <w:tc>
          <w:tcPr>
            <w:tcW w:w="30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96CA9B7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8"/>
              </w:rPr>
              <w:t>CLARIFICATION_REQUIRED</w:t>
            </w:r>
          </w:p>
        </w:tc>
        <w:tc>
          <w:tcPr>
            <w:tcW w:w="32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F23027C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8"/>
              </w:rPr>
              <w:t>候选或范围不明确，尚未形成变更计划</w:t>
            </w:r>
          </w:p>
        </w:tc>
        <w:tc>
          <w:tcPr>
            <w:tcW w:w="2890" w:type="dxa"/>
            <w:gridSpan w:val="2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9D2B616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8"/>
              </w:rPr>
              <w:t>补充范围或重新检查</w:t>
            </w:r>
          </w:p>
        </w:tc>
      </w:tr>
      <w:tr w14:paraId="7419C8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5" w:type="dxa"/>
          <w:cantSplit/>
        </w:trPr>
        <w:tc>
          <w:tcPr>
            <w:tcW w:w="30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7E42223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8"/>
              </w:rPr>
              <w:t>REVIEW_PENDING</w:t>
            </w:r>
          </w:p>
        </w:tc>
        <w:tc>
          <w:tcPr>
            <w:tcW w:w="32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0EB6FC8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8"/>
              </w:rPr>
              <w:t>存在受控变更，等待人工复核</w:t>
            </w:r>
          </w:p>
        </w:tc>
        <w:tc>
          <w:tcPr>
            <w:tcW w:w="2890" w:type="dxa"/>
            <w:gridSpan w:val="2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3078D4C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8"/>
              </w:rPr>
              <w:t>核对计划与目标对象后决定是否确认</w:t>
            </w:r>
          </w:p>
        </w:tc>
      </w:tr>
      <w:tr w14:paraId="58FDB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5" w:type="dxa"/>
          <w:cantSplit/>
        </w:trPr>
        <w:tc>
          <w:tcPr>
            <w:tcW w:w="30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27047F3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8"/>
              </w:rPr>
              <w:t>DRY_RUN_COMPLETED</w:t>
            </w:r>
          </w:p>
        </w:tc>
        <w:tc>
          <w:tcPr>
            <w:tcW w:w="32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8EFC0EA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8"/>
              </w:rPr>
              <w:t>演练完成，未修改系统</w:t>
            </w:r>
          </w:p>
        </w:tc>
        <w:tc>
          <w:tcPr>
            <w:tcW w:w="2890" w:type="dxa"/>
            <w:gridSpan w:val="2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48FBDFC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8"/>
              </w:rPr>
              <w:t>审阅模拟执行与验证计划</w:t>
            </w:r>
          </w:p>
        </w:tc>
      </w:tr>
      <w:tr w14:paraId="1D3C4E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5" w:type="dxa"/>
          <w:cantSplit/>
        </w:trPr>
        <w:tc>
          <w:tcPr>
            <w:tcW w:w="30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86E51F8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8"/>
              </w:rPr>
              <w:t>VERIFIED</w:t>
            </w:r>
          </w:p>
        </w:tc>
        <w:tc>
          <w:tcPr>
            <w:tcW w:w="32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2504DF8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8"/>
              </w:rPr>
              <w:t>真实变更已执行并验证通过</w:t>
            </w:r>
          </w:p>
        </w:tc>
        <w:tc>
          <w:tcPr>
            <w:tcW w:w="2890" w:type="dxa"/>
            <w:gridSpan w:val="2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B7568DF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8"/>
              </w:rPr>
              <w:t>查看验证证据与回滚建议</w:t>
            </w:r>
          </w:p>
        </w:tc>
      </w:tr>
      <w:tr w14:paraId="1A7D9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5" w:type="dxa"/>
          <w:cantSplit/>
        </w:trPr>
        <w:tc>
          <w:tcPr>
            <w:tcW w:w="30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71AC584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8"/>
              </w:rPr>
              <w:t>BLOCKED / INJECTION_BLOCKED</w:t>
            </w:r>
          </w:p>
        </w:tc>
        <w:tc>
          <w:tcPr>
            <w:tcW w:w="32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3604C09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8"/>
              </w:rPr>
              <w:t>红线或提示词注入被拦截</w:t>
            </w:r>
          </w:p>
        </w:tc>
        <w:tc>
          <w:tcPr>
            <w:tcW w:w="2890" w:type="dxa"/>
            <w:gridSpan w:val="2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1C2F61A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8"/>
              </w:rPr>
              <w:t>查看原因；不提供会话放行入口</w:t>
            </w:r>
          </w:p>
        </w:tc>
      </w:tr>
      <w:tr w14:paraId="193039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5" w:type="dxa"/>
        </w:trPr>
        <w:tc>
          <w:tcPr>
            <w:tcW w:w="9090" w:type="dxa"/>
            <w:gridSpan w:val="4"/>
            <w:tcBorders>
              <w:top w:val="nil"/>
              <w:left w:val="single" w:color="3A78B8" w:sz="18" w:space="0"/>
              <w:bottom w:val="nil"/>
              <w:right w:val="nil"/>
            </w:tcBorders>
            <w:shd w:val="clear" w:color="auto" w:fill="F5F9FD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15CA5601">
            <w:pPr>
              <w:spacing w:after="0" w:line="300" w:lineRule="auto"/>
            </w:pPr>
            <w:r>
              <w:rPr>
                <w:rFonts w:ascii="Arial" w:hAnsi="Arial" w:eastAsia="微软雅黑"/>
                <w:b/>
                <w:i w:val="0"/>
                <w:color w:val="173A5E"/>
                <w:sz w:val="21"/>
              </w:rPr>
              <w:t xml:space="preserve">状态说明  </w:t>
            </w: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21"/>
              </w:rPr>
              <w:t>READONLY、EXECUTABLE、IRREVERSIBLE、BLOCK 是风险等级，详见第8.1节；MCP 变更工具返回 EXECUTED 后，仍须查看 verify 字段确认复核是否完成。</w:t>
            </w:r>
          </w:p>
        </w:tc>
      </w:tr>
    </w:tbl>
    <w:p w14:paraId="4727B679">
      <w:pPr>
        <w:pStyle w:val="3"/>
      </w:pPr>
      <w:bookmarkStart w:id="13" w:name="_Toc2452"/>
      <w:r>
        <w:t>第4章  控制台界面与使用约定</w:t>
      </w:r>
      <w:bookmarkEnd w:id="13"/>
    </w:p>
    <w:p w14:paraId="7C4E4EF6">
      <w:pPr>
        <w:pStyle w:val="4"/>
      </w:pPr>
      <w:bookmarkStart w:id="14" w:name="_Toc10307"/>
      <w:r>
        <w:t>4.1  控制台组成</w:t>
      </w:r>
      <w:bookmarkEnd w:id="14"/>
    </w:p>
    <w:p w14:paraId="3C1012DF">
      <w:pPr>
        <w:spacing w:after="12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控制台采用左侧问询、右侧闭环与结果展示的布局。左侧用于输入自然语言和切换演示场景；右侧展示当前请求的安全闭环进度、结果、链路、报告、巡检、红蓝、JSON 与实时信息。</w:t>
      </w:r>
    </w:p>
    <w:p w14:paraId="4CE70003">
      <w:pPr>
        <w:spacing w:before="80" w:after="0"/>
        <w:jc w:val="center"/>
      </w:pPr>
      <w:r>
        <w:drawing>
          <wp:inline distT="0" distB="0" distL="114300" distR="114300">
            <wp:extent cx="5759450" cy="3239770"/>
            <wp:effectExtent l="0" t="0" r="3175" b="8255"/>
            <wp:docPr id="1" name="Picture 1" descr="图4-1  智御控制台首页与十一阶段安全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4-1  智御控制台首页与十一阶段安全闭环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99E8">
      <w:pPr>
        <w:pStyle w:val="15"/>
      </w:pPr>
      <w:r>
        <w:t>图4-1  智御控制台首页与十一阶段安全闭环</w:t>
      </w:r>
    </w:p>
    <w:tbl>
      <w:tblPr>
        <w:tblStyle w:val="34"/>
        <w:tblW w:w="93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4130"/>
        <w:gridCol w:w="3570"/>
      </w:tblGrid>
      <w:tr w14:paraId="1AB33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4C18C784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区域</w:t>
            </w:r>
          </w:p>
        </w:tc>
        <w:tc>
          <w:tcPr>
            <w:tcW w:w="413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267463B7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主要内容</w:t>
            </w:r>
          </w:p>
        </w:tc>
        <w:tc>
          <w:tcPr>
            <w:tcW w:w="357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7917161D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使用要点</w:t>
            </w:r>
          </w:p>
        </w:tc>
      </w:tr>
      <w:tr w14:paraId="3DE95A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5ED7A0F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指令区</w:t>
            </w:r>
          </w:p>
        </w:tc>
        <w:tc>
          <w:tcPr>
            <w:tcW w:w="413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11050DC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会话状态、自然语言输入框、执行按钮与新会话</w:t>
            </w:r>
          </w:p>
        </w:tc>
        <w:tc>
          <w:tcPr>
            <w:tcW w:w="357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A29C8E7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每轮围绕一个明确运维目标描述问题</w:t>
            </w:r>
          </w:p>
        </w:tc>
      </w:tr>
      <w:tr w14:paraId="1133CB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811F9DF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场景区</w:t>
            </w:r>
          </w:p>
        </w:tc>
        <w:tc>
          <w:tcPr>
            <w:tcW w:w="413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586A7C6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只读体检、磁盘清理、核心服务、误删数据库、提示词注入等</w:t>
            </w:r>
          </w:p>
        </w:tc>
        <w:tc>
          <w:tcPr>
            <w:tcW w:w="357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7E56952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用于快速演示不同风险级别的处理逻辑</w:t>
            </w:r>
          </w:p>
        </w:tc>
      </w:tr>
      <w:tr w14:paraId="73CE67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C361CA3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闭环区</w:t>
            </w:r>
          </w:p>
        </w:tc>
        <w:tc>
          <w:tcPr>
            <w:tcW w:w="413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894BB62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接收、抗注入、感知、候选、检索、推理、规划、校验、跨轮、执行、分析</w:t>
            </w:r>
          </w:p>
        </w:tc>
        <w:tc>
          <w:tcPr>
            <w:tcW w:w="357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49B4B4B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查看当前请求进行到哪一步</w:t>
            </w:r>
          </w:p>
        </w:tc>
      </w:tr>
      <w:tr w14:paraId="20166C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7058745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结果区</w:t>
            </w:r>
          </w:p>
        </w:tc>
        <w:tc>
          <w:tcPr>
            <w:tcW w:w="413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8CCE388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结果、链路、报告、巡检、红蓝、JSON、实时等页签</w:t>
            </w:r>
          </w:p>
        </w:tc>
        <w:tc>
          <w:tcPr>
            <w:tcW w:w="357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3914EE4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先看结果，再按需进入链路和报告复核</w:t>
            </w:r>
          </w:p>
        </w:tc>
      </w:tr>
    </w:tbl>
    <w:p w14:paraId="796566B5">
      <w:pPr>
        <w:pStyle w:val="4"/>
      </w:pPr>
      <w:bookmarkStart w:id="15" w:name="_Toc819"/>
      <w:r>
        <w:t>4.2  当前会话约定</w:t>
      </w:r>
      <w:bookmarkEnd w:id="15"/>
    </w:p>
    <w:p w14:paraId="2CBD3558">
      <w:pPr>
        <w:keepNext/>
        <w:keepLines/>
        <w:numPr>
          <w:ilvl w:val="0"/>
          <w:numId w:val="7"/>
        </w:numPr>
        <w:spacing w:after="120" w:line="348" w:lineRule="auto" w:before="0"/>
        <w:ind w:firstLine="480"/>
      </w:pPr>
      <w:r>
        <w:rPr>
          <w:rFonts w:ascii="宋体" w:hAnsi="宋体" w:eastAsia="宋体"/>
          <w:sz w:val="24"/>
        </w:rPr>
        <w:t>当前会话由同一名运维人员操作，“新会话”用于开始新的问题处理上下文。会话中的自然语言描述应包含现象、希望查证的目标和不希望越过的约束，以便系统在后续感知中保留正确的上下文。</w:t>
      </w:r>
    </w:p>
    <w:p w14:paraId="767E9455">
      <w:pPr>
        <w:keepNext/>
        <w:keepLines/>
        <w:numPr>
          <w:ilvl w:val="0"/>
          <w:numId w:val="7"/>
        </w:numPr>
        <w:spacing w:after="120" w:line="348" w:lineRule="auto" w:before="0"/>
        <w:ind w:firstLine="480"/>
      </w:pPr>
      <w:r>
        <w:rPr>
          <w:rFonts w:ascii="宋体" w:hAnsi="宋体" w:eastAsia="宋体"/>
          <w:sz w:val="24"/>
        </w:rPr>
        <w:t>同一处置计划的确认必须匹配系统返回的待确认标识与原始参数，不能更改目标后复用确认。如果目标文件、操作范围或计划参数发生变化，运维人员应弃用原标识并重新生成计划。</w:t>
      </w:r>
    </w:p>
    <w:p w14:paraId="10023620">
      <w:pPr>
        <w:keepNext w:val="0"/>
        <w:keepLines/>
        <w:numPr>
          <w:ilvl w:val="0"/>
          <w:numId w:val="7"/>
        </w:numPr>
        <w:spacing w:after="120" w:line="348" w:lineRule="auto" w:before="0"/>
        <w:ind w:firstLine="480"/>
      </w:pPr>
      <w:r>
        <w:rPr>
          <w:rFonts w:ascii="宋体" w:hAnsi="宋体" w:eastAsia="宋体"/>
          <w:sz w:val="24"/>
        </w:rPr>
        <w:t>短窗口内的诊断证据可用于连续问询，但系统状态随时间变化时，应重新感知并以最新证据为准。该约定避免将历史结果直接当作当前环境下的处置依据。</w:t>
      </w:r>
    </w:p>
    <w:p w14:paraId="14BCDE48">
      <w:pPr>
        <w:pStyle w:val="3"/>
      </w:pPr>
      <w:bookmarkStart w:id="16" w:name="_Toc18398"/>
      <w:r>
        <w:t>第5章  核心功能使用说明</w:t>
      </w:r>
      <w:bookmarkEnd w:id="16"/>
    </w:p>
    <w:p w14:paraId="2015C068">
      <w:pPr>
        <w:pStyle w:val="4"/>
      </w:pPr>
      <w:bookmarkStart w:id="17" w:name="_Toc18968"/>
      <w:r>
        <w:t>5.1  自然语言问询与实时状态感知</w:t>
      </w:r>
      <w:bookmarkEnd w:id="17"/>
    </w:p>
    <w:p w14:paraId="4A5898C4">
      <w:pPr>
        <w:spacing w:after="12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在输入框中描述系统现象或诊断目标后，智御会先进行只读感知，再综合系统状态、运行日志、规则依据与模型推理形成诊断结果。感知面覆盖系统、进程、磁盘、网络、日志、数据库、监控指标与主动巡检。</w:t>
      </w:r>
    </w:p>
    <w:tbl>
      <w:tblPr>
        <w:tblStyle w:val="34"/>
        <w:tblW w:w="9300" w:type="dxa"/>
        <w:tblInd w:w="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"/>
        <w:gridCol w:w="3980"/>
        <w:gridCol w:w="5045"/>
        <w:gridCol w:w="275"/>
      </w:tblGrid>
      <w:tr w14:paraId="5082CE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5" w:type="dxa"/>
          <w:tblHeader/>
        </w:trPr>
        <w:tc>
          <w:tcPr>
            <w:tcW w:w="398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11B515B4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问询示例</w:t>
            </w:r>
          </w:p>
        </w:tc>
        <w:tc>
          <w:tcPr>
            <w:tcW w:w="5320" w:type="dxa"/>
            <w:gridSpan w:val="2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21D70915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预期处理方式</w:t>
            </w:r>
          </w:p>
        </w:tc>
      </w:tr>
      <w:tr w14:paraId="2279D2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5" w:type="dxa"/>
          <w:cantSplit/>
        </w:trPr>
        <w:tc>
          <w:tcPr>
            <w:tcW w:w="398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87DD326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“服务器负载很高，先帮我看看是什么情况”</w:t>
            </w:r>
          </w:p>
        </w:tc>
        <w:tc>
          <w:tcPr>
            <w:tcW w:w="5320" w:type="dxa"/>
            <w:gridSpan w:val="2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C9BCEAE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采集负载、进程、内存等只读证据，给出排查方向</w:t>
            </w:r>
          </w:p>
        </w:tc>
      </w:tr>
      <w:tr w14:paraId="33278C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5" w:type="dxa"/>
          <w:cantSplit/>
        </w:trPr>
        <w:tc>
          <w:tcPr>
            <w:tcW w:w="398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E28AFC2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“最近有僵尸进程，帮我定位来源”</w:t>
            </w:r>
          </w:p>
        </w:tc>
        <w:tc>
          <w:tcPr>
            <w:tcW w:w="5320" w:type="dxa"/>
            <w:gridSpan w:val="2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946764F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查看进程状态与父进程关系，给出影响说明和建议</w:t>
            </w:r>
          </w:p>
        </w:tc>
      </w:tr>
      <w:tr w14:paraId="18FB7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5" w:type="dxa"/>
          <w:cantSplit/>
        </w:trPr>
        <w:tc>
          <w:tcPr>
            <w:tcW w:w="398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764F1D7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“服务访问慢，检查端口和错误日志”</w:t>
            </w:r>
          </w:p>
        </w:tc>
        <w:tc>
          <w:tcPr>
            <w:tcW w:w="5320" w:type="dxa"/>
            <w:gridSpan w:val="2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9F8ADD0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关联网络、服务日志与指标证据，形成根因假设</w:t>
            </w:r>
          </w:p>
        </w:tc>
      </w:tr>
      <w:tr w14:paraId="6C3D73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5" w:type="dxa"/>
          <w:cantSplit/>
        </w:trPr>
        <w:tc>
          <w:tcPr>
            <w:tcW w:w="398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16602E8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“磁盘快满了，只列出可以安全处理的日志”</w:t>
            </w:r>
          </w:p>
        </w:tc>
        <w:tc>
          <w:tcPr>
            <w:tcW w:w="5320" w:type="dxa"/>
            <w:gridSpan w:val="2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53243C7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定位候选日志并保持只读，先展示建议，不触发变更</w:t>
            </w:r>
          </w:p>
        </w:tc>
      </w:tr>
      <w:tr w14:paraId="4169A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75" w:type="dxa"/>
        </w:trPr>
        <w:tc>
          <w:tcPr>
            <w:tcW w:w="9090" w:type="dxa"/>
            <w:gridSpan w:val="3"/>
            <w:tcBorders>
              <w:top w:val="nil"/>
              <w:left w:val="single" w:color="3A78B8" w:sz="18" w:space="0"/>
              <w:bottom w:val="nil"/>
              <w:right w:val="nil"/>
            </w:tcBorders>
            <w:shd w:val="clear" w:color="auto" w:fill="F5F9FD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0273C73D">
            <w:pPr>
              <w:spacing w:after="0" w:line="300" w:lineRule="auto"/>
            </w:pPr>
            <w:r>
              <w:rPr>
                <w:rFonts w:ascii="Arial" w:hAnsi="Arial" w:eastAsia="微软雅黑"/>
                <w:b/>
                <w:i w:val="0"/>
                <w:color w:val="173A5E"/>
                <w:sz w:val="21"/>
              </w:rPr>
              <w:t xml:space="preserve">使用提示  </w:t>
            </w: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21"/>
              </w:rPr>
              <w:t>优先使用“先检查 / 只读 / 给出建议”等约束语句，先确认问题范围；当需要变更时，再让系统生成受控计划。</w:t>
            </w:r>
          </w:p>
        </w:tc>
      </w:tr>
    </w:tbl>
    <w:p w14:paraId="223BB16B">
      <w:pPr>
        <w:spacing w:before="80" w:after="120"/>
      </w:pPr>
      <w:r>
        <w:rPr>
          <w:rFonts w:ascii="微软雅黑" w:hAnsi="微软雅黑" w:eastAsia="微软雅黑"/>
        </w:rPr>
        <w:t>真实场景中，运维人员输入“服务器负载很高，帮我看看现在是什么情况”，系统将请求分解为负载、内存、进程、端口、日志、磁盘与 I/O 等只读观测任务。11 阶段链路完整推进，命令均通过只读规则校验，最终给出 READONLY 完成状态。</w:t>
      </w:r>
    </w:p>
    <w:p w14:paraId="356F520E">
      <w:pPr>
        <w:keepNext/>
        <w:spacing w:before="100" w:after="40"/>
        <w:jc w:val="center"/>
      </w:pPr>
      <w:r>
        <w:drawing>
          <wp:inline distT="0" distB="0" distL="114300" distR="114300">
            <wp:extent cx="5623560" cy="2708275"/>
            <wp:effectExtent l="0" t="0" r="5715" b="6350"/>
            <wp:docPr id="4" name="Picture 4" descr="环境体检场景显示自然语言输入、十一阶段链路、低风险只读结果" title="图5-1  自然语言环境体检与十一阶段只读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环境体检场景显示自然语言输入、十一阶段链路、低风险只读结果" title="图5-1  自然语言环境体检与十一阶段只读闭环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70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CED11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图5-1  自然语言环境体检与十一阶段只读闭环</w:t>
      </w:r>
    </w:p>
    <w:p w14:paraId="7FB91FB1">
      <w:pPr>
        <w:pStyle w:val="4"/>
      </w:pPr>
      <w:bookmarkStart w:id="18" w:name="_Toc8362"/>
      <w:r>
        <w:t>5.2  诊断依据与处置计划</w:t>
      </w:r>
      <w:bookmarkEnd w:id="18"/>
    </w:p>
    <w:p w14:paraId="7F3C2002">
      <w:pPr>
        <w:spacing w:after="12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智御将候选动作拆分为 OBSERVE（采集证据）、CHANGE（受控处置）和 VERIFY（复核闭环）三类任务。每一项任务展示目的、依赖、关联证据、预期风险和状态，帮助运维人员在确认前了解行动边界。</w:t>
      </w:r>
    </w:p>
    <w:tbl>
      <w:tblPr>
        <w:tblStyle w:val="34"/>
        <w:tblW w:w="909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6640"/>
      </w:tblGrid>
      <w:tr w14:paraId="7D28A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15E69B0A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计划字段</w:t>
            </w:r>
          </w:p>
        </w:tc>
        <w:tc>
          <w:tcPr>
            <w:tcW w:w="664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176E9690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说明</w:t>
            </w:r>
          </w:p>
        </w:tc>
      </w:tr>
      <w:tr w14:paraId="66AC5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4A49FE4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任务阶段</w:t>
            </w:r>
          </w:p>
        </w:tc>
        <w:tc>
          <w:tcPr>
            <w:tcW w:w="664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41FBB44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OBSERVE、CHANGE、VERIFY，按证据—处置—复核顺序组织</w:t>
            </w:r>
          </w:p>
        </w:tc>
      </w:tr>
      <w:tr w14:paraId="616A8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5B18155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目标与命令</w:t>
            </w:r>
          </w:p>
        </w:tc>
        <w:tc>
          <w:tcPr>
            <w:tcW w:w="664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B3C98BD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本次计划拟操作的对象与受护栏约束的候选动作</w:t>
            </w:r>
          </w:p>
        </w:tc>
      </w:tr>
      <w:tr w14:paraId="756B9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543CD89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依据与风险</w:t>
            </w:r>
          </w:p>
        </w:tc>
        <w:tc>
          <w:tcPr>
            <w:tcW w:w="664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AC0A228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关联的系统证据、知识依据、四级风险裁决和预期影响</w:t>
            </w:r>
          </w:p>
        </w:tc>
      </w:tr>
      <w:tr w14:paraId="65AA3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E100BF4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执行状态</w:t>
            </w:r>
          </w:p>
        </w:tc>
        <w:tc>
          <w:tcPr>
            <w:tcW w:w="664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E05F969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已执行、待确认、已拦截、复核通过或需要进一步人工处理</w:t>
            </w:r>
          </w:p>
        </w:tc>
      </w:tr>
    </w:tbl>
    <w:p w14:paraId="02DA85DA">
      <w:pPr>
        <w:spacing w:before="80" w:after="120"/>
      </w:pPr>
      <w:r>
        <w:rPr>
          <w:rFonts w:ascii="微软雅黑" w:hAnsi="微软雅黑" w:eastAsia="微软雅黑"/>
        </w:rPr>
        <w:t>针对“磁盘快满了，帮我清理一下日志文件”，Agent 不直接生成删除命令，而是先调用磁盘与日志感知能力形成候选表。在本次演示环境中，两份 55 MB 的轮转日志被标记为建议清理；正在被进程占用、隐私敏感或用途不明的文件被排除或升级为谨慎项。</w:t>
      </w:r>
    </w:p>
    <w:p w14:paraId="3FDFB985">
      <w:pPr>
        <w:keepNext/>
        <w:spacing w:before="100" w:after="40"/>
        <w:jc w:val="center"/>
      </w:pPr>
      <w:r>
        <w:drawing>
          <wp:inline distT="0" distB="0" distL="114300" distR="114300">
            <wp:extent cx="5623560" cy="2835275"/>
            <wp:effectExtent l="0" t="0" r="5715" b="3175"/>
            <wp:docPr id="5" name="Picture 5" descr="磁盘清理场景展示建议清理、红线禁选和隐私敏感候选" title="图5-2  磁盘清理候选文件与安全分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磁盘清理场景展示建议清理、红线禁选和隐私敏感候选" title="图5-2  磁盘清理候选文件与安全分类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4EE1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图5-2  磁盘清理候选文件与安全分类</w:t>
      </w:r>
    </w:p>
    <w:p w14:paraId="432319C3">
      <w:pPr>
        <w:pStyle w:val="4"/>
      </w:pPr>
      <w:bookmarkStart w:id="19" w:name="_Toc23396"/>
      <w:r>
        <w:t>5.3  人工确认与受控执行</w:t>
      </w:r>
      <w:bookmarkEnd w:id="19"/>
    </w:p>
    <w:p w14:paraId="747654EE">
      <w:pPr>
        <w:spacing w:after="12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变更类计划不会在首次问询时直接执行。系统先返回待确认状态，运维人员审阅“操作对象、变更目的、风险级别、预期影响、恢复条件与复核”后再确认。确认只对同一份未被篡改的待确认计划有效。</w:t>
      </w:r>
    </w:p>
    <w:p w14:paraId="37713041">
      <w:pPr>
        <w:keepNext/>
        <w:spacing w:before="100" w:after="40"/>
        <w:jc w:val="center"/>
      </w:pPr>
      <w:r>
        <w:drawing>
          <wp:inline distT="0" distB="0" distL="114300" distR="114300">
            <wp:extent cx="5532120" cy="2954020"/>
            <wp:effectExtent l="0" t="0" r="1905" b="8255"/>
            <wp:docPr id="6" name="Picture 6" descr="核心服务重启场景中，运维人员勾选影响确认并输入强确认短语" title="图5-3  核心服务变更的强确认区域与当前安全闭环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核心服务重启场景中，运维人员勾选影响确认并输入强确认短语" title="图5-3  核心服务变更的强确认区域与当前安全闭环状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9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44B1">
      <w:pPr>
        <w:pStyle w:val="15"/>
      </w:pPr>
      <w:r>
        <w:rPr>
          <w:rFonts w:ascii="微软雅黑" w:hAnsi="微软雅黑" w:eastAsia="微软雅黑"/>
        </w:rPr>
        <w:t>图5-3  核心服务变更的强确认区域与当前安全闭环状态</w:t>
      </w:r>
    </w:p>
    <w:tbl>
      <w:tblPr>
        <w:tblStyle w:val="34"/>
        <w:tblW w:w="909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0"/>
      </w:tblGrid>
      <w:tr w14:paraId="1A248E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0" w:type="dxa"/>
            <w:tcBorders>
              <w:top w:val="nil"/>
              <w:left w:val="single" w:color="3A78B8" w:sz="18" w:space="0"/>
              <w:bottom w:val="nil"/>
              <w:right w:val="nil"/>
            </w:tcBorders>
            <w:shd w:val="clear" w:color="auto" w:fill="EAF3FB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77AA2B47">
            <w:pPr>
              <w:spacing w:after="0" w:line="300" w:lineRule="auto"/>
            </w:pPr>
            <w:r>
              <w:rPr>
                <w:rFonts w:ascii="Arial" w:hAnsi="Arial" w:eastAsia="微软雅黑"/>
                <w:b/>
                <w:i w:val="0"/>
                <w:color w:val="173A5E"/>
                <w:sz w:val="21"/>
              </w:rPr>
              <w:t xml:space="preserve">确认前核对  </w:t>
            </w: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21"/>
              </w:rPr>
              <w:t>确认前应重点查看目标路径是否为普通日志、是否触及关键目录、是否存在敏感数据，以及当前运行模式是否仍为 dry-run。</w:t>
            </w:r>
          </w:p>
        </w:tc>
      </w:tr>
    </w:tbl>
    <w:p w14:paraId="7CEBC4C2">
      <w:pPr>
        <w:pStyle w:val="4"/>
      </w:pPr>
      <w:bookmarkStart w:id="20" w:name="_Toc11605"/>
      <w:r>
        <w:t>5.4  日志轮转与空间复核</w:t>
      </w:r>
      <w:bookmarkEnd w:id="20"/>
    </w:p>
    <w:p w14:paraId="33122DFE">
      <w:pPr>
        <w:spacing w:after="120" w:line="348" w:lineRule="auto" w:before="0"/>
        <w:ind w:firstLine="480"/>
        <w:jc w:val="both"/>
      </w:pPr>
      <w:r>
        <w:rPr>
          <w:rFonts w:ascii="宋体" w:hAnsi="宋体" w:eastAsia="宋体"/>
          <w:sz w:val="24"/>
        </w:rPr>
        <w:t>日志轮转适用于已经核验为普通、非敏感且不被活动进程持续占用的日志文件。系统先保留带时间戳的归档副本，再对原日志执行受控轮转，以避免直接删除带来的不可恢复风险。</w:t>
      </w:r>
    </w:p>
    <w:p w14:paraId="54F87338">
      <w:pPr>
        <w:keepLines/>
        <w:numPr>
          <w:ilvl w:val="0"/>
          <w:numId w:val="9"/>
        </w:numPr>
        <w:spacing w:after="120" w:line="348" w:lineRule="auto" w:before="0"/>
        <w:ind w:firstLine="480"/>
      </w:pPr>
      <w:r>
        <w:rPr>
          <w:rFonts w:ascii="宋体" w:hAnsi="宋体" w:eastAsia="宋体"/>
          <w:sz w:val="24"/>
        </w:rPr>
        <w:t>使用时先在候选列表中确认目标属于建议处理的普通日志，并查看文件大小、修改时间、占用状态和安全分类。若文件被进程占用、属于隐私敏感类型或位于关键路径，应停止会话处置并转为人工处理。</w:t>
      </w:r>
    </w:p>
    <w:p w14:paraId="25006EBC">
      <w:pPr>
        <w:keepLines/>
        <w:numPr>
          <w:ilvl w:val="0"/>
          <w:numId w:val="9"/>
        </w:numPr>
        <w:spacing w:after="120" w:line="348" w:lineRule="auto" w:before="0"/>
        <w:ind w:firstLine="480"/>
      </w:pPr>
      <w:r>
        <w:rPr>
          <w:rFonts w:ascii="宋体" w:hAnsi="宋体" w:eastAsia="宋体"/>
          <w:sz w:val="24"/>
        </w:rPr>
        <w:t>随后审阅计划中的归档路径、轮转动作、风险裁决和恢复提示，确认计划只覆盖已选择的目标文件。计划中的目标、参数或恢复条件一旦变化，应重新感知并生成新计划。</w:t>
      </w:r>
    </w:p>
    <w:p w14:paraId="0227A662">
      <w:pPr>
        <w:keepLines/>
        <w:numPr>
          <w:ilvl w:val="0"/>
          <w:numId w:val="9"/>
        </w:numPr>
        <w:spacing w:after="120" w:line="348" w:lineRule="auto" w:before="0"/>
        <w:ind w:firstLine="480"/>
      </w:pPr>
      <w:r>
        <w:rPr>
          <w:rFonts w:ascii="宋体" w:hAnsi="宋体" w:eastAsia="宋体"/>
          <w:sz w:val="24"/>
        </w:rPr>
        <w:t>只有在人工确认且运行环境满足受限账户、白名单和恢复条件时，系统才会执行受控轮转；LIVE 模式返回原文件与归档文件的 stat 复核信息，高影响对象恢复点不可建立时停止执行。</w:t>
      </w:r>
    </w:p>
    <w:p w14:paraId="32E247C4">
      <w:pPr>
        <w:keepLines/>
        <w:numPr>
          <w:ilvl w:val="0"/>
          <w:numId w:val="9"/>
        </w:numPr>
        <w:spacing w:after="120" w:line="348" w:lineRule="auto" w:before="0"/>
        <w:ind w:firstLine="480"/>
      </w:pPr>
      <w:r>
        <w:rPr>
          <w:rFonts w:ascii="宋体" w:hAnsi="宋体" w:eastAsia="宋体"/>
          <w:sz w:val="24"/>
        </w:rPr>
        <w:t>最后查看原日志是否已按计划处理、归档文件是否生成，以及磁盘使用情况的前后证据。若验证条件未满足，结果应明确标记为“未验证”或“验证失败”，运维人员应依据报告继续排查，而不应将命令成功视为故障已恢复。</w:t>
      </w:r>
    </w:p>
    <w:tbl>
      <w:tblPr>
        <w:tblStyle w:val="34"/>
        <w:tblW w:w="909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0"/>
      </w:tblGrid>
      <w:tr w14:paraId="6CB9B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0" w:type="dxa"/>
            <w:tcBorders>
              <w:top w:val="nil"/>
              <w:left w:val="single" w:color="3A78B8" w:sz="18" w:space="0"/>
              <w:bottom w:val="nil"/>
              <w:right w:val="nil"/>
            </w:tcBorders>
            <w:shd w:val="clear" w:color="auto" w:fill="EAF3FB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372E9AE1">
            <w:pPr>
              <w:spacing w:after="0" w:line="300" w:lineRule="auto"/>
            </w:pPr>
            <w:r>
              <w:rPr>
                <w:rFonts w:ascii="Arial" w:hAnsi="Arial" w:eastAsia="微软雅黑"/>
                <w:b/>
                <w:i w:val="0"/>
                <w:color w:val="173A5E"/>
                <w:sz w:val="21"/>
              </w:rPr>
              <w:t xml:space="preserve">安全说明  </w:t>
            </w: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21"/>
              </w:rPr>
              <w:t>日志轮转并非“删除一切文件”。数据库目录、核心路径、敏感数据或无法判定的重要对象不属于会话可放行范围。</w:t>
            </w:r>
          </w:p>
        </w:tc>
      </w:tr>
      <w:tr w14:paraId="36B36A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0" w:type="dxa"/>
            <w:tcBorders>
              <w:top w:val="nil"/>
              <w:left w:val="single" w:color="3A78B8" w:sz="18" w:space="0"/>
              <w:bottom w:val="nil"/>
              <w:right w:val="nil"/>
            </w:tcBorders>
            <w:shd w:val="clear" w:color="auto" w:fill="F5F9FD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115F2F5C">
            <w:pPr>
              <w:spacing w:after="0" w:line="300" w:lineRule="auto"/>
            </w:pPr>
            <w:r>
              <w:rPr>
                <w:rFonts w:ascii="Arial" w:hAnsi="Arial" w:eastAsia="微软雅黑"/>
                <w:b/>
                <w:i w:val="0"/>
                <w:color w:val="173A5E"/>
                <w:sz w:val="21"/>
              </w:rPr>
              <w:t xml:space="preserve">真实结果核对  </w:t>
            </w: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21"/>
              </w:rPr>
              <w:t>仅在真实模型 + LIVE 且命令成功时，结果区才会出现 archive、verify、diskUsageBefore、diskUsageAfter 等实际复核字段。dry-run 仅返回计划或模拟记录，不能作为空间释放证据。</w:t>
            </w:r>
          </w:p>
        </w:tc>
      </w:tr>
    </w:tbl>
    <w:p w14:paraId="64A289D2">
      <w:pPr>
        <w:pStyle w:val="4"/>
      </w:pPr>
      <w:bookmarkStart w:id="21" w:name="_Toc14551"/>
      <w:r>
        <w:t>5.5  执行结果、复核与溯源</w:t>
      </w:r>
      <w:bookmarkEnd w:id="21"/>
    </w:p>
    <w:p w14:paraId="6E82F7E7">
      <w:pPr>
        <w:spacing w:after="12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执行结束后，结果页显示命令或工具的执行状态与输出预览；报告页汇总问题、根因假设、处置思路、证据与结论；链路页按阶段展示处理过程。系统以 traceId 保存完整闭环，敏感信息会在输出、审计和对外响应中统一脱敏。</w:t>
      </w:r>
    </w:p>
    <w:tbl>
      <w:tblPr>
        <w:tblStyle w:val="34"/>
        <w:tblW w:w="909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6840"/>
      </w:tblGrid>
      <w:tr w14:paraId="6627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4AB0ACE5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查看位置</w:t>
            </w:r>
          </w:p>
        </w:tc>
        <w:tc>
          <w:tcPr>
            <w:tcW w:w="684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716DAE7C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适合回答的问题</w:t>
            </w:r>
          </w:p>
        </w:tc>
      </w:tr>
      <w:tr w14:paraId="78926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2792CDE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结果</w:t>
            </w:r>
          </w:p>
        </w:tc>
        <w:tc>
          <w:tcPr>
            <w:tcW w:w="684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5229026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本轮是否执行、是否等待确认、动作结果是什么</w:t>
            </w:r>
          </w:p>
        </w:tc>
      </w:tr>
      <w:tr w14:paraId="74A679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5D7ABC3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链路</w:t>
            </w:r>
          </w:p>
        </w:tc>
        <w:tc>
          <w:tcPr>
            <w:tcW w:w="684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A8699FE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各阶段何时完成、使用了哪些感知和规则、为何被拦截</w:t>
            </w:r>
          </w:p>
        </w:tc>
      </w:tr>
      <w:tr w14:paraId="4BC207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9641C10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报告</w:t>
            </w:r>
          </w:p>
        </w:tc>
        <w:tc>
          <w:tcPr>
            <w:tcW w:w="684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1013E94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根因假设、证据来源、处置结论和后续建议是什么</w:t>
            </w:r>
          </w:p>
        </w:tc>
      </w:tr>
      <w:tr w14:paraId="1AA00B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23C9921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实时 / JSON</w:t>
            </w:r>
          </w:p>
        </w:tc>
        <w:tc>
          <w:tcPr>
            <w:tcW w:w="684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47737DD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需要查看更细粒度状态或对接时的结构化数据</w:t>
            </w:r>
          </w:p>
        </w:tc>
      </w:tr>
    </w:tbl>
    <w:p w14:paraId="3E0DD7CC">
      <w:pPr>
        <w:pStyle w:val="4"/>
      </w:pPr>
      <w:bookmarkStart w:id="22" w:name="_Toc15167"/>
      <w:r>
        <w:t>5.6  主动巡检</w:t>
      </w:r>
      <w:bookmarkEnd w:id="22"/>
    </w:p>
    <w:p w14:paraId="64DDF8CD">
      <w:pPr>
        <w:spacing w:after="120" w:line="300" w:lineRule="auto"/>
        <w:ind w:firstLine="420"/>
        <w:jc w:val="both"/>
      </w:pPr>
      <w:r>
        <w:rPr>
          <w:rFonts w:ascii="微软雅黑" w:hAnsi="微软雅黑" w:eastAsia="微软雅黑"/>
        </w:rPr>
        <w:t>“主动巡检”提供一组只读式系统检查，覆盖磁盘、内存、负载、进程、端口与高优先级系统日志，并形成健康评分、风险预警和可追踪编号。在本次演示样本中，磁盘、内存与负载等资源指标处于正常范围，但系统错误日志统计项达到 201 条，超过严重阈值 100，系统据此给出 75/100 的健康评分和严重风险提示。巡检随后进入跨源根因分析，将日志异常与资源指标进行关联，形成 L2 级洞察、根因判断、处置建议和证据链。巡检本身不执行任何变更；后续处置仍需重新进入受控计划与人工确认流程。</w:t>
      </w:r>
    </w:p>
    <w:p w14:paraId="37B6038C">
      <w:pPr>
        <w:keepNext/>
        <w:spacing w:before="100" w:after="40"/>
        <w:jc w:val="center"/>
      </w:pPr>
      <w:r>
        <w:drawing>
          <wp:inline distT="0" distB="0" distL="114300" distR="114300">
            <wp:extent cx="5277485" cy="3566160"/>
            <wp:effectExtent l="0" t="0" r="8890" b="5715"/>
            <wp:docPr id="7" name="Picture 7" descr="主动巡检显示健康评分、磁盘内存负载和错误日志风险" title="图5-4  主动巡检健康评分与风险明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主动巡检显示健康评分、磁盘内存负载和错误日志风险" title="图5-4  主动巡检健康评分与风险明细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558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F204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图5-4  主动巡检健康评分与风险明细</w:t>
      </w:r>
    </w:p>
    <w:p w14:paraId="1251D401">
      <w:pPr>
        <w:keepNext/>
        <w:spacing w:before="100" w:after="40"/>
        <w:jc w:val="center"/>
      </w:pPr>
      <w:r>
        <w:drawing>
          <wp:inline distT="0" distB="0" distL="114300" distR="114300">
            <wp:extent cx="5623560" cy="2618105"/>
            <wp:effectExtent l="0" t="0" r="5715" b="1270"/>
            <wp:docPr id="8" name="Picture 8" descr="跨源根因分析显示关联、根因、处置、建议和证据链" title="图5-5  L1-L3 跨源根因分析与证据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跨源根因分析显示关联、根因、处置、建议和证据链" title="图5-5  L1-L3 跨源根因分析与证据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60DB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图5-5  L1-L3 跨源根因分析与证据链</w:t>
      </w:r>
    </w:p>
    <w:p w14:paraId="7C15139D">
      <w:pPr>
        <w:pStyle w:val="3"/>
      </w:pPr>
      <w:bookmarkStart w:id="23" w:name="_Toc2665"/>
      <w:r>
        <w:t>第6章  MCP 能力接入与使用</w:t>
      </w:r>
      <w:bookmarkEnd w:id="23"/>
    </w:p>
    <w:p w14:paraId="6F70C235">
      <w:pPr>
        <w:pStyle w:val="4"/>
      </w:pPr>
      <w:bookmarkStart w:id="24" w:name="_Toc2617"/>
      <w:r>
        <w:t>6.1  MCP 接入概述</w:t>
      </w:r>
      <w:bookmarkEnd w:id="24"/>
    </w:p>
    <w:p w14:paraId="268711C8">
      <w:pPr>
        <w:spacing w:after="12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智御将运维能力以 MCP（Model Context Protocol）工具形式对外暴露。外部 MCP 宿主可以通过 HTTP JSON-RPC 或 stdio 两种传输方式发现工具并调用；两种方式共享相同的协议处理、工具说明、风险语义和错误处理规则。</w:t>
      </w:r>
    </w:p>
    <w:tbl>
      <w:tblPr>
        <w:tblStyle w:val="34"/>
        <w:tblW w:w="908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3750"/>
        <w:gridCol w:w="3480"/>
      </w:tblGrid>
      <w:tr w14:paraId="5F792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7273CD9C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接入方式</w:t>
            </w:r>
          </w:p>
        </w:tc>
        <w:tc>
          <w:tcPr>
            <w:tcW w:w="37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3B4FBA00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地址或启动方式</w:t>
            </w:r>
          </w:p>
        </w:tc>
        <w:tc>
          <w:tcPr>
            <w:tcW w:w="348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2DA746B9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适用场景</w:t>
            </w:r>
          </w:p>
        </w:tc>
      </w:tr>
      <w:tr w14:paraId="63C3A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B836B79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HTTP</w:t>
            </w:r>
          </w:p>
        </w:tc>
        <w:tc>
          <w:tcPr>
            <w:tcW w:w="37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5F518C6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POST /mcp/rpc</w:t>
            </w:r>
          </w:p>
        </w:tc>
        <w:tc>
          <w:tcPr>
            <w:tcW w:w="348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FB1E193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浏览器控制台、内网服务或外部 HTTP MCP 客户端</w:t>
            </w:r>
          </w:p>
        </w:tc>
      </w:tr>
      <w:tr w14:paraId="3DB42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DC54F1C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stdio</w:t>
            </w:r>
          </w:p>
        </w:tc>
        <w:tc>
          <w:tcPr>
            <w:tcW w:w="37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75FCDF9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以 --mcp-stdio 启动独立进程</w:t>
            </w:r>
          </w:p>
        </w:tc>
        <w:tc>
          <w:tcPr>
            <w:tcW w:w="348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6018BF4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本地 MCP 宿主拉起插件进程，实现即插即用</w:t>
            </w:r>
          </w:p>
        </w:tc>
      </w:tr>
    </w:tbl>
    <w:p w14:paraId="7849F6C4">
      <w:pPr>
        <w:pStyle w:val="4"/>
      </w:pPr>
      <w:bookmarkStart w:id="25" w:name="_Toc12692"/>
      <w:r>
        <w:t>6.2  工具发现与调用流程</w:t>
      </w:r>
      <w:bookmarkEnd w:id="25"/>
    </w:p>
    <w:p w14:paraId="3DDD0F32">
      <w:pPr>
        <w:keepLines/>
        <w:numPr>
          <w:ilvl w:val="0"/>
          <w:numId w:val="10"/>
        </w:numPr>
        <w:spacing w:after="100" w:line="300" w:lineRule="auto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客户端先发送 initialize 完成协议版本协商，再发送 notifications/initialized 通知。</w:t>
      </w:r>
    </w:p>
    <w:p w14:paraId="5047E6A6">
      <w:pPr>
        <w:keepLines/>
        <w:numPr>
          <w:ilvl w:val="0"/>
          <w:numId w:val="10"/>
        </w:numPr>
        <w:spacing w:after="100" w:line="300" w:lineRule="auto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调用 tools/list 获取工具名称、说明、输入参数 Schema 与安全注解。</w:t>
      </w:r>
    </w:p>
    <w:p w14:paraId="09B6E4C3">
      <w:pPr>
        <w:keepLines/>
        <w:numPr>
          <w:ilvl w:val="0"/>
          <w:numId w:val="10"/>
        </w:numPr>
        <w:spacing w:after="100" w:line="300" w:lineRule="auto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对于只读工具，可直接 tools/call 并读取结构化结果；对于变更工具，先得到 REVIEW_PENDING 和待确认标识。</w:t>
      </w:r>
    </w:p>
    <w:p w14:paraId="2FA07780">
      <w:pPr>
        <w:keepLines/>
        <w:numPr>
          <w:ilvl w:val="0"/>
          <w:numId w:val="10"/>
        </w:numPr>
        <w:spacing w:after="100" w:line="300" w:lineRule="auto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只有在人工审阅后，使用同一待确认标识和 confirm=true 再次调用，系统才可能进入执行阶段；红线命中仍然拒绝。</w:t>
      </w:r>
    </w:p>
    <w:tbl>
      <w:tblPr>
        <w:tblStyle w:val="34"/>
        <w:tblW w:w="9090" w:type="dxa"/>
        <w:tblInd w:w="1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"/>
        <w:gridCol w:w="9075"/>
        <w:gridCol w:w="15"/>
      </w:tblGrid>
      <w:tr w14:paraId="485E7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5" w:type="dxa"/>
          <w:cantSplit/>
        </w:trPr>
        <w:tc>
          <w:tcPr>
            <w:tcW w:w="9090" w:type="dxa"/>
            <w:gridSpan w:val="2"/>
            <w:tcBorders>
              <w:top w:val="single" w:color="D9E2E9" w:sz="4" w:space="0"/>
              <w:left w:val="single" w:color="D9E2E9" w:sz="4" w:space="0"/>
              <w:bottom w:val="single" w:color="D9E2E9" w:sz="4" w:space="0"/>
              <w:right w:val="single" w:color="D9E2E9" w:sz="4" w:space="0"/>
            </w:tcBorders>
            <w:shd w:val="clear" w:color="auto" w:fill="F4F7F9"/>
            <w:tcMar>
              <w:top w:w="135" w:type="dxa"/>
              <w:left w:w="175" w:type="dxa"/>
              <w:bottom w:w="135" w:type="dxa"/>
              <w:right w:w="175" w:type="dxa"/>
            </w:tcMar>
          </w:tcPr>
          <w:p w14:paraId="11463FBE">
            <w:pPr>
              <w:spacing w:after="0" w:line="264" w:lineRule="auto"/>
              <w:jc w:val="left"/>
            </w:pPr>
            <w:r>
              <w:rPr>
                <w:rFonts w:ascii="Consolas" w:hAnsi="Consolas" w:eastAsia="等线"/>
                <w:b w:val="0"/>
                <w:i w:val="0"/>
                <w:color w:val="34495E"/>
                <w:sz w:val="17"/>
              </w:rPr>
              <w:t>POST /mcp/rpc</w:t>
            </w:r>
            <w:r>
              <w:rPr>
                <w:rFonts w:ascii="Consolas" w:hAnsi="Consolas" w:eastAsia="等线"/>
                <w:b w:val="0"/>
                <w:i w:val="0"/>
                <w:color w:val="34495E"/>
                <w:sz w:val="17"/>
              </w:rPr>
              <w:br w:type="textWrapping"/>
            </w:r>
            <w:r>
              <w:rPr>
                <w:rFonts w:ascii="Consolas" w:hAnsi="Consolas" w:eastAsia="等线"/>
                <w:b w:val="0"/>
                <w:i w:val="0"/>
                <w:color w:val="34495E"/>
                <w:sz w:val="17"/>
              </w:rPr>
              <w:t>Content-Type: application/json</w:t>
            </w:r>
            <w:r>
              <w:rPr>
                <w:rFonts w:ascii="Consolas" w:hAnsi="Consolas" w:eastAsia="等线"/>
                <w:b w:val="0"/>
                <w:i w:val="0"/>
                <w:color w:val="34495E"/>
                <w:sz w:val="17"/>
              </w:rPr>
              <w:br w:type="textWrapping"/>
            </w:r>
            <w:r>
              <w:rPr>
                <w:rFonts w:ascii="Consolas" w:hAnsi="Consolas" w:eastAsia="等线"/>
                <w:b w:val="0"/>
                <w:i w:val="0"/>
                <w:color w:val="34495E"/>
                <w:sz w:val="17"/>
              </w:rPr>
              <w:t>X-Ops-Token: &lt;token&gt;  # 非本地部署时必填</w:t>
            </w:r>
            <w:r>
              <w:rPr>
                <w:rFonts w:ascii="Consolas" w:hAnsi="Consolas" w:eastAsia="等线"/>
                <w:b w:val="0"/>
                <w:i w:val="0"/>
                <w:color w:val="34495E"/>
                <w:sz w:val="17"/>
              </w:rPr>
              <w:br w:type="textWrapping"/>
            </w:r>
            <w:r>
              <w:rPr>
                <w:rFonts w:ascii="Consolas" w:hAnsi="Consolas" w:eastAsia="等线"/>
                <w:b w:val="0"/>
                <w:i w:val="0"/>
                <w:color w:val="34495E"/>
                <w:sz w:val="17"/>
              </w:rPr>
              <w:t>{"jsonrpc":"2.0","id":1,"method":"tools/list","params":{}}</w:t>
            </w:r>
          </w:p>
        </w:tc>
      </w:tr>
      <w:tr w14:paraId="5C2EE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</w:trPr>
        <w:tc>
          <w:tcPr>
            <w:tcW w:w="9090" w:type="dxa"/>
            <w:gridSpan w:val="2"/>
            <w:tcBorders>
              <w:top w:val="nil"/>
              <w:left w:val="single" w:color="3A78B8" w:sz="18" w:space="0"/>
              <w:bottom w:val="nil"/>
              <w:right w:val="nil"/>
            </w:tcBorders>
            <w:shd w:val="clear" w:color="auto" w:fill="F5F9FD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50CE3681">
            <w:pPr>
              <w:spacing w:after="0" w:line="300" w:lineRule="auto"/>
            </w:pPr>
            <w:r>
              <w:rPr>
                <w:rFonts w:ascii="Arial" w:hAnsi="Arial" w:eastAsia="微软雅黑"/>
                <w:b/>
                <w:i w:val="0"/>
                <w:color w:val="173A5E"/>
                <w:sz w:val="21"/>
              </w:rPr>
              <w:t xml:space="preserve">变更工具确认  </w:t>
            </w: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21"/>
              </w:rPr>
              <w:t>首次调用变更工具返回 REVIEW_PENDING 和 pendingMutationId；仅可携带相同参数、同一标识与 confirm=true 发起确认。</w:t>
            </w:r>
          </w:p>
        </w:tc>
      </w:tr>
    </w:tbl>
    <w:p w14:paraId="21D8BBE1">
      <w:r/>
    </w:p>
    <w:p w14:paraId="27D12C24">
      <w:pPr>
        <w:pStyle w:val="4"/>
      </w:pPr>
      <w:bookmarkStart w:id="26" w:name="_Toc15118"/>
      <w:r>
        <w:t>6.3  MCP 工具清单</w:t>
      </w:r>
      <w:bookmarkEnd w:id="26"/>
    </w:p>
    <w:tbl>
      <w:tblPr>
        <w:tblStyle w:val="34"/>
        <w:tblW w:w="908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000"/>
        <w:gridCol w:w="4280"/>
      </w:tblGrid>
      <w:tr w14:paraId="6F9909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DCE6F1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37C2EAC9">
            <w:r>
              <w:t>工具类别</w:t>
            </w:r>
          </w:p>
        </w:tc>
        <w:tc>
          <w:tcPr>
            <w:tcW w:w="30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DCE6F1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24D2430F">
            <w:r>
              <w:t>工具</w:t>
            </w:r>
          </w:p>
        </w:tc>
        <w:tc>
          <w:tcPr>
            <w:tcW w:w="428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DCE6F1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58EC69C9">
            <w:r>
              <w:t>用途与安全边界</w:t>
            </w:r>
          </w:p>
        </w:tc>
      </w:tr>
      <w:tr w14:paraId="493F2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801864C">
            <w:r>
              <w:t>系统与资源感知</w:t>
            </w:r>
          </w:p>
        </w:tc>
        <w:tc>
          <w:tcPr>
            <w:tcW w:w="30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275DE26">
            <w:r>
              <w:t>system_sense / process_sense / disk_sense / io_activity_sense</w:t>
            </w:r>
          </w:p>
        </w:tc>
        <w:tc>
          <w:tcPr>
            <w:tcW w:w="428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F65442F">
            <w:r>
              <w:t>采集系统、进程、磁盘与 I/O 的实时只读证据</w:t>
            </w:r>
          </w:p>
        </w:tc>
      </w:tr>
      <w:tr w14:paraId="71ED3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1CFAAC1">
            <w:r>
              <w:t>业务与数据感知</w:t>
            </w:r>
          </w:p>
        </w:tc>
        <w:tc>
          <w:tcPr>
            <w:tcW w:w="30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0BEE7DA">
            <w:r>
              <w:t>network_sense / log_sense / db_sense / metrics_sense</w:t>
            </w:r>
          </w:p>
        </w:tc>
        <w:tc>
          <w:tcPr>
            <w:tcW w:w="428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7A45019">
            <w:r>
              <w:t>采集网络、日志、数据库与指标状态，不直接修改系统</w:t>
            </w:r>
          </w:p>
        </w:tc>
      </w:tr>
      <w:tr w14:paraId="593F25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0750EB9">
            <w:r>
              <w:t>受控处置工具</w:t>
            </w:r>
          </w:p>
        </w:tc>
        <w:tc>
          <w:tcPr>
            <w:tcW w:w="30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7B7A041">
            <w:r>
              <w:t>config_backup / log_rotate / service_restart</w:t>
            </w:r>
          </w:p>
        </w:tc>
        <w:tc>
          <w:tcPr>
            <w:tcW w:w="428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6CDAC01">
            <w:r>
              <w:t>备份配置、轮转日志和服务变更；必须接受护栏裁决与人工确认</w:t>
            </w:r>
          </w:p>
        </w:tc>
      </w:tr>
      <w:tr w14:paraId="2FE6A9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7DE7243">
            <w:r>
              <w:t>主动巡检</w:t>
            </w:r>
          </w:p>
        </w:tc>
        <w:tc>
          <w:tcPr>
            <w:tcW w:w="30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837A28F">
            <w:r>
              <w:t>health_inspect</w:t>
            </w:r>
          </w:p>
        </w:tc>
        <w:tc>
          <w:tcPr>
            <w:tcW w:w="428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1343994">
            <w:r>
              <w:t>执行只读健康检查并生成跨源分析线索</w:t>
            </w:r>
          </w:p>
        </w:tc>
      </w:tr>
    </w:tbl>
    <w:p w14:paraId="144FAF94">
      <w:pPr>
        <w:spacing w:before="80" w:after="120"/>
      </w:pPr>
      <w:r>
        <w:rPr>
          <w:rFonts w:ascii="微软雅黑" w:hAnsi="微软雅黑" w:eastAsia="微软雅黑"/>
        </w:rPr>
        <w:t>控制台当前注册并展示 12 个 MCP 运维工具。外部客户端可通过 tools/list 发现工具，但所有 tools/call 仍必须经过同一套参数校验、风险分级、关键路径保护、确认标识和最小权限执行机制。</w:t>
      </w:r>
    </w:p>
    <w:p w14:paraId="0B316A68">
      <w:pPr>
        <w:keepNext/>
        <w:spacing w:before="100" w:after="40"/>
        <w:jc w:val="center"/>
      </w:pPr>
      <w:r>
        <w:drawing>
          <wp:inline distT="0" distB="0" distL="114300" distR="114300">
            <wp:extent cx="3996690" cy="3794760"/>
            <wp:effectExtent l="0" t="0" r="3810" b="5715"/>
            <wp:docPr id="9" name="Picture 9" descr="MCP 工具面板展示 12 个感知、巡检与受控处置工具" title="图6-1  控制台注册的 12 个 MCP 运维工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MCP 工具面板展示 12 个感知、巡检与受控处置工具" title="图6-1  控制台注册的 12 个 MCP 运维工具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6939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8B64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图6-1  控制台注册的 12 个 MCP 运维工具</w:t>
      </w:r>
    </w:p>
    <w:p w14:paraId="03FE7CE0">
      <w:pPr>
        <w:pStyle w:val="4"/>
      </w:pPr>
      <w:bookmarkStart w:id="27" w:name="_Toc1069"/>
      <w:r>
        <w:t>6.4  接入安全约定</w:t>
      </w:r>
      <w:bookmarkEnd w:id="27"/>
    </w:p>
    <w:p w14:paraId="16106EF5">
      <w:pPr>
        <w:keepNext/>
        <w:keepLines/>
        <w:numPr>
          <w:ilvl w:val="0"/>
          <w:numId w:val="7"/>
        </w:numPr>
        <w:spacing w:after="60" w:line="300" w:lineRule="auto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外部 MCP 客户端只能请求工具能力，不能绕过智御内部的风险裁决、确认门与最小权限执行器。</w:t>
      </w:r>
    </w:p>
    <w:p w14:paraId="3E7A3B95">
      <w:pPr>
        <w:keepNext/>
        <w:keepLines/>
        <w:numPr>
          <w:ilvl w:val="0"/>
          <w:numId w:val="7"/>
        </w:numPr>
        <w:spacing w:after="60" w:line="300" w:lineRule="auto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工具注解会标明只读或变更属性，客户端应据此在界面中清楚展示风险语义。</w:t>
      </w:r>
    </w:p>
    <w:p w14:paraId="7D6B067B">
      <w:pPr>
        <w:keepNext w:val="0"/>
        <w:keepLines/>
        <w:numPr>
          <w:ilvl w:val="0"/>
          <w:numId w:val="7"/>
        </w:numPr>
        <w:spacing w:after="60" w:line="300" w:lineRule="auto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内网或公网接入时须配置访问令牌；令牌、口令、私钥和 JDBC 凭据等敏感片段不会在审计和响应中明文展示。</w:t>
      </w:r>
    </w:p>
    <w:p w14:paraId="608272F3">
      <w:pPr>
        <w:pStyle w:val="3"/>
      </w:pPr>
      <w:bookmarkStart w:id="28" w:name="_Toc2967"/>
      <w:r>
        <w:t>第7章  典型应用场景</w:t>
      </w:r>
      <w:bookmarkEnd w:id="28"/>
    </w:p>
    <w:p w14:paraId="7F00E444">
      <w:pPr>
        <w:pStyle w:val="4"/>
      </w:pPr>
      <w:bookmarkStart w:id="29" w:name="_Toc21177"/>
      <w:r>
        <w:t>7.1  监控告警后的磁盘日志处理</w:t>
      </w:r>
      <w:bookmarkEnd w:id="29"/>
    </w:p>
    <w:p w14:paraId="430E0360">
      <w:pPr>
        <w:spacing w:after="12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这是本产品的主场景：运维人员先从现有监控告警进入，再通过对话获得证据和建议。系统并不把“磁盘满”直接等同于“删日志”，而是先检查占用、候选文件、关键路径与风险属性。</w:t>
      </w:r>
    </w:p>
    <w:tbl>
      <w:tblPr>
        <w:tblStyle w:val="34"/>
        <w:tblW w:w="9080" w:type="dxa"/>
        <w:tblInd w:w="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"/>
        <w:gridCol w:w="1600"/>
        <w:gridCol w:w="3380"/>
        <w:gridCol w:w="4045"/>
        <w:gridCol w:w="55"/>
      </w:tblGrid>
      <w:tr w14:paraId="5FAC9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5" w:type="dxa"/>
          <w:tblHeader/>
        </w:trPr>
        <w:tc>
          <w:tcPr>
            <w:tcW w:w="16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408AE899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阶段</w:t>
            </w:r>
          </w:p>
        </w:tc>
        <w:tc>
          <w:tcPr>
            <w:tcW w:w="338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66E27F66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运维人员操作</w:t>
            </w:r>
          </w:p>
        </w:tc>
        <w:tc>
          <w:tcPr>
            <w:tcW w:w="4100" w:type="dxa"/>
            <w:gridSpan w:val="2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6E5893FD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系统输出</w:t>
            </w:r>
          </w:p>
        </w:tc>
      </w:tr>
      <w:tr w14:paraId="557163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5" w:type="dxa"/>
          <w:cantSplit/>
        </w:trPr>
        <w:tc>
          <w:tcPr>
            <w:tcW w:w="16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9CC63F4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告警问询</w:t>
            </w:r>
          </w:p>
        </w:tc>
        <w:tc>
          <w:tcPr>
            <w:tcW w:w="338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F8ED9C3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输入磁盘空间异常与期望目标</w:t>
            </w:r>
          </w:p>
        </w:tc>
        <w:tc>
          <w:tcPr>
            <w:tcW w:w="4100" w:type="dxa"/>
            <w:gridSpan w:val="2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BC0ECC2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读取磁盘、日志、进程等证据</w:t>
            </w:r>
          </w:p>
        </w:tc>
      </w:tr>
      <w:tr w14:paraId="47150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5" w:type="dxa"/>
          <w:cantSplit/>
        </w:trPr>
        <w:tc>
          <w:tcPr>
            <w:tcW w:w="16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D1FA534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诊断定位</w:t>
            </w:r>
          </w:p>
        </w:tc>
        <w:tc>
          <w:tcPr>
            <w:tcW w:w="338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12913F8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查看候选日志与异常摘要</w:t>
            </w:r>
          </w:p>
        </w:tc>
        <w:tc>
          <w:tcPr>
            <w:tcW w:w="4100" w:type="dxa"/>
            <w:gridSpan w:val="2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7177853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根因假设、证据引用、候选对象与影响说明</w:t>
            </w:r>
          </w:p>
        </w:tc>
      </w:tr>
      <w:tr w14:paraId="48C78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5" w:type="dxa"/>
          <w:cantSplit/>
        </w:trPr>
        <w:tc>
          <w:tcPr>
            <w:tcW w:w="16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75FE128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计划审阅</w:t>
            </w:r>
          </w:p>
        </w:tc>
        <w:tc>
          <w:tcPr>
            <w:tcW w:w="338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E609E30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核对普通日志路径、归档与轮转方案</w:t>
            </w:r>
          </w:p>
        </w:tc>
        <w:tc>
          <w:tcPr>
            <w:tcW w:w="4100" w:type="dxa"/>
            <w:gridSpan w:val="2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595A6A1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OBSERVE / CHANGE / VERIFY 计划、风险等级和恢复点提示</w:t>
            </w:r>
          </w:p>
        </w:tc>
      </w:tr>
      <w:tr w14:paraId="0508E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5" w:type="dxa"/>
          <w:cantSplit/>
        </w:trPr>
        <w:tc>
          <w:tcPr>
            <w:tcW w:w="16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2D5E8B0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人工确认</w:t>
            </w:r>
          </w:p>
        </w:tc>
        <w:tc>
          <w:tcPr>
            <w:tcW w:w="338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9E19E94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决定是否确认同一待确认计划</w:t>
            </w:r>
          </w:p>
        </w:tc>
        <w:tc>
          <w:tcPr>
            <w:tcW w:w="4100" w:type="dxa"/>
            <w:gridSpan w:val="2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D7075EE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受限执行、审计留痕、traceId 记录</w:t>
            </w:r>
          </w:p>
        </w:tc>
      </w:tr>
      <w:tr w14:paraId="682E0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5" w:type="dxa"/>
          <w:cantSplit/>
        </w:trPr>
        <w:tc>
          <w:tcPr>
            <w:tcW w:w="16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892247F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结果复核</w:t>
            </w:r>
          </w:p>
        </w:tc>
        <w:tc>
          <w:tcPr>
            <w:tcW w:w="338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0015842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查看归档、原文件状态与空间信息</w:t>
            </w:r>
          </w:p>
        </w:tc>
        <w:tc>
          <w:tcPr>
            <w:tcW w:w="4100" w:type="dxa"/>
            <w:gridSpan w:val="2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121B234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归档 / stat 复核、空间前后证据、处置报告</w:t>
            </w:r>
          </w:p>
        </w:tc>
      </w:tr>
      <w:tr w14:paraId="1B1FF0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5" w:type="dxa"/>
        </w:trPr>
        <w:tc>
          <w:tcPr>
            <w:tcW w:w="9090" w:type="dxa"/>
            <w:gridSpan w:val="4"/>
            <w:tcBorders>
              <w:top w:val="nil"/>
              <w:left w:val="single" w:color="3A78B8" w:sz="18" w:space="0"/>
              <w:bottom w:val="nil"/>
              <w:right w:val="nil"/>
            </w:tcBorders>
            <w:shd w:val="clear" w:color="auto" w:fill="EAF3FB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4FF8D4E4">
            <w:pPr>
              <w:spacing w:after="0" w:line="300" w:lineRule="auto"/>
            </w:pPr>
            <w:r>
              <w:rPr>
                <w:rFonts w:ascii="Arial" w:hAnsi="Arial" w:eastAsia="微软雅黑"/>
                <w:b/>
                <w:i w:val="0"/>
                <w:color w:val="173A5E"/>
                <w:sz w:val="21"/>
              </w:rPr>
              <w:t xml:space="preserve">场景边界  </w:t>
            </w: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21"/>
              </w:rPr>
              <w:t>若候选对象属于数据库目录、核心数据目录、敏感数据或无法可靠核验的重要内容，系统明确拒绝代为执行，必须由人工按既定变更流程处理。</w:t>
            </w:r>
          </w:p>
        </w:tc>
      </w:tr>
    </w:tbl>
    <w:p w14:paraId="604DF7E9">
      <w:pPr>
        <w:spacing w:before="80" w:after="120"/>
      </w:pPr>
      <w:r>
        <w:rPr>
          <w:rFonts w:ascii="微软雅黑" w:hAnsi="微软雅黑" w:eastAsia="微软雅黑"/>
        </w:rPr>
        <w:t>选定安全日志候选后，系统结合磁盘处置 Runbook 生成“观测—处置—复核”计划：先检查文件存在性、大小和占用状态，再提出受控清理，最后复查文件与磁盘空间。计划中的每条命令会再次进入安全意图校验，删除操作保持待人工确认状态。</w:t>
      </w:r>
    </w:p>
    <w:p w14:paraId="21DB0574">
      <w:pPr>
        <w:pStyle w:val="4"/>
      </w:pPr>
      <w:bookmarkStart w:id="30" w:name="_Toc5156"/>
      <w:r>
        <w:t>7.2  僵尸进程与负载异常排查</w:t>
      </w:r>
      <w:bookmarkEnd w:id="30"/>
    </w:p>
    <w:p w14:paraId="3EFD410E">
      <w:pPr>
        <w:keepLines/>
        <w:numPr>
          <w:ilvl w:val="0"/>
          <w:numId w:val="11"/>
        </w:numPr>
        <w:spacing w:after="100" w:line="300" w:lineRule="auto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输入“发现僵尸进程，先定位来源和影响，不执行终止操作”。</w:t>
      </w:r>
    </w:p>
    <w:p w14:paraId="4B80AB6B">
      <w:pPr>
        <w:keepLines/>
        <w:numPr>
          <w:ilvl w:val="0"/>
          <w:numId w:val="11"/>
        </w:numPr>
        <w:spacing w:after="100" w:line="300" w:lineRule="auto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查看进程状态、父进程、负载、内存和相关日志等只读证据。</w:t>
      </w:r>
    </w:p>
    <w:p w14:paraId="0455BE1B">
      <w:pPr>
        <w:keepLines/>
        <w:numPr>
          <w:ilvl w:val="0"/>
          <w:numId w:val="11"/>
        </w:numPr>
        <w:spacing w:after="100" w:line="300" w:lineRule="auto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根据根因假设判断是应用退出未回收、服务异常还是短暂现象；优先选择服务级处置建议而非直接强杀进程。</w:t>
      </w:r>
    </w:p>
    <w:p w14:paraId="0B3F87D3">
      <w:pPr>
        <w:keepLines/>
        <w:numPr>
          <w:ilvl w:val="0"/>
          <w:numId w:val="11"/>
        </w:numPr>
        <w:spacing w:after="100" w:line="300" w:lineRule="auto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如确需变更，系统将 kill、服务重启等纳入人工确认和风险分级流程。</w:t>
      </w:r>
    </w:p>
    <w:p w14:paraId="521F8EC0">
      <w:pPr>
        <w:pStyle w:val="4"/>
      </w:pPr>
      <w:bookmarkStart w:id="31" w:name="_Toc16026"/>
      <w:r>
        <w:t>7.3  服务异常与配置保护</w:t>
      </w:r>
      <w:bookmarkEnd w:id="31"/>
    </w:p>
    <w:p w14:paraId="59D1459C">
      <w:pPr>
        <w:spacing w:after="120" w:line="30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对于服务不可用、端口异常或配置疑似漂移，建议先执行网络、日志、指标和服务状态诊断。涉及核心服务重启、网络安全策略、关键配置与数据库服务的变更会自动提升风险等级，显示恢复条件和 dry-run 提示，不因“紧急”“演练”等措辞降低门槛。</w:t>
      </w:r>
    </w:p>
    <w:p w14:paraId="7A5DFE19">
      <w:pPr>
        <w:spacing w:before="80" w:after="120"/>
      </w:pPr>
      <w:r>
        <w:rPr>
          <w:rFonts w:ascii="微软雅黑" w:hAnsi="微软雅黑" w:eastAsia="微软雅黑"/>
        </w:rPr>
        <w:t>以 nginx 重启为例，systemctl status 与 nginx -t 被识别为只读检查，systemctl restart nginx 被识别为高影响核心服务变更。Agent 只有在服务单元存在、配置检查通过、执行前状态已记录且运维人员完成强确认时，才允许该命令进入执行层；任一预检失败都会安全停止。</w:t>
      </w:r>
    </w:p>
    <w:p w14:paraId="0C9AA470">
      <w:pPr>
        <w:keepNext/>
        <w:spacing w:before="100" w:after="40"/>
        <w:jc w:val="center"/>
      </w:pPr>
      <w:r>
        <w:drawing>
          <wp:inline distT="0" distB="0" distL="114300" distR="114300">
            <wp:extent cx="5518150" cy="3246120"/>
            <wp:effectExtent l="0" t="0" r="6350" b="1905"/>
            <wp:docPr id="10" name="Picture 10" descr="安全意图校验将查询命令标为只读，将服务重启标为高影响" title="图7-1  核心服务重启的命令级风险分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安全意图校验将查询命令标为只读，将服务重启标为高影响" title="图7-1  核心服务重启的命令级风险分类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8403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8CA2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图7-1  核心服务重启的命令级风险分类</w:t>
      </w:r>
    </w:p>
    <w:p w14:paraId="3525FEEC">
      <w:r>
        <w:br w:type="page"/>
      </w:r>
    </w:p>
    <w:p w14:paraId="71F8276A">
      <w:pPr>
        <w:pStyle w:val="4"/>
      </w:pPr>
      <w:bookmarkStart w:id="32" w:name="_Toc6533"/>
      <w:r>
        <w:t>7.4  危险请求与提示词注入拦截</w:t>
      </w:r>
      <w:bookmarkEnd w:id="32"/>
    </w:p>
    <w:tbl>
      <w:tblPr>
        <w:tblStyle w:val="34"/>
        <w:tblW w:w="908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3300"/>
        <w:gridCol w:w="3380"/>
      </w:tblGrid>
      <w:tr w14:paraId="353BBC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57F64FD6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输入类型</w:t>
            </w:r>
          </w:p>
        </w:tc>
        <w:tc>
          <w:tcPr>
            <w:tcW w:w="33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197B1CDF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系统处理</w:t>
            </w:r>
          </w:p>
        </w:tc>
        <w:tc>
          <w:tcPr>
            <w:tcW w:w="338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7B476FA3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用户看到的结果</w:t>
            </w:r>
          </w:p>
        </w:tc>
      </w:tr>
      <w:tr w14:paraId="7DAF52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8D55DF1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误删数据库目录</w:t>
            </w:r>
          </w:p>
        </w:tc>
        <w:tc>
          <w:tcPr>
            <w:tcW w:w="33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955A589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关键路径与高风险规则命中</w:t>
            </w:r>
          </w:p>
        </w:tc>
        <w:tc>
          <w:tcPr>
            <w:tcW w:w="338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423E4D6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BLOCK；给出拒绝原因，不提供确认按钮</w:t>
            </w:r>
          </w:p>
        </w:tc>
      </w:tr>
      <w:tr w14:paraId="03E13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9E84573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关闭防护、修改 root、格式化或破坏系统</w:t>
            </w:r>
          </w:p>
        </w:tc>
        <w:tc>
          <w:tcPr>
            <w:tcW w:w="33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47A4E1C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系统可用性与安全红线命中</w:t>
            </w:r>
          </w:p>
        </w:tc>
        <w:tc>
          <w:tcPr>
            <w:tcW w:w="338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E4A41FF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BLOCK；记录拦截链路</w:t>
            </w:r>
          </w:p>
        </w:tc>
      </w:tr>
      <w:tr w14:paraId="74EFA6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05C0277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“忽略安全规则”“以 root 身份执行”等诱导</w:t>
            </w:r>
          </w:p>
        </w:tc>
        <w:tc>
          <w:tcPr>
            <w:tcW w:w="33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7947198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入口抗注入短路</w:t>
            </w:r>
          </w:p>
        </w:tc>
        <w:tc>
          <w:tcPr>
            <w:tcW w:w="338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B992525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INJECTION_BLOCKED；不进入推理与执行</w:t>
            </w:r>
          </w:p>
        </w:tc>
      </w:tr>
      <w:tr w14:paraId="48C9A3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A688488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正常只读诊断</w:t>
            </w:r>
          </w:p>
        </w:tc>
        <w:tc>
          <w:tcPr>
            <w:tcW w:w="33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39E53FD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白名单只读动作</w:t>
            </w:r>
          </w:p>
        </w:tc>
        <w:tc>
          <w:tcPr>
            <w:tcW w:w="338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0CD62AD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OBSERVED；可返回证据与建议</w:t>
            </w:r>
          </w:p>
        </w:tc>
      </w:tr>
    </w:tbl>
    <w:p w14:paraId="3FBB3F26">
      <w:pPr>
        <w:spacing w:before="80" w:after="120"/>
      </w:pPr>
      <w:r>
        <w:rPr>
          <w:rFonts w:ascii="微软雅黑" w:hAnsi="微软雅黑" w:eastAsia="微软雅黑"/>
        </w:rPr>
        <w:t>当请求涉及 /var/lib/mysql 等核心数据目录时，关键路径规则和危险意图规则同时生效，系统直接返回 BLOCK；该红线不能通过会话确认解除。对于“忽略之前规则”“你现在是 root”等提示词注入，系统在入口抗注入阶段终止流程，不进入感知、检索、推理、规划和执行阶段。</w:t>
      </w:r>
    </w:p>
    <w:p w14:paraId="049A0232">
      <w:pPr>
        <w:keepNext/>
        <w:spacing w:before="100" w:after="40"/>
        <w:jc w:val="center"/>
      </w:pPr>
      <w:r>
        <w:drawing>
          <wp:inline distT="0" distB="0" distL="114300" distR="114300">
            <wp:extent cx="5623560" cy="3173730"/>
            <wp:effectExtent l="0" t="0" r="5715" b="7620"/>
            <wp:docPr id="11" name="Picture 11" descr="删除数据库目录请求被标记为严重风险并拒绝执行" title="图7-2  核心数据库目录删除请求被安全红线拒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删除数据库目录请求被标记为严重风险并拒绝执行" title="图7-2  核心数据库目录删除请求被安全红线拒绝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7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CAB8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图7-2  核心数据库目录删除请求被安全红线拒绝</w:t>
      </w:r>
    </w:p>
    <w:p w14:paraId="2A067281">
      <w:pPr>
        <w:keepNext/>
        <w:spacing w:before="100" w:after="40"/>
        <w:jc w:val="center"/>
      </w:pPr>
      <w:r>
        <w:drawing>
          <wp:inline distT="0" distB="0" distL="114300" distR="114300">
            <wp:extent cx="5623560" cy="2562225"/>
            <wp:effectExtent l="0" t="0" r="5715" b="0"/>
            <wp:docPr id="12" name="Picture 12" descr="提示词注入请求在抗注入阶段被拦截且未产生系统变更" title="图7-3  提示词注入在入口阶段被拦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提示词注入请求在抗注入阶段被拦截且未产生系统变更" title="图7-3  提示词注入在入口阶段被拦截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6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919B">
      <w:pPr>
        <w:pStyle w:val="15"/>
        <w:spacing w:before="60" w:after="160"/>
        <w:jc w:val="center"/>
      </w:pPr>
      <w:r>
        <w:rPr>
          <w:rFonts w:ascii="微软雅黑" w:hAnsi="微软雅黑" w:eastAsia="微软雅黑"/>
        </w:rPr>
        <w:t>图7-3  提示词注入在入口阶段被拦截</w:t>
      </w:r>
    </w:p>
    <w:p w14:paraId="7D264430">
      <w:pPr>
        <w:pStyle w:val="3"/>
      </w:pPr>
      <w:bookmarkStart w:id="33" w:name="_Toc18065"/>
      <w:r>
        <w:t>第8章  安全说明与异常处理</w:t>
      </w:r>
      <w:bookmarkEnd w:id="33"/>
    </w:p>
    <w:p w14:paraId="48194A77">
      <w:pPr>
        <w:pStyle w:val="4"/>
      </w:pPr>
      <w:bookmarkStart w:id="34" w:name="_Toc24564"/>
      <w:r>
        <w:t>8.1  四级风险裁决</w:t>
      </w:r>
      <w:bookmarkEnd w:id="34"/>
    </w:p>
    <w:tbl>
      <w:tblPr>
        <w:tblStyle w:val="34"/>
        <w:tblW w:w="908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300"/>
        <w:gridCol w:w="2880"/>
      </w:tblGrid>
      <w:tr w14:paraId="02518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1763BC9C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等级</w:t>
            </w:r>
          </w:p>
        </w:tc>
        <w:tc>
          <w:tcPr>
            <w:tcW w:w="43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2A50D533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系统处理</w:t>
            </w:r>
          </w:p>
        </w:tc>
        <w:tc>
          <w:tcPr>
            <w:tcW w:w="288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52ACB87F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人工动作</w:t>
            </w:r>
          </w:p>
        </w:tc>
      </w:tr>
      <w:tr w14:paraId="080BD8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A9AB850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READONLY</w:t>
            </w:r>
          </w:p>
        </w:tc>
        <w:tc>
          <w:tcPr>
            <w:tcW w:w="43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E60679A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只读感知和诊断可直接执行</w:t>
            </w:r>
          </w:p>
        </w:tc>
        <w:tc>
          <w:tcPr>
            <w:tcW w:w="288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42F54CB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核验结果并决定后续排查方向</w:t>
            </w:r>
          </w:p>
        </w:tc>
      </w:tr>
      <w:tr w14:paraId="7D8AE2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8E5CA01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EXECUTABLE</w:t>
            </w:r>
          </w:p>
        </w:tc>
        <w:tc>
          <w:tcPr>
            <w:tcW w:w="43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DC75A53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普通变更进入待确认状态</w:t>
            </w:r>
          </w:p>
        </w:tc>
        <w:tc>
          <w:tcPr>
            <w:tcW w:w="288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F579D71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审阅计划后决定是否确认</w:t>
            </w:r>
          </w:p>
        </w:tc>
      </w:tr>
      <w:tr w14:paraId="558140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129FAF3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IRREVERSIBLE</w:t>
            </w:r>
          </w:p>
        </w:tc>
        <w:tc>
          <w:tcPr>
            <w:tcW w:w="43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E73E5C7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目标明确、非破坏性的核心服务或关键配置变更；严格确认、dry-run 与恢复点检查</w:t>
            </w:r>
          </w:p>
        </w:tc>
        <w:tc>
          <w:tcPr>
            <w:tcW w:w="288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7B46E99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核对范围和恢复条件；恢复点不可建立时转线下流程</w:t>
            </w:r>
          </w:p>
        </w:tc>
      </w:tr>
      <w:tr w14:paraId="462F3A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9B189E0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BLOCK</w:t>
            </w:r>
          </w:p>
        </w:tc>
        <w:tc>
          <w:tcPr>
            <w:tcW w:w="43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F612DC6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核心/敏感数据及受保护路径的破坏性操作、安全绕过、隐私读取或攻击行为直接拒绝</w:t>
            </w:r>
          </w:p>
        </w:tc>
        <w:tc>
          <w:tcPr>
            <w:tcW w:w="288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37E5DF3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停止会话放行尝试，改按人工应急或变更制度处理</w:t>
            </w:r>
          </w:p>
        </w:tc>
      </w:tr>
    </w:tbl>
    <w:p w14:paraId="2217C7A6">
      <w:pPr>
        <w:pStyle w:val="4"/>
      </w:pPr>
      <w:bookmarkStart w:id="35" w:name="_Toc25703"/>
      <w:r>
        <w:t>8.2  不能通过会话放行的安全红线</w:t>
      </w:r>
      <w:bookmarkEnd w:id="35"/>
    </w:p>
    <w:p w14:paraId="0C4603C3">
      <w:pPr>
        <w:keepNext/>
        <w:keepLines/>
        <w:numPr>
          <w:ilvl w:val="0"/>
          <w:numId w:val="7"/>
        </w:numPr>
        <w:spacing w:after="60" w:line="300" w:lineRule="auto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读取、复制、删除或破坏数据库数据目录、核心数据目录、容器数据目录及无法确认重要性的敏感数据。</w:t>
      </w:r>
    </w:p>
    <w:p w14:paraId="5C2BBC43">
      <w:pPr>
        <w:keepNext/>
        <w:keepLines/>
        <w:numPr>
          <w:ilvl w:val="0"/>
          <w:numId w:val="7"/>
        </w:numPr>
        <w:spacing w:after="60" w:line="300" w:lineRule="auto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格式化文件系统、直接覆盖设备、递归强制删除、修改根目录权限、破坏启动与关键系统配置。</w:t>
      </w:r>
    </w:p>
    <w:p w14:paraId="17C0C704">
      <w:pPr>
        <w:keepNext/>
        <w:keepLines/>
        <w:numPr>
          <w:ilvl w:val="0"/>
          <w:numId w:val="7"/>
        </w:numPr>
        <w:spacing w:after="60" w:line="300" w:lineRule="auto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关闭安全防护、绕过确认、植入提权后门、窃取密码令牌私钥、反弹 shell 或实施攻击破坏。</w:t>
      </w:r>
    </w:p>
    <w:p w14:paraId="4E7B5453">
      <w:pPr>
        <w:keepNext w:val="0"/>
        <w:keepLines/>
        <w:numPr>
          <w:ilvl w:val="0"/>
          <w:numId w:val="7"/>
        </w:numPr>
        <w:spacing w:after="60" w:line="300" w:lineRule="auto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通过提示词、编码、角色扮演或“紧急 / 演练”等措辞诱导系统忽略安全约束。</w:t>
      </w:r>
    </w:p>
    <w:tbl>
      <w:tblPr>
        <w:tblStyle w:val="34"/>
        <w:tblW w:w="909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0"/>
      </w:tblGrid>
      <w:tr w14:paraId="006B57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0" w:type="dxa"/>
            <w:tcBorders>
              <w:top w:val="nil"/>
              <w:left w:val="single" w:color="3A78B8" w:sz="18" w:space="0"/>
              <w:bottom w:val="nil"/>
              <w:right w:val="nil"/>
            </w:tcBorders>
            <w:shd w:val="clear" w:color="auto" w:fill="EAF3FB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6333586B">
            <w:pPr>
              <w:spacing w:after="0" w:line="300" w:lineRule="auto"/>
            </w:pPr>
            <w:r>
              <w:rPr>
                <w:rFonts w:ascii="Arial" w:hAnsi="Arial" w:eastAsia="微软雅黑"/>
                <w:b/>
                <w:i w:val="0"/>
                <w:color w:val="173A5E"/>
                <w:sz w:val="21"/>
              </w:rPr>
              <w:t xml:space="preserve">红线原则  </w:t>
            </w: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21"/>
              </w:rPr>
              <w:t>红线命中后，系统不提供“继续”“强制执行”或会话内豁免入口。安全拒绝同样会被写入溯源链路，便于审计复核。</w:t>
            </w:r>
          </w:p>
        </w:tc>
      </w:tr>
    </w:tbl>
    <w:p w14:paraId="6E5EBD65">
      <w:pPr>
        <w:pStyle w:val="4"/>
      </w:pPr>
      <w:bookmarkStart w:id="36" w:name="_Toc3755"/>
      <w:r>
        <w:t>8.3  常见异常处理</w:t>
      </w:r>
      <w:bookmarkEnd w:id="36"/>
    </w:p>
    <w:tbl>
      <w:tblPr>
        <w:tblStyle w:val="34"/>
        <w:tblW w:w="909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490"/>
      </w:tblGrid>
      <w:tr w14:paraId="0ACCED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28DCD215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现象</w:t>
            </w:r>
          </w:p>
        </w:tc>
        <w:tc>
          <w:tcPr>
            <w:tcW w:w="649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4DD4122E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建议处理</w:t>
            </w:r>
          </w:p>
        </w:tc>
      </w:tr>
      <w:tr w14:paraId="37754D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A7F14F3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服务无法访问</w:t>
            </w:r>
          </w:p>
        </w:tc>
        <w:tc>
          <w:tcPr>
            <w:tcW w:w="649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A0CE0D6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确认端口、绑定地址与 /actuator/health；本地演示默认仅绑定 127.0.0.1</w:t>
            </w:r>
          </w:p>
        </w:tc>
      </w:tr>
      <w:tr w14:paraId="236FF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77AB04B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工具提示命令缺失</w:t>
            </w:r>
          </w:p>
        </w:tc>
        <w:tc>
          <w:tcPr>
            <w:tcW w:w="649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4068063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在麒麟环境补齐 ss、lsof 等运行依赖后再重试，并重新执行只读感知</w:t>
            </w:r>
          </w:p>
        </w:tc>
      </w:tr>
      <w:tr w14:paraId="7D7E4A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1EE65A2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模型服务不可用</w:t>
            </w:r>
          </w:p>
        </w:tc>
        <w:tc>
          <w:tcPr>
            <w:tcW w:w="649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>
            <w:r>
              <w:t>检查 API Key、模型地址与网络状态；模型不可用时系统会明确提示，待服务恢复后重新发起请求。</w:t>
            </w:r>
          </w:p>
        </w:tc>
      </w:tr>
      <w:tr w14:paraId="40C5A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4ED3A80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计划被拒绝或无确认入口</w:t>
            </w:r>
          </w:p>
        </w:tc>
        <w:tc>
          <w:tcPr>
            <w:tcW w:w="649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D6CA008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查看风险原因；涉及红线或关键对象时应转人工变更流程，不要尝试绕过</w:t>
            </w:r>
          </w:p>
        </w:tc>
      </w:tr>
      <w:tr w14:paraId="6F64CE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4F863D53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输出包含敏感信息</w:t>
            </w:r>
          </w:p>
        </w:tc>
        <w:tc>
          <w:tcPr>
            <w:tcW w:w="649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AE45869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系统默认脱敏；如需进一步排查，使用受控的本地审计文件并按安全制度访问</w:t>
            </w:r>
          </w:p>
        </w:tc>
      </w:tr>
    </w:tbl>
    <w:p w14:paraId="2345380D">
      <w:pPr>
        <w:pStyle w:val="3"/>
      </w:pPr>
      <w:bookmarkStart w:id="37" w:name="_Toc11447"/>
      <w:r>
        <w:t>附录A  常用术语与状态说明</w:t>
      </w:r>
      <w:bookmarkEnd w:id="37"/>
    </w:p>
    <w:tbl>
      <w:tblPr>
        <w:tblStyle w:val="34"/>
        <w:tblW w:w="909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6840"/>
      </w:tblGrid>
      <w:tr w14:paraId="5769DC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587AB78A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术语</w:t>
            </w:r>
          </w:p>
        </w:tc>
        <w:tc>
          <w:tcPr>
            <w:tcW w:w="684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shd w:val="clear" w:color="auto" w:fill="EAF3FB"/>
            <w:tcMar>
              <w:top w:w="115" w:type="dxa"/>
              <w:left w:w="125" w:type="dxa"/>
              <w:bottom w:w="115" w:type="dxa"/>
              <w:right w:w="125" w:type="dxa"/>
            </w:tcMar>
          </w:tcPr>
          <w:p w14:paraId="4102D186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说明</w:t>
            </w:r>
          </w:p>
        </w:tc>
      </w:tr>
      <w:tr w14:paraId="22AE5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B8D0C02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MCP</w:t>
            </w:r>
          </w:p>
        </w:tc>
        <w:tc>
          <w:tcPr>
            <w:tcW w:w="684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8E0B4C5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Model Context Protocol；用于发现和调用标准化 Agent 工具的协议</w:t>
            </w:r>
          </w:p>
        </w:tc>
      </w:tr>
      <w:tr w14:paraId="475F6C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0A84FFB6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dry-run</w:t>
            </w:r>
          </w:p>
        </w:tc>
        <w:tc>
          <w:tcPr>
            <w:tcW w:w="684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21EDDACF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演练模式；变更计划可展示和审计，但不实际执行落盘操作</w:t>
            </w:r>
          </w:p>
        </w:tc>
      </w:tr>
      <w:tr w14:paraId="564D8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3EDD5135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LIVE</w:t>
            </w:r>
          </w:p>
        </w:tc>
        <w:tc>
          <w:tcPr>
            <w:tcW w:w="684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7CFD31E4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真实执行模式；仍受人工确认、最小权限、白名单与护栏约束</w:t>
            </w:r>
          </w:p>
        </w:tc>
      </w:tr>
      <w:tr w14:paraId="1B523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6859BCB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traceId</w:t>
            </w:r>
          </w:p>
        </w:tc>
        <w:tc>
          <w:tcPr>
            <w:tcW w:w="684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E182CA6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一次处理闭环的唯一标识，可用于查看链路、报告和审计记录</w:t>
            </w:r>
          </w:p>
        </w:tc>
      </w:tr>
      <w:tr w14:paraId="21659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5BF1ECF4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READONLY</w:t>
            </w:r>
          </w:p>
        </w:tc>
        <w:tc>
          <w:tcPr>
            <w:tcW w:w="684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9956D83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风险等级；表示候选动作仅用于感知或诊断，不等同于主链路最终状态</w:t>
            </w:r>
          </w:p>
        </w:tc>
      </w:tr>
      <w:tr w14:paraId="6790C6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5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19B604D4">
            <w:pPr>
              <w:spacing w:after="0" w:line="276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73A5E"/>
                <w:sz w:val="19"/>
              </w:rPr>
              <w:t>OBSERVED</w:t>
            </w:r>
          </w:p>
        </w:tc>
        <w:tc>
          <w:tcPr>
            <w:tcW w:w="6840" w:type="dxa"/>
            <w:tcBorders>
              <w:top w:val="single" w:color="C9DFF1" w:sz="4" w:space="0"/>
              <w:left w:val="single" w:color="C9DFF1" w:sz="4" w:space="0"/>
              <w:bottom w:val="single" w:color="C9DFF1" w:sz="4" w:space="0"/>
              <w:right w:val="single" w:color="C9DFF1" w:sz="4" w:space="0"/>
            </w:tcBorders>
            <w:tcMar>
              <w:top w:w="110" w:type="dxa"/>
              <w:left w:w="125" w:type="dxa"/>
              <w:bottom w:w="110" w:type="dxa"/>
              <w:right w:w="125" w:type="dxa"/>
            </w:tcMar>
            <w:vAlign w:val="center"/>
          </w:tcPr>
          <w:p w14:paraId="6EDA7BB4">
            <w:pPr>
              <w:spacing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19"/>
              </w:rPr>
              <w:t>处理结果状态；表示只读诊断已完成，系统未修改</w:t>
            </w:r>
          </w:p>
        </w:tc>
      </w:tr>
    </w:tbl>
    <w:p w14:paraId="40964384">
      <w:pPr>
        <w:pStyle w:val="3"/>
      </w:pPr>
      <w:bookmarkStart w:id="38" w:name="_Toc28921"/>
      <w:r>
        <w:t>附录B  使用前检查清单</w:t>
      </w:r>
      <w:bookmarkEnd w:id="38"/>
    </w:p>
    <w:p w14:paraId="06491698">
      <w:pPr>
        <w:keepLines/>
        <w:numPr>
          <w:ilvl w:val="0"/>
          <w:numId w:val="12"/>
        </w:numPr>
        <w:spacing w:after="100" w:line="300" w:lineRule="auto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确认当前操作目标、告警来源和期望结果明确，不以模糊描述直接触发变更。</w:t>
      </w:r>
    </w:p>
    <w:p w14:paraId="57CC8004">
      <w:pPr>
        <w:keepLines/>
        <w:numPr>
          <w:ilvl w:val="0"/>
          <w:numId w:val="12"/>
        </w:numPr>
        <w:spacing w:after="100" w:line="300" w:lineRule="auto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确认运行模式；演示使用 dry-run，真实环境使用受限账户和白名单。</w:t>
      </w:r>
    </w:p>
    <w:p w14:paraId="4E3FAFFD">
      <w:pPr>
        <w:keepLines/>
        <w:numPr>
          <w:ilvl w:val="0"/>
          <w:numId w:val="12"/>
        </w:numPr>
        <w:spacing w:after="100" w:line="300" w:lineRule="auto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先完成只读诊断，核对证据与候选对象，再审阅处置计划。</w:t>
      </w:r>
    </w:p>
    <w:p w14:paraId="27B23F46">
      <w:pPr>
        <w:keepLines/>
        <w:numPr>
          <w:ilvl w:val="0"/>
          <w:numId w:val="12"/>
        </w:numPr>
        <w:spacing w:after="100" w:line="300" w:lineRule="auto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确认前检查路径、服务、影响范围、恢复条件和回滚建议；红线问题转人工流程。</w:t>
      </w:r>
    </w:p>
    <w:p w14:paraId="0E127FE0">
      <w:pPr>
        <w:keepLines/>
        <w:numPr>
          <w:ilvl w:val="0"/>
          <w:numId w:val="12"/>
        </w:numPr>
        <w:spacing w:after="100" w:line="300" w:lineRule="auto"/>
      </w:pPr>
      <w:r>
        <w:rPr>
          <w:rFonts w:ascii="Times New Roman" w:hAnsi="Times New Roman" w:eastAsia="宋体"/>
          <w:b w:val="0"/>
          <w:i w:val="0"/>
          <w:color w:val="202B38"/>
          <w:sz w:val="21"/>
        </w:rPr>
        <w:t>执行后查看 VERIFY、处置报告和 traceId，记录必要的后续处置事项。</w:t>
      </w:r>
    </w:p>
    <w:tbl>
      <w:tblPr>
        <w:tblStyle w:val="34"/>
        <w:tblW w:w="909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0"/>
      </w:tblGrid>
      <w:tr w14:paraId="7F9B4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0" w:type="dxa"/>
            <w:tcBorders>
              <w:top w:val="nil"/>
              <w:left w:val="single" w:color="3A78B8" w:sz="18" w:space="0"/>
              <w:bottom w:val="nil"/>
              <w:right w:val="nil"/>
            </w:tcBorders>
            <w:shd w:val="clear" w:color="auto" w:fill="F5F9FD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0F807426">
            <w:pPr>
              <w:spacing w:after="0" w:line="300" w:lineRule="auto"/>
            </w:pPr>
            <w:r>
              <w:rPr>
                <w:rFonts w:ascii="Arial" w:hAnsi="Arial" w:eastAsia="微软雅黑"/>
                <w:b/>
                <w:i w:val="0"/>
                <w:color w:val="173A5E"/>
                <w:sz w:val="21"/>
              </w:rPr>
              <w:t xml:space="preserve">结束语  </w:t>
            </w:r>
            <w:r>
              <w:rPr>
                <w:rFonts w:ascii="Times New Roman" w:hAnsi="Times New Roman" w:eastAsia="宋体"/>
                <w:b w:val="0"/>
                <w:i w:val="0"/>
                <w:color w:val="202B38"/>
                <w:sz w:val="21"/>
              </w:rPr>
              <w:t>智御的目标不是替人承担不可控的运维风险，而是让每一次运维判断都拥有更完整的证据、更清晰的边界和更透明的过程。</w:t>
            </w:r>
          </w:p>
        </w:tc>
      </w:tr>
    </w:tbl>
    <w:p w14:paraId="3DF5C97D"/>
    <w:sectPr>
      <w:headerReference r:id="rId5" w:type="default"/>
      <w:footerReference r:id="rId6" w:type="default"/>
      <w:pgSz w:w="11906" w:h="16838"/>
      <w:pgMar w:top="1361" w:right="1247" w:bottom="1361" w:left="1474" w:header="652" w:footer="652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79BB9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5AC024">
    <w:pPr>
      <w:pStyle w:val="25"/>
      <w:spacing w:after="0"/>
    </w:pPr>
  </w:p>
  <w:tbl>
    <w:tblPr>
      <w:tblStyle w:val="34"/>
      <w:tblW w:w="9090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545"/>
      <w:gridCol w:w="4545"/>
    </w:tblGrid>
    <w:tr w14:paraId="58F25585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545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0371B91D">
          <w:pPr>
            <w:spacing w:after="0" w:line="276" w:lineRule="auto"/>
            <w:jc w:val="left"/>
          </w:pPr>
          <w:r>
            <w:rPr>
              <w:rFonts w:ascii="Arial" w:hAnsi="Arial" w:eastAsia="微软雅黑"/>
              <w:b/>
              <w:i w:val="0"/>
              <w:color w:val="3A78B8"/>
              <w:sz w:val="19"/>
            </w:rPr>
            <w:t>OpsGuard 智御</w:t>
          </w:r>
        </w:p>
      </w:tc>
      <w:tc>
        <w:tcPr>
          <w:tcW w:w="4545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697F69D8">
          <w:pPr>
            <w:spacing w:after="0" w:line="276" w:lineRule="auto"/>
            <w:jc w:val="right"/>
          </w:pPr>
          <w:r>
            <w:rPr>
              <w:rFonts w:ascii="Arial" w:hAnsi="Arial" w:eastAsia="微软雅黑"/>
              <w:b w:val="0"/>
              <w:i w:val="0"/>
              <w:color w:val="687684"/>
              <w:sz w:val="18"/>
            </w:rPr>
            <w:t>软件产品说明书</w:t>
          </w:r>
        </w:p>
      </w:tc>
    </w:tr>
  </w:tbl>
  <w:p w14:paraId="0284D09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tabs>
          <w:tab w:val="left" w:pos="600"/>
        </w:tabs>
        <w:ind w:left="600" w:hanging="300"/>
      </w:pPr>
      <w:rPr>
        <w:color w:val="3A78B8"/>
      </w:rPr>
    </w:lvl>
  </w:abstractNum>
  <w:abstractNum w:abstractNumId="1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tabs>
          <w:tab w:val="left" w:pos="600"/>
        </w:tabs>
        <w:ind w:left="600" w:hanging="300"/>
      </w:pPr>
      <w:rPr>
        <w:color w:val="3A78B8"/>
      </w:rPr>
    </w:lvl>
  </w:abstractNum>
  <w:abstractNum w:abstractNumId="2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600"/>
        </w:tabs>
        <w:ind w:left="600" w:hanging="300"/>
      </w:pPr>
      <w:rPr>
        <w:color w:val="3A78B8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70"/>
      </w:pPr>
      <w:rPr>
        <w:color w:val="3A78B8"/>
      </w:rPr>
    </w:lvl>
  </w:abstractNum>
  <w:abstractNum w:abstractNumId="10">
    <w:nsid w:val="03D62ECE"/>
    <w:multiLevelType w:val="singleLevel"/>
    <w:tmpl w:val="03D62ECE"/>
    <w:lvl w:ilvl="0" w:tentative="0">
      <w:start w:val="1"/>
      <w:numFmt w:val="decimal"/>
      <w:lvlText w:val="%1."/>
      <w:lvlJc w:val="left"/>
      <w:pPr>
        <w:tabs>
          <w:tab w:val="left" w:pos="600"/>
        </w:tabs>
        <w:ind w:left="600" w:hanging="300"/>
      </w:pPr>
      <w:rPr>
        <w:color w:val="3A78B8"/>
      </w:rPr>
    </w:lvl>
  </w:abstractNum>
  <w:abstractNum w:abstractNumId="1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tabs>
          <w:tab w:val="left" w:pos="600"/>
        </w:tabs>
        <w:ind w:left="600" w:hanging="300"/>
      </w:pPr>
      <w:rPr>
        <w:color w:val="3A78B8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9"/>
  </w:num>
  <w:num w:numId="8">
    <w:abstractNumId w:val="2"/>
  </w:num>
  <w:num w:numId="9">
    <w:abstractNumId w:val="11"/>
  </w:num>
  <w:num w:numId="10">
    <w:abstractNumId w:val="1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F51DF7"/>
    <w:rsid w:val="7C18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  <w:jc w:val="both"/>
    </w:pPr>
    <w:rPr>
      <w:rFonts w:ascii="Times New Roman" w:hAnsi="Times New Roman" w:eastAsia="宋体" w:cstheme="minorBidi"/>
      <w:color w:val="202B38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0" w:after="240"/>
      <w:outlineLvl w:val="0"/>
    </w:pPr>
    <w:rPr>
      <w:rFonts w:asciiTheme="majorHAnsi" w:hAnsiTheme="majorHAnsi" w:eastAsiaTheme="majorEastAsia" w:cstheme="majorBidi"/>
      <w:b/>
      <w:bCs/>
      <w:color w:val="173A5E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3A78B8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73A5E"/>
      <w:sz w:val="23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100" w:after="160" w:line="240" w:lineRule="auto"/>
      <w:jc w:val="center"/>
    </w:pPr>
    <w:rPr>
      <w:rFonts w:ascii="Times New Roman" w:hAnsi="Times New Roman" w:eastAsia="宋体"/>
      <w:bCs/>
      <w:color w:val="687684"/>
      <w:sz w:val="19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1531</Words>
  <Characters>1769</Characters>
  <Lines>0</Lines>
  <Paragraphs>0</Paragraphs>
  <TotalTime>5</TotalTime>
  <ScaleCrop>false</ScaleCrop>
  <LinksUpToDate>false</LinksUpToDate>
  <CharactersWithSpaces>1955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/>
  <cp:keywords>智御, OpsGuard, 软件产品说明书, MCP, 智能运维, 安全闭环</cp:keywords>
  <cp:lastModifiedBy/>
  <dcterms:modified xsi:type="dcterms:W3CDTF">2026-07-20T03:01:00Z</dcterms:modified>
  <dc:subject>龙芯麒麟智能运维安全护栏 Agent</dc:subject>
  <dc:title>智御软件产品说明书</dc:title>
  <cp:revision>1</cp:revision>
</cp:coreProperties>
</file>