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C8EAC">
      <w:pPr>
        <w:ind w:left="0" w:leftChars="0" w:firstLine="0" w:firstLineChars="0"/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-7073900</wp:posOffset>
            </wp:positionV>
            <wp:extent cx="9269730" cy="13216255"/>
            <wp:effectExtent l="183515" t="963295" r="2296795" b="1319530"/>
            <wp:wrapNone/>
            <wp:docPr id="6" name="图片 2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 rot="-9360000">
                      <a:off x="0" y="0"/>
                      <a:ext cx="9269730" cy="132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194945</wp:posOffset>
            </wp:positionV>
            <wp:extent cx="1479550" cy="817880"/>
            <wp:effectExtent l="0" t="0" r="13970" b="0"/>
            <wp:wrapSquare wrapText="bothSides"/>
            <wp:docPr id="8" name="图片 4" descr="kappframework-cAOqJt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kappframework-cAOqJt(1)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068DA2"/>
    <w:p w14:paraId="0B311FD2">
      <w:pPr>
        <w:rPr>
          <w:rFonts w:hint="eastAsia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831850</wp:posOffset>
                </wp:positionH>
                <wp:positionV relativeFrom="page">
                  <wp:posOffset>1062355</wp:posOffset>
                </wp:positionV>
                <wp:extent cx="7196455" cy="8285480"/>
                <wp:effectExtent l="0" t="0" r="0" b="0"/>
                <wp:wrapNone/>
                <wp:docPr id="9" name="组合 9" descr="中国软件杯赛事标识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6455" cy="8285480"/>
                          <a:chOff x="684037" y="-1305824"/>
                          <a:chExt cx="6410244" cy="8003010"/>
                        </a:xfrm>
                        <a:effectLst/>
                      </wpg:grpSpPr>
                      <wps:wsp>
                        <wps:cNvPr id="10" name="文本框 8"/>
                        <wps:cNvSpPr txBox="1"/>
                        <wps:spPr>
                          <a:xfrm>
                            <a:off x="3013852" y="-558762"/>
                            <a:ext cx="727396" cy="7255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7D26404">
                              <w:pPr>
                                <w:jc w:val="center"/>
                                <w:rPr>
                                  <w:rFonts w:hint="default" w:ascii="方正准圆简体" w:eastAsia="方正准圆简体"/>
                                  <w:b/>
                                  <w:color w:val="C00000"/>
                                  <w:sz w:val="72"/>
                                  <w:szCs w:val="7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方正准圆简体" w:eastAsia="方正准圆简体"/>
                                  <w:b/>
                                  <w:color w:val="C00000"/>
                                  <w:sz w:val="72"/>
                                  <w:szCs w:val="72"/>
                                  <w:lang w:val="en-US" w:eastAsia="zh-CN"/>
                                </w:rPr>
                                <w:t>l软件功能设计文档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1701" y="-1305824"/>
                            <a:ext cx="5194147" cy="541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585F95C"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C00000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C00000"/>
                                  <w:sz w:val="44"/>
                                  <w:szCs w:val="44"/>
                                  <w:lang w:val="en-US" w:eastAsia="zh-CN"/>
                                </w:rPr>
                                <w:t>中国软件杯大学生软件设计大赛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84037" y="-721913"/>
                            <a:ext cx="6410244" cy="674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D2B88A1">
                              <w:pPr>
                                <w:ind w:left="0" w:leftChars="0" w:firstLine="0" w:firstLineChars="0"/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 w:eastAsia="zh-CN"/>
                                </w:rPr>
                                <w:t>智御·OS智能运维Agent（OpsGuard Agent）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alt="中国软件杯赛事标识" style="position:absolute;left:0pt;margin-left:65.5pt;margin-top:83.65pt;height:652.4pt;width:566.65pt;mso-position-horizontal-relative:page;mso-position-vertical-relative:page;z-index:251660288;mso-width-relative:page;mso-height-relative:page;" coordorigin="684037,-1305824" coordsize="6410244,8003010" o:gfxdata="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BM28Ja&#10;2wAAAA0BAAAPAAAAAAAAAAEAIAAAACIAAABkcnMvZG93bnJldi54bWxQSwECFAAUAAAACACHTuJA&#10;/W2TSa0DAAC8CgAADgAAAAAAAAABACAAAAAqAQAAZHJzL2Uyb0RvYy54bWxQSwUGAAAAAAYABgBZ&#10;AQAASQcAAAAA&#10;">
                <o:lock v:ext="edit" aspectratio="f"/>
                <v:shape id="文本框 8" o:spid="_x0000_s1026" o:spt="202" type="#_x0000_t202" style="position:absolute;left:3013852;top:-558762;height:7255948;width:727396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7D26404">
                        <w:pPr>
                          <w:jc w:val="center"/>
                          <w:rPr>
                            <w:rFonts w:hint="default" w:ascii="方正准圆简体" w:eastAsia="方正准圆简体"/>
                            <w:b/>
                            <w:color w:val="C00000"/>
                            <w:sz w:val="72"/>
                            <w:szCs w:val="72"/>
                            <w:lang w:val="en-US" w:eastAsia="zh-CN"/>
                          </w:rPr>
                        </w:pPr>
                        <w:r>
                          <w:rPr>
                            <w:rFonts w:hint="eastAsia" w:ascii="方正准圆简体" w:eastAsia="方正准圆简体"/>
                            <w:b/>
                            <w:color w:val="C00000"/>
                            <w:sz w:val="72"/>
                            <w:szCs w:val="72"/>
                            <w:lang w:val="en-US" w:eastAsia="zh-CN"/>
                          </w:rPr>
                          <w:t>l软件功能设计文档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301701;top:-1305824;height:541589;width:5194147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585F95C">
                        <w:pPr>
                          <w:rPr>
                            <w:rFonts w:hint="default" w:eastAsia="宋体"/>
                            <w:b/>
                            <w:bCs/>
                            <w:color w:val="C00000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C00000"/>
                            <w:sz w:val="44"/>
                            <w:szCs w:val="44"/>
                            <w:lang w:val="en-US" w:eastAsia="zh-CN"/>
                          </w:rPr>
                          <w:t>中国软件杯大学生软件设计大赛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84037;top:-721913;height:674687;width:6410244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D2B88A1">
                        <w:pPr>
                          <w:ind w:left="0" w:leftChars="0" w:firstLine="0" w:firstLineChars="0"/>
                          <w:rPr>
                            <w:rFonts w:hint="eastAsia" w:ascii="宋体" w:hAnsi="宋体" w:eastAsia="宋体" w:cs="宋体"/>
                            <w:b/>
                            <w:bCs/>
                            <w:color w:val="C00000"/>
                            <w:sz w:val="40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color w:val="C00000"/>
                            <w:sz w:val="40"/>
                            <w:szCs w:val="40"/>
                            <w:lang w:val="en-US" w:eastAsia="zh-CN"/>
                          </w:rPr>
                          <w:t>智御·OS智能运维Agent（OpsGuard Agent）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eastAsia="zh-CN"/>
        </w:rPr>
        <w:t>、</w:t>
      </w:r>
    </w:p>
    <w:p w14:paraId="69611DB4"/>
    <w:p w14:paraId="63C79E7E"/>
    <w:p w14:paraId="07E866B2"/>
    <w:p w14:paraId="0440AC78">
      <w:pPr>
        <w:rPr>
          <w:rFonts w:hint="eastAsia" w:eastAsia="宋体"/>
          <w:lang w:eastAsia="zh-CN"/>
        </w:rPr>
      </w:pPr>
    </w:p>
    <w:p w14:paraId="287E577A"/>
    <w:p w14:paraId="03BD53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-2167255</wp:posOffset>
            </wp:positionH>
            <wp:positionV relativeFrom="paragraph">
              <wp:posOffset>64135</wp:posOffset>
            </wp:positionV>
            <wp:extent cx="9128760" cy="15711170"/>
            <wp:effectExtent l="0" t="0" r="0" b="1270"/>
            <wp:wrapNone/>
            <wp:docPr id="1" name="图片 13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>
                      <a:off x="0" y="0"/>
                      <a:ext cx="9128760" cy="157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18D3D5">
      <w:pPr>
        <w:rPr>
          <w:rFonts w:hint="eastAsia" w:eastAsia="宋体"/>
          <w:lang w:eastAsia="zh-CN"/>
        </w:rPr>
      </w:pPr>
    </w:p>
    <w:p w14:paraId="5E577FD9"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10088880</wp:posOffset>
            </wp:positionH>
            <wp:positionV relativeFrom="paragraph">
              <wp:posOffset>2607945</wp:posOffset>
            </wp:positionV>
            <wp:extent cx="15966440" cy="3636645"/>
            <wp:effectExtent l="0" t="0" r="0" b="5715"/>
            <wp:wrapNone/>
            <wp:docPr id="2" name="图片 17" descr="Nipic_20189787_20160316125842108377 [转换]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 descr="Nipic_20189787_20160316125842108377 [转换]-01"/>
                    <pic:cNvPicPr>
                      <a:picLocks noChangeAspect="1"/>
                    </pic:cNvPicPr>
                  </pic:nvPicPr>
                  <pic:blipFill>
                    <a:blip r:embed="rId10"/>
                    <a:srcRect b="62312"/>
                    <a:stretch>
                      <a:fillRect/>
                    </a:stretch>
                  </pic:blipFill>
                  <pic:spPr>
                    <a:xfrm>
                      <a:off x="0" y="0"/>
                      <a:ext cx="1596644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B52BB2"/>
    <w:p w14:paraId="3B9F5DF7"/>
    <w:p w14:paraId="7ACF3D3D"/>
    <w:p w14:paraId="14236543"/>
    <w:p w14:paraId="58D86DDF"/>
    <w:p w14:paraId="53B7140A"/>
    <w:p w14:paraId="38CAE68D"/>
    <w:p w14:paraId="7875A5BE"/>
    <w:p w14:paraId="04367AF0"/>
    <w:p w14:paraId="0B2627BD">
      <w:pPr>
        <w:rPr>
          <w:rFonts w:hint="eastAsia" w:eastAsia="宋体"/>
          <w:lang w:eastAsia="zh-CN"/>
        </w:rPr>
      </w:pPr>
    </w:p>
    <w:p w14:paraId="7DA4AED2"/>
    <w:p w14:paraId="3E30D08B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28575</wp:posOffset>
                </wp:positionV>
                <wp:extent cx="5747385" cy="560705"/>
                <wp:effectExtent l="0" t="0" r="0" b="0"/>
                <wp:wrapNone/>
                <wp:docPr id="18" name="文本框 2" descr="封面作品名称与文档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7385" cy="560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E106B98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 w:eastAsia="zh-CN"/>
                              </w:rPr>
                              <w:t>面向龙芯麒麟的安全智能运维Agent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alt="封面作品名称与文档标题" type="#_x0000_t202" style="position:absolute;left:0pt;margin-left:92.15pt;margin-top:2.25pt;height:44.15pt;width:452.55pt;z-index:251662336;mso-width-relative:page;mso-height-relative:page;" filled="f" stroked="f" coordsize="21600,21600" o:gfxdata="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73JjvWAAAACQEAAA8AAAAAAAAAAQAgAAAAIgAAAGRycy9kb3ducmV2LnhtbFBLAQIUABQAAAAI&#10;AIdO4kB5m6EtYQIAAGIEAAAOAAAAAAAAAAEAIAAAACUBAABkcnMvZTJvRG9jLnhtbFBLBQYAAAAA&#10;BgAGAFkBAAD4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E106B98">
                      <w:pPr>
                        <w:ind w:left="0" w:leftChars="0" w:firstLine="0" w:firstLineChars="0"/>
                        <w:rPr>
                          <w:rFonts w:hint="default" w:eastAsia="宋体"/>
                          <w:b/>
                          <w:bCs/>
                          <w:color w:val="C00000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40"/>
                          <w:szCs w:val="40"/>
                          <w:lang w:val="en-US" w:eastAsia="zh-CN"/>
                        </w:rPr>
                        <w:t>面向龙芯麒麟的安全智能运维Agent</w:t>
                      </w:r>
                    </w:p>
                  </w:txbxContent>
                </v:textbox>
              </v:shape>
            </w:pict>
          </mc:Fallback>
        </mc:AlternateContent>
      </w:r>
    </w:p>
    <w:p w14:paraId="1FF690E2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262255</wp:posOffset>
                </wp:positionV>
                <wp:extent cx="4564380" cy="560705"/>
                <wp:effectExtent l="0" t="0" r="0" b="0"/>
                <wp:wrapNone/>
                <wp:docPr id="20" name="文本框 20" descr="封面作品定位与核心创新说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4380" cy="560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7D7DE89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封面作品定位与核心创新说明" type="#_x0000_t202" style="position:absolute;left:0pt;margin-left:105.75pt;margin-top:20.65pt;height:44.15pt;width:359.4pt;z-index:251663360;mso-width-relative:page;mso-height-relative:page;" filled="f" stroked="f" coordsize="21600,21600" o:gfxdata="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7Ozj01wAAAAoBAAAPAAAAAAAAAAEAIAAAACIAAABkcnMvZG93bnJldi54bWxQ&#10;SwECFAAUAAAACACHTuJAQ/FfR2oCAABpBAAADgAAAAAAAAABACAAAAAmAQAAZHJzL2Uyb0RvYy54&#10;bWxQSwUGAAAAAAYABgBZAQAAAgY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7D7DE89">
                      <w:pPr>
                        <w:rPr>
                          <w:rFonts w:hint="default" w:eastAsia="宋体"/>
                          <w:b/>
                          <w:bCs/>
                          <w:color w:val="C00000"/>
                          <w:sz w:val="40"/>
                          <w:szCs w:val="4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094B13"/>
    <w:p w14:paraId="7CF13975">
      <w:pPr>
        <w:ind w:left="0" w:leftChars="0" w:firstLine="0" w:firstLineChars="0"/>
      </w:pPr>
    </w:p>
    <w:p w14:paraId="4847DB12">
      <w:pPr>
        <w:sectPr>
          <w:pgSz w:w="11906" w:h="16838"/>
          <w:pgMar w:top="1134" w:right="1134" w:bottom="1134" w:left="1134" w:header="851" w:footer="992" w:gutter="0"/>
          <w:cols w:space="720" w:num="1"/>
          <w:docGrid w:type="lines" w:linePitch="312" w:charSpace="0"/>
        </w:sectPr>
      </w:pPr>
    </w:p>
    <w:p w14:paraId="3C84E3E6"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2732405</wp:posOffset>
            </wp:positionH>
            <wp:positionV relativeFrom="paragraph">
              <wp:posOffset>-7073900</wp:posOffset>
            </wp:positionV>
            <wp:extent cx="9269730" cy="13216255"/>
            <wp:effectExtent l="183515" t="963295" r="2296795" b="1319530"/>
            <wp:wrapNone/>
            <wp:docPr id="4" name="图片 5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 rot="-9360000">
                      <a:off x="0" y="0"/>
                      <a:ext cx="9269730" cy="132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3802D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34AA4C1E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_Toc27080 </w:instrText>
      </w:r>
      <w:r>
        <w:fldChar w:fldCharType="separate"/>
      </w:r>
      <w:r>
        <w:rPr>
          <w:rFonts w:hint="eastAsia"/>
        </w:rPr>
        <w:t xml:space="preserve">第一章 </w:t>
      </w:r>
      <w:r>
        <w:t>设计概述</w:t>
      </w:r>
      <w:r>
        <w:tab/>
      </w:r>
      <w:r>
        <w:fldChar w:fldCharType="begin"/>
      </w:r>
      <w:r>
        <w:instrText xml:space="preserve"> PAGEREF _Toc27080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D14F0E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_Toc18931 </w:instrText>
      </w:r>
      <w:r>
        <w:fldChar w:fldCharType="separate"/>
      </w:r>
      <w:r>
        <w:rPr>
          <w:rFonts w:hint="eastAsia"/>
        </w:rPr>
        <w:t xml:space="preserve">第二章 </w:t>
      </w:r>
      <w:r>
        <w:t>系统总体设计</w:t>
      </w:r>
      <w:r>
        <w:tab/>
      </w:r>
      <w:r>
        <w:fldChar w:fldCharType="begin"/>
      </w:r>
      <w:r>
        <w:instrText xml:space="preserve"> PAGEREF _Toc18931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A72298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_Toc24603 </w:instrText>
      </w:r>
      <w:r>
        <w:fldChar w:fldCharType="separate"/>
      </w:r>
      <w:r>
        <w:rPr>
          <w:rFonts w:hint="eastAsia"/>
        </w:rPr>
        <w:t xml:space="preserve">第三章 </w:t>
      </w:r>
      <w:r>
        <w:t>核心功能模块设计</w:t>
      </w:r>
      <w:r>
        <w:tab/>
      </w:r>
      <w:r>
        <w:fldChar w:fldCharType="begin"/>
      </w:r>
      <w:r>
        <w:instrText xml:space="preserve"> PAGEREF _Toc24603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FC0FE6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_Toc20634 </w:instrText>
      </w:r>
      <w:r>
        <w:fldChar w:fldCharType="separate"/>
      </w:r>
      <w:r>
        <w:rPr>
          <w:rFonts w:hint="eastAsia"/>
        </w:rPr>
        <w:t xml:space="preserve">第四章 </w:t>
      </w:r>
      <w:r>
        <w:t>面向AI推理不确定性的透明安全闭环设计</w:t>
      </w:r>
      <w:r>
        <w:tab/>
      </w:r>
      <w:r>
        <w:fldChar w:fldCharType="begin"/>
      </w:r>
      <w:r>
        <w:instrText xml:space="preserve"> PAGEREF _Toc20634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6F4EC0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_Toc8557 </w:instrText>
      </w:r>
      <w:r>
        <w:fldChar w:fldCharType="separate"/>
      </w:r>
      <w:r>
        <w:rPr>
          <w:rFonts w:hint="eastAsia"/>
        </w:rPr>
        <w:t xml:space="preserve">第五章 </w:t>
      </w:r>
      <w:r>
        <w:t>典型业务流程设计</w:t>
      </w:r>
      <w:r>
        <w:tab/>
      </w:r>
      <w:r>
        <w:fldChar w:fldCharType="begin"/>
      </w:r>
      <w:r>
        <w:instrText xml:space="preserve"> PAGEREF _Toc8557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439F38C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_Toc22129 </w:instrText>
      </w:r>
      <w:r>
        <w:fldChar w:fldCharType="separate"/>
      </w:r>
      <w:r>
        <w:rPr>
          <w:rFonts w:hint="eastAsia"/>
        </w:rPr>
        <w:t xml:space="preserve">第六章 </w:t>
      </w:r>
      <w:r>
        <w:t>MCP接口、数据与安全调用设计</w:t>
      </w:r>
      <w:r>
        <w:tab/>
      </w:r>
      <w:r>
        <w:fldChar w:fldCharType="begin"/>
      </w:r>
      <w:r>
        <w:instrText xml:space="preserve"> PAGEREF _Toc22129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1476C16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_Toc21916 </w:instrText>
      </w:r>
      <w:r>
        <w:fldChar w:fldCharType="separate"/>
      </w:r>
      <w:r>
        <w:rPr>
          <w:rFonts w:hint="eastAsia"/>
        </w:rPr>
        <w:t xml:space="preserve">第七章 </w:t>
      </w:r>
      <w:r>
        <w:t>部署与运行设计</w:t>
      </w:r>
      <w:r>
        <w:tab/>
      </w:r>
      <w:r>
        <w:fldChar w:fldCharType="begin"/>
      </w:r>
      <w:r>
        <w:instrText xml:space="preserve"> PAGEREF _Toc21916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00E45FC">
      <w:pPr>
        <w:pStyle w:val="11"/>
        <w:tabs>
          <w:tab w:val="right" w:leader="dot" w:pos="9638"/>
        </w:tabs>
      </w:pPr>
      <w:r>
        <w:fldChar w:fldCharType="begin"/>
      </w:r>
      <w:r>
        <w:instrText xml:space="preserve"> HYPERLINK \l _Toc32612 </w:instrText>
      </w:r>
      <w:r>
        <w:fldChar w:fldCharType="separate"/>
      </w:r>
      <w:r>
        <w:rPr>
          <w:rFonts w:hint="eastAsia"/>
        </w:rPr>
        <w:t xml:space="preserve">第八章 </w:t>
      </w:r>
      <w:r>
        <w:t>设计总结</w:t>
      </w:r>
      <w:r>
        <w:tab/>
      </w:r>
      <w:r>
        <w:fldChar w:fldCharType="begin"/>
      </w:r>
      <w:r>
        <w:instrText xml:space="preserve"> PAGEREF _Toc32612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55559CE">
      <w:pPr>
        <w:ind w:firstLine="0"/>
      </w:pPr>
      <w:r>
        <w:fldChar w:fldCharType="end"/>
      </w:r>
    </w:p>
    <w:p w14:paraId="71976425">
      <w:pPr>
        <w:ind w:left="0" w:leftChars="0" w:firstLine="0" w:firstLineChars="0"/>
        <w:sectPr>
          <w:footerReference r:id="rId5" w:type="default"/>
          <w:pgSz w:w="11906" w:h="16838"/>
          <w:pgMar w:top="1134" w:right="1134" w:bottom="1134" w:left="1134" w:header="851" w:footer="992" w:gutter="0"/>
          <w:pgNumType w:start="1"/>
          <w:cols w:space="720" w:num="1"/>
          <w:docGrid w:type="lines" w:linePitch="312" w:charSpace="0"/>
        </w:sectPr>
      </w:pPr>
      <w:bookmarkStart w:id="8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-2872105</wp:posOffset>
            </wp:positionH>
            <wp:positionV relativeFrom="paragraph">
              <wp:posOffset>-2364740</wp:posOffset>
            </wp:positionV>
            <wp:extent cx="9128760" cy="15711170"/>
            <wp:effectExtent l="0" t="0" r="0" b="1270"/>
            <wp:wrapNone/>
            <wp:docPr id="7" name="图片 6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>
                      <a:off x="0" y="0"/>
                      <a:ext cx="9128760" cy="157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8"/>
    </w:p>
    <w:p w14:paraId="481800F6">
      <w:pPr>
        <w:pStyle w:val="2"/>
        <w:keepNext/>
      </w:pPr>
      <w:bookmarkStart w:id="0" w:name="_Toc27080"/>
      <w:r>
        <w:t>设计概述</w:t>
      </w:r>
      <w:bookmarkEnd w:id="0"/>
    </w:p>
    <w:p w14:paraId="151BB1F2">
      <w:pPr>
        <w:pStyle w:val="4"/>
        <w:keepNext/>
        <w:pageBreakBefore w:val="0"/>
      </w:pPr>
      <w:r>
        <w:t>一、文档目的</w:t>
      </w:r>
    </w:p>
    <w:p w14:paraId="7F778579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本文档面向中国软件杯初赛评审与系统后续实现，说明智御·OS智能运维Agent的总体架构、核心功能、安全控制、MCP能力、典型流程及部署方式。文档以当前工程实现为事实基础，将分散的技术机制组织为可理解、可验证、可扩展的功能设计。</w:t>
      </w:r>
    </w:p>
    <w:p w14:paraId="5948B47F">
      <w:pPr>
        <w:pStyle w:val="4"/>
        <w:keepNext/>
        <w:pageBreakBefore w:val="0"/>
      </w:pPr>
      <w:r>
        <w:t>二、项目设计目标</w:t>
      </w:r>
    </w:p>
    <w:p w14:paraId="68C1798D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智御部署于龙芯LoongArch与麒麟操作系统环境，定位为运维人员个人使用的智能运维Agent。系统以自然语言降低复杂OS问题的处理门槛，通过MCP向大模型提供结构化系统感知与受控管理能力，并以确定性安全机制约束大模型推理的不确定性。</w:t>
      </w:r>
    </w:p>
    <w:p w14:paraId="5015EA7A">
      <w:pPr>
        <w:shd w:val="clear" w:fill="F3F3F3"/>
        <w:spacing w:before="0" w:after="160" w:line="348" w:lineRule="auto"/>
        <w:ind w:left="312" w:right="198" w:firstLine="0"/>
        <w:jc w:val="both"/>
      </w:pPr>
      <w:r>
        <w:rPr>
          <w:rFonts w:ascii="宋体" w:hAnsi="宋体" w:eastAsia="宋体"/>
          <w:sz w:val="24"/>
        </w:rPr>
        <w:t>核心目标是形成“诊断建议由 Agent 生成、执行决策由运维人员作出”的安全协同模式。系统应保证处置过程可追溯、可审查、可验证；对安全红线，任何会话均不得提供放行或绕过入口。</w:t>
      </w:r>
    </w:p>
    <w:p w14:paraId="1B6067EF">
      <w:pPr>
        <w:pStyle w:val="4"/>
        <w:keepNext/>
        <w:pageBreakBefore w:val="0"/>
      </w:pPr>
      <w:r>
        <w:t>三、系统功能范围</w:t>
      </w:r>
    </w:p>
    <w:p w14:paraId="2D03D0F3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覆盖系统、进程、磁盘、网络、日志、数据库和指标感知，支持主动健康巡检、证据驱动诊断、磁盘候选筛选、结构化处置规划、风险裁决、人工确认、最小权限执行、结果验证、受控恢复与全链路审计。系统不替代企业已有监控平台，也不以聊天指令直接执行任意Shell命令。</w:t>
      </w:r>
    </w:p>
    <w:p w14:paraId="06F249B0">
      <w:pPr>
        <w:pStyle w:val="4"/>
        <w:keepNext/>
        <w:pageBreakBefore w:val="0"/>
      </w:pPr>
      <w:r>
        <w:t>四、设计原则</w:t>
      </w:r>
    </w:p>
    <w:p w14:paraId="25DC0C2B">
      <w:pPr>
        <w:numPr>
          <w:ilvl w:val="0"/>
          <w:numId w:val="2"/>
        </w:numPr>
        <w:spacing w:before="0" w:after="120" w:line="348" w:lineRule="auto"/>
        <w:ind w:left="624" w:firstLine="480"/>
      </w:pPr>
      <w:r>
        <w:rPr>
          <w:rFonts w:ascii="宋体" w:hAnsi="宋体" w:eastAsia="宋体"/>
          <w:sz w:val="24"/>
        </w:rPr>
        <w:t>智御遵循“感知自主、变更受控”的基本原则。模型只能在登记的只读能力范围内获取证据，任何会改变系统状态的动作都必须进入由规则、权限、人工确认和最小权限执行器共同构成的确定性安全链路；诊断结论则以实时采集结果、本地知识和规则依据为支撑，并通过 traceId 保持可复核性。</w:t>
      </w:r>
    </w:p>
    <w:p w14:paraId="000D957D">
      <w:pPr>
        <w:numPr>
          <w:ilvl w:val="0"/>
          <w:numId w:val="2"/>
        </w:numPr>
        <w:spacing w:before="0" w:after="120" w:line="348" w:lineRule="auto"/>
        <w:ind w:left="624" w:firstLine="480"/>
      </w:pPr>
      <w:r>
        <w:rPr>
          <w:rFonts w:ascii="宋体" w:hAnsi="宋体" w:eastAsia="宋体"/>
          <w:sz w:val="24"/>
        </w:rPr>
        <w:t>在执行控制上，系统坚持计划先行与一次授权。确认令牌仅绑定当前会话、当前计划及完整参数，目标、参数或上下文发生变化后必须重新审阅；对于核心数据、关键系统路径、隐私窃取、攻击破坏和安全绕过等红线请求，系统明确拒绝代为执行，且不会提供会话内豁免入口。</w:t>
      </w:r>
    </w:p>
    <w:p w14:paraId="0247630E">
      <w:pPr>
        <w:numPr>
          <w:ilvl w:val="0"/>
          <w:numId w:val="2"/>
        </w:numPr>
        <w:spacing w:before="0" w:after="120" w:line="348" w:lineRule="auto"/>
        <w:ind w:left="624" w:firstLine="480"/>
      </w:pPr>
      <w:r>
        <w:rPr>
          <w:rFonts w:ascii="宋体" w:hAnsi="宋体" w:eastAsia="宋体"/>
          <w:sz w:val="24"/>
        </w:rPr>
        <w:t>系统以观察、待确认、模拟完成、执行未验证、验证失败和验证通过等状态呈现处置过程。它不仅记录命令是否被调用，还通过后置条件和实时证据说明磁盘空间、服务状态或目标文件是否真正达到预期，从而实现结果真实、过程透明和责任可追溯。</w:t>
      </w:r>
    </w:p>
    <w:p w14:paraId="30F8DAE2">
      <w:pPr>
        <w:pStyle w:val="4"/>
        <w:keepNext/>
        <w:pageBreakBefore w:val="0"/>
      </w:pPr>
      <w:r>
        <w:t>五、术语与缩略语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F2BC4C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0E6B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w="7710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420C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 w14:paraId="77EBD27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A6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Agent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E41D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以自然语言理解、工具调用和任务编排完成运维辅助的智能体。</w:t>
            </w:r>
          </w:p>
        </w:tc>
      </w:tr>
      <w:tr w14:paraId="6EB806F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494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MCP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D43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Model Context Protocol，用于向模型结构化暴露工具能力。</w:t>
            </w:r>
          </w:p>
        </w:tc>
      </w:tr>
      <w:tr w14:paraId="2ED905B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539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ReAct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564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模型在思考、行动与观察之间迭代的按需感知方式。</w:t>
            </w:r>
          </w:p>
        </w:tc>
      </w:tr>
      <w:tr w14:paraId="0EC659A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37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安全闭环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830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请求、感知、诊断、规划、裁决、确认、执行、验证和追踪组成的控制链。</w:t>
            </w:r>
          </w:p>
        </w:tc>
      </w:tr>
      <w:tr w14:paraId="25D68FA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C1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traceId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817A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贯穿单次运维任务的唯一追踪标识。</w:t>
            </w:r>
          </w:p>
        </w:tc>
      </w:tr>
    </w:tbl>
    <w:p w14:paraId="7DF83F4A">
      <w:pPr>
        <w:spacing w:after="0"/>
      </w:pPr>
    </w:p>
    <w:p w14:paraId="30132B8E">
      <w:pPr>
        <w:pStyle w:val="2"/>
        <w:keepNext/>
        <w:pageBreakBefore/>
      </w:pPr>
      <w:bookmarkStart w:id="1" w:name="_Toc18931"/>
      <w:r>
        <w:t>系统总体设计</w:t>
      </w:r>
      <w:bookmarkEnd w:id="1"/>
    </w:p>
    <w:p w14:paraId="56CA7EAD">
      <w:pPr>
        <w:pStyle w:val="4"/>
        <w:keepNext/>
        <w:pageBreakBefore w:val="0"/>
      </w:pPr>
      <w:r>
        <w:t>一、系统总体架构</w:t>
      </w:r>
    </w:p>
    <w:p w14:paraId="257D7D1D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系统采用浏览器控制台与Spring Boot后端一体化部署方式。自然语言会话进入Agent编排管线，编排层根据任务需要调用MCP工具采集证据，诊断与处置计划随后经过安全护栏、人工确认和最小权限执行器，最终由验证与审计模块形成事实终态。</w:t>
      </w:r>
    </w:p>
    <w:p w14:paraId="2F24909F">
      <w:pPr>
        <w:keepNext/>
        <w:jc w:val="center"/>
      </w:pPr>
      <w:r>
        <w:drawing>
          <wp:inline distT="0" distB="0" distL="114300" distR="114300">
            <wp:extent cx="5806440" cy="2941320"/>
            <wp:effectExtent l="0" t="0" r="3810" b="1905"/>
            <wp:docPr id="21" name="Picture 21" descr="智御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智御系统总体架构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ED45">
      <w:pPr>
        <w:spacing w:before="40" w:after="120"/>
        <w:jc w:val="center"/>
      </w:pPr>
      <w:r>
        <w:rPr>
          <w:rFonts w:ascii="Times New Roman" w:hAnsi="Times New Roman" w:eastAsia="楷体"/>
          <w:sz w:val="24"/>
        </w:rPr>
        <w:t>图2-1  智御系统总体架构</w:t>
      </w:r>
    </w:p>
    <w:p w14:paraId="5A259A6E">
      <w:pPr>
        <w:pStyle w:val="4"/>
        <w:keepNext/>
        <w:pageBreakBefore w:val="0"/>
      </w:pPr>
      <w:r>
        <w:t>二、系统逻辑分层</w:t>
      </w:r>
    </w:p>
    <w:p w14:paraId="4DC6317B">
      <w:pPr>
        <w:spacing w:before="0" w:after="120" w:line="348" w:lineRule="auto"/>
        <w:ind w:firstLine="480"/>
      </w:pPr>
      <w:r>
        <w:rPr>
          <w:rFonts w:ascii="宋体" w:hAnsi="宋体" w:eastAsia="宋体"/>
          <w:sz w:val="24"/>
        </w:rPr>
        <w:t>为避免将模型生成的自然语言直接转化为系统权限，智御将交互、编排、工具调用、安全裁决和执行审计明确分层。各层仅承担相应职责，并通过结构化对象传递数据；这种设计既支持面向运维人员的自然语言交互，也保证受控变更必须跨越独立的安全边界。表2-1列出了各逻辑层的职责与代表组件。</w:t>
      </w:r>
    </w:p>
    <w:p w14:paraId="7890F81E">
      <w:pPr>
        <w:pStyle w:val="7"/>
        <w:keepNext/>
        <w:spacing w:before="0" w:after="80" w:line="348" w:lineRule="auto"/>
        <w:ind w:firstLine="0"/>
        <w:jc w:val="center"/>
      </w:pPr>
      <w:r>
        <w:rPr>
          <w:rFonts w:ascii="宋体" w:hAnsi="宋体" w:eastAsia="宋体"/>
          <w:sz w:val="22"/>
        </w:rPr>
        <w:t>表2-1  智御系统逻辑分层及职责划分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43F6C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00000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94D4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</w:rPr>
              <w:t>逻辑层</w:t>
            </w:r>
          </w:p>
        </w:tc>
        <w:tc>
          <w:tcPr>
            <w:tcW w:w="4195" w:type="dxa"/>
            <w:tcBorders>
              <w:bottom w:val="single" w:color="00000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FEC7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</w:rPr>
              <w:t>主要职责</w:t>
            </w:r>
          </w:p>
        </w:tc>
        <w:tc>
          <w:tcPr>
            <w:tcW w:w="3572" w:type="dxa"/>
            <w:tcBorders>
              <w:bottom w:val="single" w:color="00000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9355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</w:rPr>
              <w:t>代表组件</w:t>
            </w:r>
          </w:p>
        </w:tc>
      </w:tr>
      <w:tr w14:paraId="263140C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CE33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交互呈现层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F6DC5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接收自然语言、展示证据、计划、确认状态和执行结果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C861D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Web控制台、REST/SSE接口</w:t>
            </w:r>
          </w:p>
        </w:tc>
      </w:tr>
      <w:tr w14:paraId="5C90895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B54E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Agent编排层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50F11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组织感知、检索、推理、计划、校验、执行和分析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72707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OpsPipeline、AgentRunner</w:t>
            </w:r>
          </w:p>
        </w:tc>
      </w:tr>
      <w:tr w14:paraId="5A781BA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33E2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MCP能力层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39B24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统一注册工具，提供内部与外部结构化调用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25B25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ToolRegistry、McpDispatcher</w:t>
            </w:r>
          </w:p>
        </w:tc>
      </w:tr>
      <w:tr w14:paraId="01C121E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E84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安全控制层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3EAE7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注入检测、风险裁决、意图复核和跨轮威胁检测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EFF89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IntentRiskGuard、IntentConsistencyChecker、CrossTurnThreatMonitor</w:t>
            </w:r>
          </w:p>
        </w:tc>
      </w:tr>
      <w:tr w14:paraId="4F2C0A4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4ADE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执行与审计层</w:t>
            </w:r>
          </w:p>
        </w:tc>
        <w:tc>
          <w:tcPr>
            <w:tcW w:w="4195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6FCE3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最小权限执行、备份、验证、恢复和链路记录</w:t>
            </w:r>
          </w:p>
        </w:tc>
        <w:tc>
          <w:tcPr>
            <w:tcW w:w="3572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00C6C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LeastPrivilegeExecutor、OpsAuditService</w:t>
            </w:r>
          </w:p>
        </w:tc>
      </w:tr>
    </w:tbl>
    <w:p w14:paraId="4223E9C6">
      <w:pPr>
        <w:spacing w:after="0"/>
      </w:pPr>
    </w:p>
    <w:p w14:paraId="6C3169EA">
      <w:pPr>
        <w:pStyle w:val="4"/>
        <w:keepNext/>
        <w:pageBreakBefore w:val="0"/>
      </w:pPr>
      <w:r>
        <w:t>三、系统核心组件关系</w:t>
      </w:r>
    </w:p>
    <w:p w14:paraId="6B5A07B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控制台只负责提交运维目标与显示结构化结果，不拥有直接执行系统命令的能力。OpsPipeline是业务主链，ToolRegistry是统一能力目录，McpDispatcher是协议与调用中枢，IntentRiskGuard和GuardedMutationExecutor共同构成确定性执行边界。各组件通过结构化对象传递数据，避免将模型自然语言直接解释为可执行权限。</w:t>
      </w:r>
    </w:p>
    <w:p w14:paraId="78040952">
      <w:pPr>
        <w:pStyle w:val="4"/>
        <w:keepNext/>
        <w:pageBreakBefore w:val="0"/>
      </w:pPr>
      <w:r>
        <w:t>四、诊断与执行双路径设计</w:t>
      </w:r>
    </w:p>
    <w:p w14:paraId="1B80C25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同一条运维请求在完成感知与诊断后，根据是否涉及系统变更分为两条路径。只读诊断路径输出证据、根因判断和处置建议后结束；执行路径继续生成结构化计划，经过风险裁决、人工确认、受控执行和结果验证。</w:t>
      </w:r>
    </w:p>
    <w:p w14:paraId="2C51A1F8">
      <w:pPr>
        <w:keepNext/>
        <w:jc w:val="center"/>
      </w:pPr>
      <w:r>
        <w:drawing>
          <wp:inline distT="0" distB="0" distL="114300" distR="114300">
            <wp:extent cx="5806440" cy="2787015"/>
            <wp:effectExtent l="0" t="0" r="3810" b="3810"/>
            <wp:docPr id="22" name="Picture 22" descr="诊断与执行双路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诊断与执行双路径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824B">
      <w:pPr>
        <w:spacing w:before="40" w:after="120"/>
        <w:jc w:val="center"/>
      </w:pPr>
      <w:r>
        <w:rPr>
          <w:rFonts w:ascii="Times New Roman" w:hAnsi="Times New Roman" w:eastAsia="楷体"/>
          <w:sz w:val="24"/>
        </w:rPr>
        <w:t>图2-2  诊断与执行双路径</w:t>
      </w:r>
    </w:p>
    <w:p w14:paraId="729A73A3">
      <w:pPr>
        <w:pStyle w:val="4"/>
        <w:keepNext/>
        <w:pageBreakBefore w:val="0"/>
      </w:pPr>
      <w:r>
        <w:t>五、系统总体工作流程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671D8F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1215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w="4649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993F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</w:t>
            </w:r>
          </w:p>
        </w:tc>
        <w:tc>
          <w:tcPr>
            <w:tcW w:w="311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EC7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主要产物</w:t>
            </w:r>
          </w:p>
        </w:tc>
      </w:tr>
      <w:tr w14:paraId="3593EFF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B6EE0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RECEIVE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22B4B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登记运维请求和本次会话上下文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83CFD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instruction、traceId</w:t>
            </w:r>
          </w:p>
        </w:tc>
      </w:tr>
      <w:tr w14:paraId="292429B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167B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INJECTION_GUARD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BBCCD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识别提示词注入和越权诱导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2B25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InjectionResult</w:t>
            </w:r>
          </w:p>
        </w:tc>
      </w:tr>
      <w:tr w14:paraId="4EFA56D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C1D7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SENSE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D8A0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按需采集操作系统实时状态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4C88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sensed、evidenceMeta</w:t>
            </w:r>
          </w:p>
        </w:tc>
      </w:tr>
      <w:tr w14:paraId="4AB6907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30DA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DISK_CANDIDATE_GATE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246E6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对磁盘清理目标分级并等待人工选择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B4801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候选文件、selectedTargets</w:t>
            </w:r>
          </w:p>
        </w:tc>
      </w:tr>
      <w:tr w14:paraId="5679377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82AB4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RETRIEVE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6F897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检索本地运维知识与版本化规则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E32B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Evidence列表</w:t>
            </w:r>
          </w:p>
        </w:tc>
      </w:tr>
      <w:tr w14:paraId="775BC3F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BD40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REASON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0F4E0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形成诊断假设和候选处置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D14F2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PlanResult</w:t>
            </w:r>
          </w:p>
        </w:tc>
      </w:tr>
      <w:tr w14:paraId="6D191A9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437E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PLAN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A1AD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拆解观察、变更和验证任务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9884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OpsExecutionPlan</w:t>
            </w:r>
          </w:p>
        </w:tc>
      </w:tr>
      <w:tr w14:paraId="684C312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3CB2F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GUARD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21E5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逐项进行四级风险裁决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3D340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RiskDecision</w:t>
            </w:r>
          </w:p>
        </w:tc>
      </w:tr>
      <w:tr w14:paraId="0FC2C31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BB15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CROSS_TURN_GUARD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60237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校验意图一致性并累计会话风险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0043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动态风险、会话能力状态</w:t>
            </w:r>
          </w:p>
        </w:tc>
      </w:tr>
      <w:tr w14:paraId="417582F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E8FC0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EXECUTE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48E6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在确认后最小权限执行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063C4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ExecResult</w:t>
            </w:r>
          </w:p>
        </w:tc>
      </w:tr>
      <w:tr w14:paraId="65ED701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D3792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ANALYZE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D89ED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结合执行证据输出事实结论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BF4FF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analysis、status</w:t>
            </w:r>
          </w:p>
        </w:tc>
      </w:tr>
    </w:tbl>
    <w:p w14:paraId="3F61B581">
      <w:pPr>
        <w:spacing w:after="0"/>
      </w:pPr>
    </w:p>
    <w:p w14:paraId="373A0008">
      <w:pPr>
        <w:pStyle w:val="4"/>
        <w:keepNext/>
        <w:pageBreakBefore w:val="0"/>
      </w:pPr>
      <w:r>
        <w:t>六、技术架构与运行环境</w:t>
      </w:r>
    </w:p>
    <w:p w14:paraId="1B4354FC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后端基于Java 17与Spring Boot实现，使用ProcessBuilder以argv数组方式调用系统命令；前端采用轻量静态页面展示会话和链路。系统支持国产大模型兼容接口与主备模型切换，并在模型不可用或不支持工具调用时降级为确定性只读感知，保证基础诊断链路不中断。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3B66C5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6D06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运行基线</w:t>
            </w:r>
          </w:p>
        </w:tc>
        <w:tc>
          <w:tcPr>
            <w:tcW w:w="7540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A385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设计约束</w:t>
            </w:r>
          </w:p>
        </w:tc>
      </w:tr>
      <w:tr w14:paraId="0460582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A31C4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命令边界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576F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固定argv调用，不将模型自然语言直接交给Shell。</w:t>
            </w:r>
          </w:p>
        </w:tc>
      </w:tr>
      <w:tr w14:paraId="0BA1E05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45D5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模型可用性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0185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主备模型故障切换；不可用时保留确定性只读感知。</w:t>
            </w:r>
          </w:p>
        </w:tc>
      </w:tr>
      <w:tr w14:paraId="343C5A9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74A2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接口信任边界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9C8E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默认绑定127.0.0.1；对外监听必须启用API Token。</w:t>
            </w:r>
          </w:p>
        </w:tc>
      </w:tr>
      <w:tr w14:paraId="73DED01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6723D">
            <w:pPr>
              <w:jc w:val="center"/>
            </w:pPr>
            <w:r>
              <w:rPr>
                <w:rFonts w:ascii="Times New Roman" w:hAnsi="Times New Roman" w:eastAsia="宋体"/>
                <w:sz w:val="19"/>
              </w:rPr>
              <w:t>状态持久化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A68D5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待确认计划、回滚账本和审计链写入状态目录。</w:t>
            </w:r>
          </w:p>
        </w:tc>
      </w:tr>
    </w:tbl>
    <w:p w14:paraId="5A7C0BDB">
      <w:pPr>
        <w:spacing w:after="0"/>
      </w:pPr>
    </w:p>
    <w:p w14:paraId="3EC3B351">
      <w:pPr>
        <w:pStyle w:val="2"/>
        <w:keepNext/>
        <w:pageBreakBefore/>
      </w:pPr>
      <w:bookmarkStart w:id="2" w:name="_Toc24603"/>
      <w:r>
        <w:t>核心功能模块设计</w:t>
      </w:r>
      <w:bookmarkEnd w:id="2"/>
    </w:p>
    <w:p w14:paraId="079B083D">
      <w:pPr>
        <w:pStyle w:val="4"/>
        <w:keepNext/>
        <w:pageBreakBefore w:val="0"/>
      </w:pPr>
      <w:r>
        <w:t>一、自然语言交互与任务编排</w:t>
      </w:r>
    </w:p>
    <w:p w14:paraId="0A96003B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运维请求接收</w:t>
      </w:r>
    </w:p>
    <w:p w14:paraId="501EFEE7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运维人员在收到现有监控告警或发现异常后，以自然语言描述现象、影响范围和期望目标。系统为请求生成traceId，并将原始诉求、本次会话和后续证据统一关联。对话语义可以在本次会话内延续，但任何执行授权都不会随对话自动延续。</w:t>
      </w:r>
    </w:p>
    <w:p w14:paraId="2E543645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任务状态编排</w:t>
      </w:r>
    </w:p>
    <w:p w14:paraId="516B17D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AgentRunner按照固定节点顺序推进任务，每个节点输出阶段、代理名称、输入摘要、输出摘要、模型信息、耗时和状态。节点可以在命中注入或红线时提前终止，避免后续推理和执行继续运行。</w:t>
      </w:r>
    </w:p>
    <w:p w14:paraId="7548B558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人在回路交互</w:t>
      </w:r>
    </w:p>
    <w:p w14:paraId="6F2BA3C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当计划包含变更操作时，控制台展示目标对象、拟执行步骤、风险等级、预期影响、备份与验证条件。运维人员可以确认、拒绝、重新感知或只执行只读检查；确认仅对当前计划有效。</w:t>
      </w:r>
    </w:p>
    <w:p w14:paraId="230BF381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候选目标交互</w:t>
      </w:r>
    </w:p>
    <w:p w14:paraId="4DBB6A1D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磁盘清理类请求采用“候选展示—人工选择—计划确认”三段式交互。系统先返回经服务端分级的文件候选，运维人员只能从候选中选择目标；服务端核验所选目标仍属于原候选子集后，才生成与具体文件绑定的处置计划。</w:t>
      </w:r>
    </w:p>
    <w:p w14:paraId="640F4559">
      <w:pPr>
        <w:pStyle w:val="4"/>
        <w:keepNext/>
        <w:pageBreakBefore w:val="0"/>
      </w:pPr>
      <w:r>
        <w:t>二、操作系统按需感知与主动巡检</w:t>
      </w:r>
    </w:p>
    <w:p w14:paraId="4BE4A80E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渐进式按需感知</w:t>
      </w:r>
    </w:p>
    <w:p w14:paraId="457D712B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真实模型支持工具调用时，系统使用ReAct循环由模型根据当前证据选择下一项只读工具及参数。例如磁盘告警先调用system_sense获取主机概况，再调用disk_sense定位文件系统和大文件候选；发现日志或网络异常线索时，再继续调用log_sense或network_sense。</w:t>
      </w:r>
    </w:p>
    <w:p w14:paraId="2F53F8A4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确定性感知降级</w:t>
      </w:r>
    </w:p>
    <w:p w14:paraId="511461FE">
      <w:pPr>
        <w:widowControl/>
        <w:spacing w:before="0" w:after="120" w:line="348" w:lineRule="auto"/>
        <w:ind w:firstLine="480"/>
        <w:jc w:val="both"/>
      </w:pPr>
      <w:r>
        <w:rPr>
          <w:rFonts w:ascii="宋体" w:hAnsi="宋体" w:eastAsia="宋体"/>
          <w:sz w:val="24"/>
        </w:rPr>
        <w:t>当模型不支持工具调用或 ReAct 调用异常时，系统直接遍历注册表中的 7 个被动只读工具完成全量感知。该路径不依赖模型自主决策，可在保障运维可用性的同时，保持诊断证据来源的确定性。</w:t>
      </w:r>
    </w:p>
    <w:p w14:paraId="1C11880A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主动健康巡检</w:t>
      </w:r>
    </w:p>
    <w:p w14:paraId="42680819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health_inspect用于主动或定时体检，对磁盘、内存、负载、僵尸进程和错误日志等指标进行阈值分级。主动巡检不混入普通被动感知，由用户主动触发或按部署策略定时执行。</w:t>
      </w:r>
    </w:p>
    <w:p w14:paraId="0AC7FADD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证据新鲜度</w:t>
      </w:r>
    </w:p>
    <w:p w14:paraId="661A4499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执行依据优先使用当前任务重新采集的动态证据。操作系统类型等静态环境信息可以复用；历史处置记录只作为解释和参考，不能替代变更前的实时状态复核。</w:t>
      </w:r>
    </w:p>
    <w:p w14:paraId="3076CD57">
      <w:pPr>
        <w:pStyle w:val="4"/>
        <w:keepNext/>
        <w:pageBreakBefore w:val="0"/>
      </w:pPr>
      <w:r>
        <w:t>三、MCP受控运维能力层</w:t>
      </w:r>
    </w:p>
    <w:p w14:paraId="128B1B58">
      <w:pPr>
        <w:shd w:val="clear" w:fill="F3F3F3"/>
        <w:spacing w:before="80" w:after="100"/>
        <w:ind w:left="312" w:right="198" w:firstLine="0"/>
        <w:jc w:val="both"/>
      </w:pPr>
      <w:r>
        <w:rPr>
          <w:rFonts w:ascii="Times New Roman" w:hAnsi="Times New Roman" w:eastAsia="楷体"/>
          <w:b/>
          <w:sz w:val="24"/>
        </w:rPr>
        <w:t>功能定位：</w:t>
      </w:r>
      <w:r>
        <w:rPr>
          <w:rFonts w:ascii="Times New Roman" w:hAnsi="Times New Roman" w:eastAsia="楷体"/>
          <w:sz w:val="24"/>
        </w:rPr>
        <w:t>MCP不是附属接口，而是将开放命令空间收敛为可发现、可描述、可分类、可授权、可审计的受控运维能力总线。</w:t>
      </w:r>
    </w:p>
    <w:p w14:paraId="6946CE2A">
      <w:pPr>
        <w:keepNext/>
        <w:jc w:val="center"/>
      </w:pPr>
      <w:r>
        <w:drawing>
          <wp:inline distT="0" distB="0" distL="114300" distR="114300">
            <wp:extent cx="5806440" cy="3173730"/>
            <wp:effectExtent l="0" t="0" r="3810" b="7620"/>
            <wp:docPr id="23" name="Picture 23" descr="MCP受控运维能力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MCP受控运维能力层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1E9C">
      <w:pPr>
        <w:spacing w:before="40" w:after="120"/>
        <w:jc w:val="center"/>
      </w:pPr>
      <w:r>
        <w:rPr>
          <w:rFonts w:ascii="Times New Roman" w:hAnsi="Times New Roman" w:eastAsia="楷体"/>
          <w:sz w:val="24"/>
        </w:rPr>
        <w:t>图3-1  MCP受控运维能力层</w:t>
      </w:r>
    </w:p>
    <w:p w14:paraId="7E48C079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工具统一抽象与自动注册</w:t>
      </w:r>
    </w:p>
    <w:p w14:paraId="4A2556D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所有运维工具实现统一的AgentTool抽象，声明名称、功能描述、输入模式、安全注解和执行逻辑。Spring容器启动时由ToolRegistry自动收集工具，无需在协议层重复编写注册代码。</w:t>
      </w:r>
    </w:p>
    <w:p w14:paraId="10404AA5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面向调用主体的能力视图</w:t>
      </w:r>
    </w:p>
    <w:p w14:paraId="35441EBE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内部ReAct感知只获得7个被动只读工具，主动巡检与变更工具在能力提供阶段即被排除。外部MCP客户端可以发现全部11个工具，但工具可发现性不代表执行权限；变更调用必须进入计划确认或MCP二次确认链路。</w:t>
      </w:r>
    </w:p>
    <w:p w14:paraId="444A13E7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内外统一与双通道接入</w:t>
      </w:r>
    </w:p>
    <w:p w14:paraId="19A39643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内部Agent通过McpDispatcher构造JSON-RPC tools/call完成按需感知；外部客户端可通过HTTP端点或stdio进程访问同一调度核心。两种入口共享工具注册、参数校验、错误语义、输出脱敏和审计规则。</w:t>
      </w:r>
    </w:p>
    <w:p w14:paraId="1F934037">
      <w:pPr>
        <w:pStyle w:val="4"/>
        <w:keepNext/>
        <w:pageBreakBefore w:val="0"/>
      </w:pPr>
      <w:r>
        <w:t>四、证据驱动的故障诊断与处置规划</w:t>
      </w:r>
    </w:p>
    <w:p w14:paraId="636FAA93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多源证据汇聚</w:t>
      </w:r>
    </w:p>
    <w:p w14:paraId="4D13315A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将实时感知结果、本地麒麟/LoongArch运维知识库和版本化安全规则组织为可引用Evidence。近期会话证据保留在边界明确的任务快照中，但不把历史会话文本写入检索语料，避免提示词注入内容反向污染后续判断。诊断结果必须说明关键指标、日志片段、时间关系和判断依据。</w:t>
      </w:r>
    </w:p>
    <w:p w14:paraId="11EDBAA8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磁盘候选门禁与目标选择</w:t>
      </w:r>
    </w:p>
    <w:p w14:paraId="7537CCE2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DiskCandidateGateNode仅在磁盘意图命中且存在多个达到阈值的候选文件时暂停后续规划。候选按禁止操作、隐私敏感、谨慎处理和建议处理四档分类；正在写入、关键路径或高敏目标不可选择，提交目标还必须是服务器原候选集的子集。</w:t>
      </w:r>
    </w:p>
    <w:p w14:paraId="77B00CF9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结构化任务规划</w:t>
      </w:r>
    </w:p>
    <w:p w14:paraId="63FF0953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ExecutionPlanner将候选方案拆分为OBSERVE、CHANGE和VERIFY三类任务，每项任务包含目的、依赖关系、证据引用、预期风险和执行状态。计划层只负责表达方案，不拥有放行权。</w:t>
      </w:r>
    </w:p>
    <w:p w14:paraId="72591A13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跨源根因分析</w:t>
      </w:r>
    </w:p>
    <w:p w14:paraId="6B83E71C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对于磁盘、服务、进程和数据库等复合问题，系统在相近时间窗口内关联指标与日志，区分直接现象、可能根因和待验证假设。证据不足时输出补充检查建议，不将推测写成已确认事实。</w:t>
      </w:r>
    </w:p>
    <w:p w14:paraId="6549D4FC">
      <w:pPr>
        <w:pStyle w:val="4"/>
        <w:keepNext/>
        <w:pageBreakBefore w:val="0"/>
      </w:pPr>
      <w:r>
        <w:t>五、安全意图识别与红线阻断</w:t>
      </w:r>
    </w:p>
    <w:p w14:paraId="2EA75B25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提示词注入检测</w:t>
      </w:r>
    </w:p>
    <w:p w14:paraId="7E7F278A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系统在推理前检测“忽略规则”“以root身份执行”“绕过确认”等中英文越权诱导。命中后立即停止后续链路，并记录原始请求、命中规则和阻断结果。</w:t>
      </w:r>
    </w:p>
    <w:p w14:paraId="70195385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四级风险裁决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0227DA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87D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风险级别</w:t>
            </w:r>
          </w:p>
        </w:tc>
        <w:tc>
          <w:tcPr>
            <w:tcW w:w="4139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D8C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判定含义</w:t>
            </w:r>
          </w:p>
        </w:tc>
        <w:tc>
          <w:tcPr>
            <w:tcW w:w="3572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6108F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系统行为</w:t>
            </w:r>
          </w:p>
        </w:tc>
      </w:tr>
      <w:tr w14:paraId="251F22D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26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READONLY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D4E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仅采集状态，不修改系统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4AB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可在当前任务中直接执行并记录证据</w:t>
            </w:r>
          </w:p>
        </w:tc>
      </w:tr>
      <w:tr w14:paraId="5FC67F9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1C2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EXECUTABLE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10EF8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一般变更，影响范围明确且可验证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B1AC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展示计划，等待人工确认</w:t>
            </w:r>
          </w:p>
        </w:tc>
      </w:tr>
      <w:tr w14:paraId="62E63A5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4C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IRREVERSIBLE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086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高影响或恢复困难的变更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D5B6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强化确认、备份和恢复条件</w:t>
            </w:r>
          </w:p>
        </w:tc>
      </w:tr>
      <w:tr w14:paraId="31C3085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8A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BLOCK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490B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命中不可接受安全红线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44D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明确拒绝，任何会话确认均不能放行</w:t>
            </w:r>
          </w:p>
        </w:tc>
      </w:tr>
    </w:tbl>
    <w:p w14:paraId="10BB0F66">
      <w:pPr>
        <w:spacing w:after="0"/>
      </w:pPr>
    </w:p>
    <w:p w14:paraId="030942D7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安全红线范围</w:t>
      </w:r>
    </w:p>
    <w:p w14:paraId="623031C6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红线覆盖破坏操作系统关键功能、删除或篡改核心与敏感数据、窃取隐私和凭据、植入后门、横向攻击、规避审计、提升权限、破坏备份与恢复能力等行为。对数据库目录、认证日志、审计日志和系统关键路径，Agent只提供风险分析和人工操作建议。</w:t>
      </w:r>
    </w:p>
    <w:p w14:paraId="2CE66EFF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意图一致性交叉校验</w:t>
      </w:r>
    </w:p>
    <w:p w14:paraId="15732CE5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接入真实模型时，IntentConsistencyChecker以独立审计提示检查候选命令是否仍服务于用户原始诉求。语义校验只能提升风险、不能降低确定性规则的判定；校验不可用时仍由本地风险规则和执行边界兜底。</w:t>
      </w:r>
    </w:p>
    <w:p w14:paraId="62110DC2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跨轮渐进式威胁检测</w:t>
      </w:r>
    </w:p>
    <w:p w14:paraId="4AF86EF7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CrossTurnThreatMonitor在当前个人会话内累计注入命中、风险升级、操作目标跳变和弱越权信号，并对正常轮次按规则衰减。累计可疑度达到阈值后，本次会话降级为只读诊断，后续对话不能自行解除。</w:t>
      </w:r>
    </w:p>
    <w:p w14:paraId="63A6D8A3">
      <w:pPr>
        <w:pStyle w:val="4"/>
        <w:keepNext/>
        <w:pageBreakBefore w:val="0"/>
      </w:pPr>
      <w:r>
        <w:t>六、人工确认与最小权限执行</w:t>
      </w:r>
    </w:p>
    <w:p w14:paraId="5CB0365D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个人Agent计划确认</w:t>
      </w:r>
    </w:p>
    <w:p w14:paraId="6EAF9ECA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系统把待确认计划与traceId及原会话绑定并持久化保存。只有服务端仍缓存的原计划才能确认；首次请求直接携带confirm=true、伪造traceId、切换会话或改变目标均不能绕过确认门。</w:t>
      </w:r>
    </w:p>
    <w:p w14:paraId="6FB87C3A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两类确认链路</w:t>
      </w:r>
    </w:p>
    <w:p w14:paraId="49040D8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个人Agent对已生成计划执行会话内确认；直接调用MCP变更工具时，首次调用仅返回REVIEW_PENDING和pendingMutationId，第二次提交相同工具及完整argv后才可继续。二者共享红线、最小权限、验证和审计机制，但不混用同一种授权凭据。</w:t>
      </w:r>
    </w:p>
    <w:p w14:paraId="047CC7AB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最小权限与结构化执行</w:t>
      </w:r>
    </w:p>
    <w:p w14:paraId="77640375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命令以固定argv数组交给ProcessBuilder，不经过Shell解释；系统可使用受限运行账户并配置sudo降权。执行器限制超时、工作目录、单次最大步骤和输出预览大小，完整stdout/stderr流式写入审计目录。</w:t>
      </w:r>
    </w:p>
    <w:p w14:paraId="3633A757">
      <w:pPr>
        <w:pStyle w:val="4"/>
        <w:keepNext/>
        <w:pageBreakBefore w:val="0"/>
      </w:pPr>
      <w:r>
        <w:t>七、执行验证与受控恢复</w:t>
      </w:r>
    </w:p>
    <w:p w14:paraId="4522C287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执行前保护</w:t>
      </w:r>
    </w:p>
    <w:p w14:paraId="2DA489AA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变更前重新检查目标状态，由PreChangeBackup根据操作类型建立配置备份或恢复依据，并把恢复信息写入持久化RollbackLedger。高影响真实变更在无法建立必要备份或快照时停止执行。</w:t>
      </w:r>
    </w:p>
    <w:p w14:paraId="598F35EA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执行后验证</w:t>
      </w:r>
    </w:p>
    <w:p w14:paraId="18FBAA17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每类变更定义对应的后置条件。服务重启后检查活动状态；日志处理后核验归档、活动文件和同一文件系统空间；配置备份后核验目标副本。验证证据不足时不会返回“完成并验证通过”。</w:t>
      </w:r>
    </w:p>
    <w:p w14:paraId="5E192417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结果状态契约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B02502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D1F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  <w:tc>
          <w:tcPr>
            <w:tcW w:w="7143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D768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准确含义</w:t>
            </w:r>
          </w:p>
        </w:tc>
      </w:tr>
      <w:tr w14:paraId="3470A83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72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OBSERVED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CE0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只读检查完成，系统状态未被修改。</w:t>
            </w:r>
          </w:p>
        </w:tc>
      </w:tr>
      <w:tr w14:paraId="2B27540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F49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REVIEW_PENDING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EB7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计划已生成，正在等待人工确认。</w:t>
            </w:r>
          </w:p>
        </w:tc>
      </w:tr>
      <w:tr w14:paraId="08F2836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B4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BLOCKED / INJECTION_BLOCKED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C81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被红线或提示词注入规则阻断。</w:t>
            </w:r>
          </w:p>
        </w:tc>
      </w:tr>
      <w:tr w14:paraId="5F6531C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F3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DRY_RUN_COMPLETED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7E6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模拟执行完成，未产生真实系统变更。</w:t>
            </w:r>
          </w:p>
        </w:tc>
      </w:tr>
      <w:tr w14:paraId="3465CA1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99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EXECUTION_FAILED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24DB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真实执行未成功完成。</w:t>
            </w:r>
          </w:p>
        </w:tc>
      </w:tr>
      <w:tr w14:paraId="43B80C8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E33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EXECUTED_UNVERIFIED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FC1BA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已执行，但缺少充分的验证证据。</w:t>
            </w:r>
          </w:p>
        </w:tc>
      </w:tr>
      <w:tr w14:paraId="69692FD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7A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VERIFY_FAILED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360A7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已执行，后置条件验证未通过。</w:t>
            </w:r>
          </w:p>
        </w:tc>
      </w:tr>
      <w:tr w14:paraId="7072104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AC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VERIFIED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3BF5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真实执行完成，且后置条件验证通过。</w:t>
            </w:r>
          </w:p>
        </w:tc>
      </w:tr>
    </w:tbl>
    <w:p w14:paraId="256DAD3A">
      <w:pPr>
        <w:spacing w:after="0"/>
      </w:pPr>
    </w:p>
    <w:p w14:paraId="19153F43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断点续接与一键回滚</w:t>
      </w:r>
    </w:p>
    <w:p w14:paraId="27112605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待确认计划与回滚账本以JSONL写入状态目录，服务重启后仍可按原traceId恢复安全上下文。用户可从POST /api/ops/rollback/{traceId}发起一键回滚；补偿步骤由服务端账本生成，并再次经过护栏、确认、执行和结果验证。</w:t>
      </w:r>
    </w:p>
    <w:p w14:paraId="77865423">
      <w:pPr>
        <w:pStyle w:val="4"/>
        <w:keepNext/>
        <w:pageBreakBefore w:val="0"/>
      </w:pPr>
      <w:r>
        <w:t>八、全链路追踪与透明结果呈现</w:t>
      </w:r>
    </w:p>
    <w:p w14:paraId="6AAE8BDC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八类固定展示信息</w:t>
      </w:r>
    </w:p>
    <w:p w14:paraId="3EEB33CB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每次任务统一展示原始请求、实时证据、诊断与依据、结构化计划、风险与原因、人工确认状态、实际执行与验证、最终事实状态和traceId。模型推理摘要不能覆盖执行器返回的真实结果。</w:t>
      </w:r>
    </w:p>
    <w:p w14:paraId="0D16F8C8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三级证据展示</w:t>
      </w:r>
    </w:p>
    <w:p w14:paraId="4084B5F6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控制台按摘要、关键片段和完整链路三个层级组织证据。摘要用于快速判断，关键片段用于核对诊断依据，完整链路用于复盘每个节点的输入、输出、耗时和状态。</w:t>
      </w:r>
    </w:p>
    <w:p w14:paraId="4E5EC202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安全评分与反事实解释</w:t>
      </w:r>
    </w:p>
    <w:p w14:paraId="30B7629A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SecurityScorer将静态风险、动态意图审计和执行保障汇总为可解释评分；CounterfactualAnalyzer对受控或阻断动作说明“若放行可能造成什么影响”。评分与反事实只用于解释安全决策，不替代确定性红线裁决。</w:t>
      </w:r>
    </w:p>
    <w:p w14:paraId="5D1CA575">
      <w:pPr>
        <w:pStyle w:val="2"/>
        <w:keepNext/>
        <w:pageBreakBefore/>
      </w:pPr>
      <w:bookmarkStart w:id="3" w:name="_Toc20634"/>
      <w:r>
        <w:t>面向AI推理不确定性的透明安全闭环设计</w:t>
      </w:r>
      <w:bookmarkEnd w:id="3"/>
    </w:p>
    <w:p w14:paraId="07374ACA">
      <w:pPr>
        <w:pStyle w:val="4"/>
        <w:keepNext/>
        <w:pageBreakBefore w:val="0"/>
      </w:pPr>
      <w:r>
        <w:t>一、AI运维中的不确定性问题</w:t>
      </w:r>
    </w:p>
    <w:p w14:paraId="446DACC0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大模型具有较强的语义理解和安全意识，但其判断仍可能出现事实错误、参数偏差、上下文误解或受提示词注入影响。若模型输出可以直接转化为系统权限，单次错误就可能造成服务中断、数据损坏或隐私泄露。</w:t>
      </w:r>
    </w:p>
    <w:p w14:paraId="4708945A">
      <w:pPr>
        <w:pStyle w:val="4"/>
        <w:keepNext/>
        <w:pageBreakBefore w:val="0"/>
      </w:pPr>
      <w:r>
        <w:t>二、透明安全闭环总体模型</w:t>
      </w:r>
    </w:p>
    <w:p w14:paraId="7C969899">
      <w:pPr>
        <w:keepNext/>
        <w:jc w:val="center"/>
      </w:pPr>
      <w:r>
        <w:drawing>
          <wp:inline distT="0" distB="0" distL="114300" distR="114300">
            <wp:extent cx="5806440" cy="2941320"/>
            <wp:effectExtent l="0" t="0" r="3810" b="1905"/>
            <wp:docPr id="24" name="Picture 24" descr="面向AI推理不确定性的透明安全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面向AI推理不确定性的透明安全闭环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0768">
      <w:pPr>
        <w:spacing w:before="40" w:after="120"/>
        <w:jc w:val="center"/>
      </w:pPr>
      <w:r>
        <w:rPr>
          <w:rFonts w:ascii="Times New Roman" w:hAnsi="Times New Roman" w:eastAsia="楷体"/>
          <w:sz w:val="24"/>
        </w:rPr>
        <w:t>图4-1  面向AI推理不确定性的透明安全闭环</w:t>
      </w:r>
    </w:p>
    <w:p w14:paraId="1C7E3B88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闭环将模型能力限制在理解、工具选择、诊断和建议范围内；能力供给、风险裁决、授权校验、命令执行和结果验证由确定性程序负责。每个阶段都产生可查看的结构化产物，避免安全控制成为不可解释的黑箱。</w:t>
      </w:r>
    </w:p>
    <w:p w14:paraId="7FFB8EA1">
      <w:pPr>
        <w:pStyle w:val="4"/>
        <w:keepNext/>
        <w:pageBreakBefore w:val="0"/>
      </w:pPr>
      <w:r>
        <w:t>三、工具能力提供阶段的读写隔离</w:t>
      </w:r>
    </w:p>
    <w:p w14:paraId="5CF0ED1E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不是等模型生成危险命令后再拦截，而是在ReAct感知阶段只向模型暴露7个被动只读工具。变更工具不进入模型自主感知工具集，从源头降低误调用概率；外部客户端虽然可以发现变更能力，但仍需通过独立确认链路。</w:t>
      </w:r>
    </w:p>
    <w:p w14:paraId="099881D0">
      <w:pPr>
        <w:pStyle w:val="4"/>
        <w:keepNext/>
        <w:pageBreakBefore w:val="0"/>
      </w:pPr>
      <w:r>
        <w:t>四、计划级授权与工具级确认</w:t>
      </w:r>
    </w:p>
    <w:p w14:paraId="71D4212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个人Agent中的变更必须先形成可审阅计划，服务端缓存将计划与traceId和原会话绑定，并把待确认状态持久化；首次请求直接确认、切换会话或改变目标均被拒绝。直接MCP变更调用采用10分钟、单次使用的pendingMutationId，绑定工具名称与完整argv；消费、过期、复用或参数变化后立即失效。</w:t>
      </w:r>
    </w:p>
    <w:p w14:paraId="4E577838">
      <w:pPr>
        <w:pStyle w:val="4"/>
        <w:keepNext/>
        <w:pageBreakBefore w:val="0"/>
      </w:pPr>
      <w:r>
        <w:t>五、跨轮安全与动态意图审计</w:t>
      </w:r>
    </w:p>
    <w:p w14:paraId="0CC0C022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系统在单轮确定性裁决之外增加两道动态检查：语义一致性审计只允许上调风险，跨轮威胁监测累计注入、风险升级和目标跳变等信号。两者不能覆盖本地红线规则；会话达到阈值后只保留诊断能力。</w:t>
      </w:r>
    </w:p>
    <w:p w14:paraId="0071F956">
      <w:pPr>
        <w:pStyle w:val="4"/>
        <w:keepNext/>
        <w:pageBreakBefore w:val="0"/>
      </w:pPr>
      <w:r>
        <w:t>六、不可会话放行的安全红线</w:t>
      </w:r>
    </w:p>
    <w:p w14:paraId="737E8B67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人工确认只用于决定是否执行可接受的变更，不能改变红线行为的性质。涉及核心数据库目录、系统启动链、认证凭据、隐私窃取、破坏备份、攻击扩散等操作时，Agent明确拒绝代替执行，也不提供通过换说法、重复确认或角色诱导绕过的方法。</w:t>
      </w:r>
    </w:p>
    <w:p w14:paraId="74738CFA">
      <w:pPr>
        <w:pStyle w:val="4"/>
        <w:keepNext/>
        <w:pageBreakBefore/>
      </w:pPr>
      <w:r>
        <w:t>七、执行前、执行中与执行后控制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6CDB0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969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控制阶段</w:t>
            </w:r>
          </w:p>
        </w:tc>
        <w:tc>
          <w:tcPr>
            <w:tcW w:w="3969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5BF3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主要控制</w:t>
            </w:r>
          </w:p>
        </w:tc>
        <w:tc>
          <w:tcPr>
            <w:tcW w:w="379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BC97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透明产物</w:t>
            </w:r>
          </w:p>
        </w:tc>
      </w:tr>
      <w:tr w14:paraId="786A7FF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5DA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E97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证据刷新、目标核验、风险裁决、计划绑定、备份与回滚登记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E5BA2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实时状态、计划摘要、风险原因、恢复位置</w:t>
            </w:r>
          </w:p>
        </w:tc>
      </w:tr>
      <w:tr w14:paraId="45D6AC3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F1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执行中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EE6C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固定argv、最小权限、超时、步骤上限、输出审计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8C23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实际命令、执行账户、耗时、stdout/stderr摘要</w:t>
            </w:r>
          </w:p>
        </w:tc>
      </w:tr>
      <w:tr w14:paraId="6082972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44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执行后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526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后置条件验证、状态归一、账本持久化和受控回滚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155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验证证据、最终状态、traceId、回滚入口</w:t>
            </w:r>
          </w:p>
        </w:tc>
      </w:tr>
    </w:tbl>
    <w:p w14:paraId="3C81D042">
      <w:pPr>
        <w:spacing w:after="0"/>
      </w:pPr>
    </w:p>
    <w:p w14:paraId="76AAE795">
      <w:pPr>
        <w:pStyle w:val="4"/>
        <w:keepNext/>
        <w:pageBreakBefore w:val="0"/>
      </w:pPr>
      <w:r>
        <w:t>八、结果真实性与状态契约</w:t>
      </w:r>
    </w:p>
    <w:p w14:paraId="57AE91C2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系统以执行器和验证器事实为最终依据。DRY_RUN_COMPLETED不等于真实执行，EXECUTED_UNVERIFIED不等于成功验证，只有VERIFIED可以表述为“完成并验证通过”。同步接口、SSE、追踪链和报告导出复用同一状态解析规则。</w:t>
      </w:r>
    </w:p>
    <w:p w14:paraId="5BBE6BB1">
      <w:pPr>
        <w:pStyle w:val="4"/>
        <w:keepNext/>
        <w:pageBreakBefore w:val="0"/>
      </w:pPr>
      <w:r>
        <w:t>九、安全闭环的创新价值</w:t>
      </w:r>
    </w:p>
    <w:p w14:paraId="15E0B4CD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传统运维工具强调执行，通用大模型助手强调交互；智御将两者之间缺失的确定性控制层作为核心设计。通过能力裁剪、候选目标门禁、意图交叉校验、跨轮风险累积、两类确认链路、可解释安全评分和持久化恢复，系统把不可控推理限制在可审查、可拒绝、可验证、可恢复的边界内。</w:t>
      </w:r>
    </w:p>
    <w:p w14:paraId="4B1C6150">
      <w:pPr>
        <w:pStyle w:val="2"/>
        <w:keepNext/>
        <w:pageBreakBefore/>
      </w:pPr>
      <w:bookmarkStart w:id="4" w:name="_Toc8557"/>
      <w:r>
        <w:t>典型业务流程设计</w:t>
      </w:r>
      <w:bookmarkEnd w:id="4"/>
    </w:p>
    <w:p w14:paraId="1B9A6E0A">
      <w:pPr>
        <w:pStyle w:val="4"/>
        <w:keepNext/>
        <w:pageBreakBefore w:val="0"/>
      </w:pPr>
      <w:r>
        <w:t>一、从监控告警到Agent辅助处置的总体流程</w:t>
      </w:r>
    </w:p>
    <w:p w14:paraId="4471C7B3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智御不替代企业现有监控平台。运维人员收到磁盘、服务、进程或IO告警后，进入个人Agent会话描述现象。Agent围绕告警对象按需采集状态，输出诊断依据和结构化建议；只有在运维人员明确选择执行后才进入变更链路。</w:t>
      </w:r>
    </w:p>
    <w:p w14:paraId="0710BA12">
      <w:pPr>
        <w:pStyle w:val="4"/>
        <w:keepNext/>
        <w:pageBreakBefore w:val="0"/>
      </w:pPr>
      <w:r>
        <w:t>二、僵尸进程异常的只读诊断流程</w:t>
      </w:r>
    </w:p>
    <w:p w14:paraId="43732807">
      <w:pPr>
        <w:numPr>
          <w:ilvl w:val="0"/>
          <w:numId w:val="3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调用system_sense采集系统版本、运行时长、内存与负载概况。</w:t>
      </w:r>
    </w:p>
    <w:p w14:paraId="397164BC">
      <w:pPr>
        <w:numPr>
          <w:ilvl w:val="0"/>
          <w:numId w:val="3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调用process_sense采集僵尸进程数量、父进程关系和资源状态。</w:t>
      </w:r>
    </w:p>
    <w:p w14:paraId="60BDB936">
      <w:pPr>
        <w:numPr>
          <w:ilvl w:val="0"/>
          <w:numId w:val="3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结合系统负载、服务状态和近期日志判断是孤立现象还是服务级异常。</w:t>
      </w:r>
    </w:p>
    <w:p w14:paraId="2C0DBDBB">
      <w:pPr>
        <w:numPr>
          <w:ilvl w:val="0"/>
          <w:numId w:val="3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输出可能根因、影响范围和建议检查项；默认不自动杀进程或重启服务。</w:t>
      </w:r>
    </w:p>
    <w:p w14:paraId="08C226AF">
      <w:pPr>
        <w:numPr>
          <w:ilvl w:val="0"/>
          <w:numId w:val="3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若用户要求进一步处置，重新生成独立变更计划并进入人工确认。</w:t>
      </w:r>
    </w:p>
    <w:p w14:paraId="505F475B">
      <w:pPr>
        <w:pStyle w:val="4"/>
        <w:keepNext/>
        <w:pageBreakBefore w:val="0"/>
      </w:pPr>
      <w:r>
        <w:t>三、磁盘空间异常与真实日志处理流程</w:t>
      </w:r>
    </w:p>
    <w:p w14:paraId="79A5898E">
      <w:pPr>
        <w:keepNext/>
        <w:jc w:val="center"/>
      </w:pPr>
      <w:r>
        <w:drawing>
          <wp:inline distT="0" distB="0" distL="114300" distR="114300">
            <wp:extent cx="5806440" cy="3289935"/>
            <wp:effectExtent l="0" t="0" r="3810" b="5715"/>
            <wp:docPr id="25" name="Picture 25" descr="磁盘告警与真实日志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磁盘告警与真实日志处理流程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3702">
      <w:pPr>
        <w:spacing w:before="40" w:after="120"/>
        <w:jc w:val="center"/>
      </w:pPr>
      <w:r>
        <w:rPr>
          <w:rFonts w:ascii="Times New Roman" w:hAnsi="Times New Roman" w:eastAsia="楷体"/>
          <w:sz w:val="24"/>
        </w:rPr>
        <w:t>图5-1  磁盘告警与真实日志处理流程</w:t>
      </w:r>
    </w:p>
    <w:p w14:paraId="4EED183F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精准目标定位</w:t>
      </w:r>
    </w:p>
    <w:p w14:paraId="63F3DA73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disk_sense先确定告警对应文件系统和热点目录，返回按大小排序的文件级候选。DiskCandidateGateNode按禁止操作、隐私敏感、谨慎处理和建议处理四档分级，由运维人员选择目标；服务端确认所选目标仍是原候选子集后才重新规划。执行前再次拒绝符号链接、缺失文件、非普通文件、数据库文件和系统核心数据。</w:t>
      </w:r>
    </w:p>
    <w:p w14:paraId="5433079B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真实日志轮转</w:t>
      </w:r>
    </w:p>
    <w:p w14:paraId="625942FE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log_rotate默认处于dry-run；显式将OPS_EXEC_DRY_RUN=false切换为LIVE后，工具以固定argv执行cp -p生成时间戳归档，并且只在归档成功后执行truncate -s 0。任一步真实失败即终止后续操作；高影响或敏感日志只给出人工处置建议。</w:t>
      </w:r>
    </w:p>
    <w:p w14:paraId="2C07EE61">
      <w:pPr>
        <w:pStyle w:val="13"/>
        <w:keepNext/>
        <w:spacing w:before="180" w:after="60"/>
        <w:ind w:left="425"/>
      </w:pPr>
      <w:r>
        <w:rPr>
          <w:rFonts w:ascii="Times New Roman" w:hAnsi="Times New Roman" w:eastAsia="黑体"/>
          <w:b/>
          <w:sz w:val="28"/>
        </w:rPr>
        <w:t>执行后空间复核</w:t>
      </w:r>
    </w:p>
    <w:p w14:paraId="2B14227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LIVE模式使用stat -c%s同时核验活动日志已归零和时间戳归档已生成，并展示执行前后的df -h证据。系统把动作正确性与磁盘压力变化分开呈现，依据真实证据返回VERIFIED、VERIFY_FAILED或EXECUTED_UNVERIFIED。</w:t>
      </w:r>
    </w:p>
    <w:p w14:paraId="000D9198">
      <w:pPr>
        <w:pStyle w:val="4"/>
        <w:keepNext/>
        <w:pageBreakBefore w:val="0"/>
      </w:pPr>
      <w:r>
        <w:t>四、服务异常诊断与受控重启流程</w:t>
      </w:r>
    </w:p>
    <w:p w14:paraId="01964111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Agent首先使用system_sense、network_sense和log_sense确认系统负载、监听端口与错误日志，并在结构化只读步骤中调用systemctl status或is-active核对服务状态，避免把所有异常都归结为重启。确需重启时，计划展示服务名称、影响窗口和验证命令；人工确认后执行固定systemctl restart参数，再以is-active验证结果。</w:t>
      </w:r>
    </w:p>
    <w:p w14:paraId="229CC644">
      <w:pPr>
        <w:pStyle w:val="4"/>
        <w:keepNext/>
        <w:pageBreakBefore w:val="0"/>
      </w:pPr>
      <w:r>
        <w:t>五、危险操作与提示词注入阻断流程</w:t>
      </w:r>
    </w:p>
    <w:p w14:paraId="29B87EDD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当请求包含删除数据库目录、格式化磁盘、修改系统认证文件、窃取凭据、关闭审计、反弹Shell或要求忽略安全规则等内容时，入口检测与命令护栏分别进行判定。命中红线后状态固定为BLOCKED或INJECTION_BLOCKED，系统说明阻断原因并保留traceId，不生成可执行确认入口。</w:t>
      </w:r>
    </w:p>
    <w:p w14:paraId="60BB3819">
      <w:pPr>
        <w:pStyle w:val="2"/>
        <w:keepNext/>
        <w:pageBreakBefore/>
      </w:pPr>
      <w:bookmarkStart w:id="5" w:name="_Toc22129"/>
      <w:r>
        <w:t>MCP接口、数据与安全调用设计</w:t>
      </w:r>
      <w:bookmarkEnd w:id="5"/>
    </w:p>
    <w:p w14:paraId="52B4024E">
      <w:pPr>
        <w:pStyle w:val="4"/>
        <w:keepNext/>
        <w:pageBreakBefore w:val="0"/>
      </w:pPr>
      <w:r>
        <w:t>一、MCP功能定位与接入边界</w:t>
      </w:r>
    </w:p>
    <w:p w14:paraId="7AEC878E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MCP层向内部Agent和外部兼容客户端提供统一的运维工具目录。内部Agent主要使用只读工具完成按需感知；外部客户端可以进行能力发现和结构化调用，但不能通过协议入口绕过计划审阅与安全护栏。</w:t>
      </w:r>
    </w:p>
    <w:p w14:paraId="2B72054D">
      <w:pPr>
        <w:pStyle w:val="4"/>
        <w:keepNext/>
        <w:pageBreakBefore w:val="0"/>
      </w:pPr>
      <w:r>
        <w:t>二、工具抽象、自动注册与能力发现</w:t>
      </w:r>
    </w:p>
    <w:p w14:paraId="1863B019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AgentTool定义name、description、inputSchema、annotations和run等统一契约。ToolRegistry自动收集所有工具，McpDispatcher据此生成tools/list响应，并在tools/call中定位工具、校验参数、执行调用和标准化输出。</w:t>
      </w:r>
    </w:p>
    <w:p w14:paraId="30F34988">
      <w:pPr>
        <w:pStyle w:val="4"/>
        <w:keepNext/>
        <w:pageBreakBefore w:val="0"/>
      </w:pPr>
      <w:r>
        <w:t>三、感知、巡检和变更三级工具体系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423C35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6362"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工具</w:t>
            </w:r>
          </w:p>
        </w:tc>
        <w:tc>
          <w:tcPr>
            <w:tcW w:w="1474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68F73"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类别</w:t>
            </w:r>
          </w:p>
        </w:tc>
        <w:tc>
          <w:tcPr>
            <w:tcW w:w="4422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2F6F"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主要能力</w:t>
            </w:r>
          </w:p>
        </w:tc>
        <w:tc>
          <w:tcPr>
            <w:tcW w:w="209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50587"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调用边界</w:t>
            </w:r>
          </w:p>
        </w:tc>
      </w:tr>
      <w:tr w14:paraId="7321196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6762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system_sense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C70AE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15520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采集内核、运行时长、内存与负载概况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FE6E4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2C94F1C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8716C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process_sense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2081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DF226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采集进程、资源占用和僵尸进程信息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31B14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7073CCF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4AF8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disk_sense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32AE9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50D5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采集文件系统容量、路径占用和大文件候选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E4BE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0E54A49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697F3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network_sense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9D16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C2F4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采集监听端口和网络连接状态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0E1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7CBC954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53BEA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log_sense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52597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AC7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按服务和行数采集系统日志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9437F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7C6E74C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39A06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db_sense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5129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A0B9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无凭据采集MySQL/PostgreSQL/Redis进程与连接线索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C36A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1137C59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A11D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metrics_sense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EC396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被动感知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D562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从本机Actuator或Node Exporter读取指标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A1288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内部/外部只读</w:t>
            </w:r>
          </w:p>
        </w:tc>
      </w:tr>
      <w:tr w14:paraId="296D7EA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33A06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health_inspect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DAA3E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主动巡检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B5835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执行多指标健康检查与风险分级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739D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按需/定时/外部</w:t>
            </w:r>
          </w:p>
        </w:tc>
      </w:tr>
      <w:tr w14:paraId="2060CBE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9EA15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config_backup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91596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受控变更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D7C5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为指定配置文件生成时间戳备份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07B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计划绑定后调用</w:t>
            </w:r>
          </w:p>
        </w:tc>
      </w:tr>
      <w:tr w14:paraId="1D06D13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157F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log_rotate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BEE9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受控变更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2C7A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对核验后的日志目标执行安全轮转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3A5C5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计划绑定后调用</w:t>
            </w:r>
          </w:p>
        </w:tc>
      </w:tr>
      <w:tr w14:paraId="58F8C39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05A2">
            <w:pPr>
              <w:jc w:val="center"/>
            </w:pPr>
            <w:r>
              <w:rPr>
                <w:rFonts w:ascii="Times New Roman" w:hAnsi="Times New Roman" w:eastAsia="宋体"/>
                <w:sz w:val="17"/>
              </w:rPr>
              <w:t>service_restart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162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受控变更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240C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重启指定服务并执行状态验证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76119">
            <w:pPr>
              <w:jc w:val="left"/>
            </w:pPr>
            <w:r>
              <w:rPr>
                <w:rFonts w:ascii="Times New Roman" w:hAnsi="Times New Roman" w:eastAsia="宋体"/>
                <w:sz w:val="17"/>
              </w:rPr>
              <w:t>计划绑定后调用</w:t>
            </w:r>
          </w:p>
        </w:tc>
      </w:tr>
    </w:tbl>
    <w:p w14:paraId="5558266B">
      <w:pPr>
        <w:spacing w:after="0"/>
      </w:pPr>
    </w:p>
    <w:p w14:paraId="050F63F5">
      <w:pPr>
        <w:pStyle w:val="4"/>
        <w:keepNext/>
        <w:pageBreakBefore w:val="0"/>
      </w:pPr>
      <w:r>
        <w:t>四、面向不同调用主体的能力视图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4DEFF2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AD3C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调用主体</w:t>
            </w:r>
          </w:p>
        </w:tc>
        <w:tc>
          <w:tcPr>
            <w:tcW w:w="3005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C1F6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可见工具</w:t>
            </w:r>
          </w:p>
        </w:tc>
        <w:tc>
          <w:tcPr>
            <w:tcW w:w="4535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F535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控制方式</w:t>
            </w:r>
          </w:p>
        </w:tc>
      </w:tr>
      <w:tr w14:paraId="1AF8458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66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内部ReAct感知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E95F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7个被动感知工具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CEB5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能力供给阶段排除主动和变更工具</w:t>
            </w:r>
          </w:p>
        </w:tc>
      </w:tr>
      <w:tr w14:paraId="5961B14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EB6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主动巡检模块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6318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health_inspect及只读依赖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F12E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用户触发或定时触发</w:t>
            </w:r>
          </w:p>
        </w:tc>
      </w:tr>
      <w:tr w14:paraId="2F983CB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9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外部MCP客户端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4D81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全部11个工具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39E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发现能力与执行权限分离</w:t>
            </w:r>
          </w:p>
        </w:tc>
      </w:tr>
      <w:tr w14:paraId="6090C8E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E21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外部变更调用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920F3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3个受控变更工具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85360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pendingMutationId二次确认</w:t>
            </w:r>
          </w:p>
        </w:tc>
      </w:tr>
    </w:tbl>
    <w:p w14:paraId="75E17EC6">
      <w:pPr>
        <w:spacing w:after="0"/>
      </w:pPr>
    </w:p>
    <w:p w14:paraId="7C16A019">
      <w:pPr>
        <w:pStyle w:val="4"/>
        <w:keepNext/>
        <w:pageBreakBefore w:val="0"/>
      </w:pPr>
      <w:r>
        <w:t>五、MCP协议方法与双传输通道</w:t>
      </w:r>
    </w:p>
    <w:tbl>
      <w:tblPr>
        <w:tblStyle w:val="1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1DC97F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BC5B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方法/通道</w:t>
            </w:r>
          </w:p>
        </w:tc>
        <w:tc>
          <w:tcPr>
            <w:tcW w:w="7540" w:type="dxa"/>
            <w:shd w:val="clear" w:color="auto" w:fill="E6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371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设计说明</w:t>
            </w:r>
          </w:p>
        </w:tc>
      </w:tr>
      <w:tr w14:paraId="00043F5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FE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initialize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3CD5F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协商协议版本并返回tools能力、服务信息和安全使用说明。</w:t>
            </w:r>
          </w:p>
        </w:tc>
      </w:tr>
      <w:tr w14:paraId="2D9A3E6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05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ping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CFCD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用于客户端心跳检查。</w:t>
            </w:r>
          </w:p>
        </w:tc>
      </w:tr>
      <w:tr w14:paraId="0E85156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FD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tools/list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802B6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返回工具名称、描述、JSON Schema和ToolAnnotations。</w:t>
            </w:r>
          </w:p>
        </w:tc>
      </w:tr>
      <w:tr w14:paraId="00E41B2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12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tools/call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C8BD9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执行指定工具，返回content、structuredContent和isError。</w:t>
            </w:r>
          </w:p>
        </w:tc>
      </w:tr>
      <w:tr w14:paraId="6F85D55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D9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HTTP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16B4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通过POST /mcp/rpc接入，适用于远程或浏览器侧兼容客户端。</w:t>
            </w:r>
          </w:p>
        </w:tc>
      </w:tr>
      <w:tr w14:paraId="5152BB9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FBC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stdio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CE6E">
            <w:pPr>
              <w:jc w:val="left"/>
            </w:pPr>
            <w:r>
              <w:rPr>
                <w:rFonts w:ascii="Times New Roman" w:hAnsi="Times New Roman" w:eastAsia="宋体"/>
                <w:sz w:val="21"/>
              </w:rPr>
              <w:t>以独立标准输入输出进程接入，适用于本地MCP宿主拉起。</w:t>
            </w:r>
          </w:p>
        </w:tc>
      </w:tr>
    </w:tbl>
    <w:p w14:paraId="55671BC2">
      <w:pPr>
        <w:spacing w:after="0"/>
      </w:pPr>
    </w:p>
    <w:p w14:paraId="6C50A175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协议核心支持2024-11-05、2025-03-26和2025-06-18三个版本。HTTP与stdio共用McpDispatcher，统一版本协商、方法分发和结果语义。</w:t>
      </w:r>
    </w:p>
    <w:p w14:paraId="48527CB9">
      <w:pPr>
        <w:pStyle w:val="4"/>
        <w:keepNext/>
        <w:pageBreakBefore w:val="0"/>
      </w:pPr>
      <w:r>
        <w:t>六、工具输入模式与安全属性声明</w:t>
      </w:r>
    </w:p>
    <w:p w14:paraId="2A490056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工具以JSON Schema约束参数类型、必填项、枚举、数值边界和additionalProperties=false。字符串参数经过白名单清洗；ToolAnnotations同步标注只读、破坏性与幂等属性。</w:t>
      </w:r>
    </w:p>
    <w:p w14:paraId="15243E67">
      <w:pPr>
        <w:pStyle w:val="4"/>
        <w:keepNext/>
        <w:pageBreakBefore w:val="0"/>
      </w:pPr>
      <w:r>
        <w:t>七、Agent内部ReAct按需调用</w:t>
      </w:r>
    </w:p>
    <w:p w14:paraId="594C13A6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模型仅接收只读工具规格，并在限定轮次内生成工具名和结构化参数。OpsPipeline通过JSON-RPC tools/call调用McpDispatcher，再将观察结果返回模型；未调用或失败时切换到全量只读感知。</w:t>
      </w:r>
    </w:p>
    <w:p w14:paraId="4691868B">
      <w:pPr>
        <w:pStyle w:val="4"/>
        <w:keepNext/>
        <w:pageBreakBefore w:val="0"/>
      </w:pPr>
      <w:r>
        <w:t>八、外部MCP客户端调用</w:t>
      </w:r>
    </w:p>
    <w:p w14:paraId="269010B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外部客户端通过initialize和tools/list发现能力。只读工具经入口鉴权后调用；变更工具首次调用只返回REVIEW_PENDING和pendingMutationId，不产生真实系统变更。</w:t>
      </w:r>
    </w:p>
    <w:p w14:paraId="01AE24F5">
      <w:pPr>
        <w:pStyle w:val="4"/>
        <w:keepNext/>
        <w:pageBreakBefore w:val="0"/>
      </w:pPr>
      <w:r>
        <w:t>九、个人Agent计划确认与MCP工具二次确认</w:t>
      </w:r>
    </w:p>
    <w:p w14:paraId="3CF05A8F">
      <w:pPr>
        <w:numPr>
          <w:ilvl w:val="0"/>
          <w:numId w:val="4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个人Agent将待确认计划与traceId和原sessionId绑定；首次请求直接携带confirm=true不能绕过计划生成。</w:t>
      </w:r>
    </w:p>
    <w:p w14:paraId="2C01433A">
      <w:pPr>
        <w:numPr>
          <w:ilvl w:val="0"/>
          <w:numId w:val="4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待确认计划以JSONL持久化，服务重启后仍按原安全上下文续接；计划、目标或会话变化后必须重新确认。</w:t>
      </w:r>
    </w:p>
    <w:p w14:paraId="6B7D4C44">
      <w:pPr>
        <w:numPr>
          <w:ilvl w:val="0"/>
          <w:numId w:val="4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直接MCP变更调用首次只返回REVIEW_PENDING和pendingMutationId，第二次调用才进入执行前校验。</w:t>
      </w:r>
    </w:p>
    <w:p w14:paraId="6DD88A6F">
      <w:pPr>
        <w:numPr>
          <w:ilvl w:val="0"/>
          <w:numId w:val="4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pendingMutationId有效期10分钟、单次使用，并绑定工具名称与完整argv；过期、复用或参数变化均被拒绝。</w:t>
      </w:r>
    </w:p>
    <w:p w14:paraId="66C6BDAC">
      <w:pPr>
        <w:numPr>
          <w:ilvl w:val="0"/>
          <w:numId w:val="4"/>
        </w:numPr>
        <w:spacing w:after="40"/>
        <w:ind w:left="624" w:hanging="255"/>
      </w:pPr>
      <w:r>
        <w:rPr>
          <w:rFonts w:ascii="Times New Roman" w:hAnsi="Times New Roman" w:eastAsia="楷体"/>
          <w:sz w:val="24"/>
        </w:rPr>
        <w:t>两类链路最终都经过红线护栏、执行前保护、最小权限执行、结果验证、审计记录与受控回滚。</w:t>
      </w:r>
    </w:p>
    <w:p w14:paraId="2BA4EC53">
      <w:pPr>
        <w:pStyle w:val="4"/>
        <w:keepNext/>
        <w:pageBreakBefore w:val="0"/>
      </w:pPr>
      <w:r>
        <w:t>十、调用结果、错误状态与敏感信息处理</w:t>
      </w:r>
    </w:p>
    <w:p w14:paraId="4B65E3A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协议错误使用-32600至-32603等标准错误码；业务失败在result中返回isError=true。工具同时输出文本和结构化内容，并对password、token、secret、私钥及数据库凭据等信息脱敏。</w:t>
      </w:r>
    </w:p>
    <w:p w14:paraId="2F03BDC9">
      <w:pPr>
        <w:pStyle w:val="2"/>
        <w:keepNext/>
        <w:pageBreakBefore/>
      </w:pPr>
      <w:bookmarkStart w:id="6" w:name="_Toc21916"/>
      <w:r>
        <w:t>部署与运行设计</w:t>
      </w:r>
      <w:bookmarkEnd w:id="6"/>
    </w:p>
    <w:p w14:paraId="6AF9C8F2">
      <w:pPr>
        <w:pStyle w:val="4"/>
        <w:keepNext/>
        <w:pageBreakBefore w:val="0"/>
      </w:pPr>
      <w:r>
        <w:t>一、龙芯麒麟环境适配</w:t>
      </w:r>
    </w:p>
    <w:p w14:paraId="63FDE06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系统基于Java 17面向龙芯LoongArch与麒麟高级服务器操作系统部署。system_sense采集实际内核与运行环境，变更工具在启动外部进程前检查平台能力和固定命令边界；对未声明支持的平台操作返回UNSUPPORTED_ON_PLATFORM。</w:t>
      </w:r>
    </w:p>
    <w:p w14:paraId="4E8D705E">
      <w:pPr>
        <w:pStyle w:val="4"/>
        <w:keepNext/>
        <w:pageBreakBefore w:val="0"/>
      </w:pPr>
      <w:r>
        <w:t>二、系统部署架构</w:t>
      </w:r>
    </w:p>
    <w:p w14:paraId="77E4A23C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默认以单一Spring Boot进程提供静态控制台、REST API、SSE链路和HTTP MCP服务；stdio模式以关闭Web容器和普通日志输出的独立进程运行，避免污染协议管道。默认绑定本机127.0.0.1，外部部署时显式配置监听地址与API Token。</w:t>
      </w:r>
    </w:p>
    <w:p w14:paraId="2BCF9DC8">
      <w:pPr>
        <w:pStyle w:val="4"/>
        <w:keepNext/>
        <w:pageBreakBefore w:val="0"/>
      </w:pPr>
      <w:r>
        <w:t>三、当前操作者与会话绑定</w:t>
      </w:r>
    </w:p>
    <w:p w14:paraId="6D539F05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产品按个人Agent设计，当前操作者即本次会话中的运维人员，不引入多用户或管理员角色模型。sessionId只用于本次会话的语义延续、待确认计划绑定和跨轮风险累积；切换会话、清除上下文或修改计划后均需重新确认。</w:t>
      </w:r>
    </w:p>
    <w:p w14:paraId="5CF752AD">
      <w:pPr>
        <w:pStyle w:val="4"/>
        <w:keepNext/>
        <w:pageBreakBefore w:val="0"/>
      </w:pPr>
      <w:r>
        <w:t>四、最小权限运行配置</w:t>
      </w:r>
    </w:p>
    <w:p w14:paraId="59E24A7F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系统可配置专用opsagent运行账户、sudo使用策略、命令超时、工作目录、单次最大步骤、输出预览上限、备份目录和状态目录。除非目标动作确有必要，执行器不使用root权限。</w:t>
      </w:r>
    </w:p>
    <w:p w14:paraId="3D397F0F">
      <w:pPr>
        <w:pStyle w:val="4"/>
        <w:keepNext/>
        <w:pageBreakBefore w:val="0"/>
      </w:pPr>
      <w:r>
        <w:t>五、模型接入与降级运行</w:t>
      </w:r>
    </w:p>
    <w:p w14:paraId="57D923F1">
      <w:pPr>
        <w:widowControl/>
        <w:spacing w:before="0" w:after="120" w:line="348" w:lineRule="auto"/>
        <w:ind w:firstLine="480"/>
        <w:jc w:val="both"/>
      </w:pPr>
      <w:r>
        <w:rPr>
          <w:rFonts w:ascii="宋体" w:hAnsi="宋体" w:eastAsia="宋体"/>
          <w:sz w:val="24"/>
        </w:rPr>
        <w:t>LlmClientFactory 根据配置选择国产模型兼容接口，并支持主备模型故障切换。模型调用元数据记录实际 provider、model 和降级原因；当模型不可用时，系统明确提示并维持只读诊断边界。</w:t>
      </w:r>
    </w:p>
    <w:p w14:paraId="5A5D02D9">
      <w:pPr>
        <w:pStyle w:val="4"/>
        <w:keepNext/>
        <w:pageBreakBefore w:val="0"/>
      </w:pPr>
      <w:r>
        <w:t>六、日志、审计与运行数据管理</w:t>
      </w:r>
    </w:p>
    <w:p w14:paraId="78122E98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每个Agent步骤以JSONL形式追加到追踪文件，执行完整输出流式写入独立审计目录，活动追踪文件达到阈值后进行轮转。待确认计划、恢复账本和执行状态可以写入状态目录，以支持进程重启后的安全续接。</w:t>
      </w:r>
    </w:p>
    <w:p w14:paraId="492648B4">
      <w:pPr>
        <w:pStyle w:val="4"/>
        <w:spacing w:before="0" w:after="140" w:line="348" w:lineRule="auto"/>
        <w:ind w:firstLine="0"/>
      </w:pPr>
      <w:r>
        <w:rPr>
          <w:rFonts w:ascii="宋体" w:hAnsi="宋体" w:eastAsia="宋体"/>
          <w:sz w:val="26"/>
        </w:rPr>
        <w:t>七、部署、启动与验收步骤</w:t>
      </w:r>
    </w:p>
    <w:p w14:paraId="214346DC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为保证演示环境可复现，部署应按“环境核验—构建—配置—启动—访问—验收”的顺序进行。以下步骤适用于龙芯麒麟演示主机；涉及 API Key、访问令牌等敏感信息时，应通过受控环境变量或配置文件注入，不在终端记录和文档中明文展示。</w:t>
      </w:r>
    </w:p>
    <w:p w14:paraId="19FE6D01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步骤1：在项目目录执行 uname -m、cat /etc/kylin-release（或 cat /etc/os-release）和 java -version，确认主机为 LoongArch 架构、麒麟服务器操作系统且已安装 Java 17。若基础环境不满足要求，应先完成环境适配，再启动服务。</w:t>
      </w:r>
    </w:p>
    <w:p w14:paraId="36FC696C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步骤2：进入项目 backend 目录执行 mvn -B clean package -DskipTests，确认 target/ops-agent.jar 构建成功。构建失败时应先检查 Maven、JDK 版本和依赖网络，不应跳过构建错误直接进入运行阶段。</w:t>
      </w:r>
    </w:p>
    <w:p w14:paraId="70953680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步骤3：完成服务地址、访问令牌和真实模型接入配置。比赛演示使用真实模型推理与 dry-run 受控预演；系统启动后应显示模型服务、运行模式和令牌状态，模型不可用时须明确提示并保持只读诊断边界。</w:t>
      </w:r>
    </w:p>
    <w:p w14:paraId="7CE5015E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步骤4：在项目根目录执行 ./scripts/demo-start.sh 启动演示服务。脚本会启动后端与控制台；待终端显示服务就绪后，在浏览器打开 http://127.0.0.1:18080/ 进入控制台。</w:t>
      </w:r>
    </w:p>
    <w:p w14:paraId="7A281240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5：先执行“环境体检（只读）”或输入“服务器负载很高，帮我看看现在是什么情况”，确认十一阶段链路、只读工具调用和结果页均正常；再按磁盘清理、服务强确认、数据库红线拒绝和提示词注入拦截等场景依次验收。</w:t>
      </w:r>
    </w:p>
    <w:p w14:paraId="2033286B">
      <w:pPr>
        <w:spacing w:before="0" w:after="140" w:line="348" w:lineRule="auto"/>
        <w:ind w:firstLine="480"/>
      </w:pPr>
      <w:r>
        <w:rPr>
          <w:rFonts w:ascii="宋体" w:hAnsi="宋体" w:eastAsia="宋体"/>
          <w:sz w:val="24"/>
        </w:rPr>
        <w:t>步骤6：演示结束后查看结果、链路、报告和巡检页，核对 traceId、风险裁决、候选筛选、人工确认状态和验证结论。只有经部署审批、最小权限配置和人工确认同时满足时，才可按运维规范关闭 dry-run 进入真实执行。</w:t>
      </w:r>
    </w:p>
    <w:p w14:paraId="37DF50DD">
      <w:pPr>
        <w:pStyle w:val="2"/>
        <w:keepNext/>
        <w:pageBreakBefore/>
      </w:pPr>
      <w:bookmarkStart w:id="7" w:name="_Toc32612"/>
      <w:r>
        <w:t>设计总结</w:t>
      </w:r>
      <w:bookmarkEnd w:id="7"/>
    </w:p>
    <w:p w14:paraId="6E713900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智御以自然语言为入口，以MCP为操作系统受控能力层，以透明安全闭环约束AI推理的不确定性。系统既能帮助运维人员快速获得实时状态、精准候选、诊断依据和处置建议，又把所有真实变更限制在计划审阅、双重裁决、人工确认、最小权限执行、结果验证和受控恢复之内。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-2802255</wp:posOffset>
            </wp:positionH>
            <wp:positionV relativeFrom="paragraph">
              <wp:posOffset>608330</wp:posOffset>
            </wp:positionV>
            <wp:extent cx="9269730" cy="13216255"/>
            <wp:effectExtent l="874395" t="581025" r="219075" b="254000"/>
            <wp:wrapNone/>
            <wp:docPr id="5" name="图片 53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3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 rot="480000">
                      <a:off x="0" y="0"/>
                      <a:ext cx="9269730" cy="132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 w:cs="Times New Roman"/>
          <w:kern w:val="0"/>
          <w:sz w:val="24"/>
          <w:szCs w:val="22"/>
          <w:lang w:val="en-US" w:eastAsia="zh-CN"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-12301220</wp:posOffset>
            </wp:positionV>
            <wp:extent cx="9269730" cy="13216255"/>
            <wp:effectExtent l="183515" t="963295" r="2296795" b="1319530"/>
            <wp:wrapNone/>
            <wp:docPr id="3" name="图片 52" descr="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2" descr="8567"/>
                    <pic:cNvPicPr>
                      <a:picLocks noChangeAspect="1"/>
                    </pic:cNvPicPr>
                  </pic:nvPicPr>
                  <pic:blipFill>
                    <a:blip r:embed="rId8"/>
                    <a:srcRect b="41002"/>
                    <a:stretch>
                      <a:fillRect/>
                    </a:stretch>
                  </pic:blipFill>
                  <pic:spPr>
                    <a:xfrm rot="-9360000">
                      <a:off x="0" y="0"/>
                      <a:ext cx="9269730" cy="132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27B288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在功能设计上，项目形成了诊断与执行双路径、内部与外部双入口、感知与变更双平面。模型可以自主选择只读工具提高诊断效率，但不能获得无边界的系统操作权；外部MCP客户端能够发现完整能力，却无法绕过当前计划与安全授权。</w:t>
      </w:r>
    </w:p>
    <w:p w14:paraId="02E150C4">
      <w:pPr>
        <w:widowControl/>
        <w:jc w:val="both"/>
      </w:pPr>
      <w:r>
        <w:rPr>
          <w:rFonts w:ascii="Times New Roman" w:hAnsi="Times New Roman" w:eastAsia="楷体"/>
          <w:b w:val="0"/>
          <w:sz w:val="24"/>
        </w:rPr>
        <w:t>透明安全闭环使原始请求、实时证据、候选选择、诊断依据、处置计划、风险原因、确认状态、实际执行、验证结果、回滚入口和traceId保持一致可查。该设计将“能对话、能调用工具”进一步提升为“可控制、可解释、可验证、可恢复、可追责”，为龙芯麒麟环境中的智能运维落地提供了清晰的工程路径。</w:t>
      </w:r>
    </w:p>
    <w:sectPr>
      <w:footerReference r:id="rId6" w:type="default"/>
      <w:pgSz w:w="11906" w:h="16838"/>
      <w:pgMar w:top="1134" w:right="1134" w:bottom="1134" w:left="1134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准圆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8B8DB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AA62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3" descr="文档页脚与版式装饰元素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FA7A49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alt="文档页脚与版式装饰元素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NJWO7QAAAABQEAAA8AAAAAAAAAAQAgAAAAIgAAAGRycy9kb3ducmV2LnhtbFBLAQIU&#10;ABQAAAAIAIdO4kB8lW+5bQIAAJoEAAAOAAAAAAAAAAEAIAAAAB8BAABkcnMvZTJvRG9jLnhtbFBL&#10;BQYAAAAABgAGAFkBAAD+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A7A49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2">
    <w:nsid w:val="164A8503"/>
    <w:multiLevelType w:val="multilevel"/>
    <w:tmpl w:val="164A8503"/>
    <w:lvl w:ilvl="0" w:tentative="0">
      <w:start w:val="1"/>
      <w:numFmt w:val="chineseCounting"/>
      <w:pStyle w:val="2"/>
      <w:suff w:val="nothing"/>
      <w:lvlText w:val="第%1章 "/>
      <w:lvlJc w:val="left"/>
      <w:pPr>
        <w:ind w:left="78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iOTI2MDJlMzI0YzkxODc1MmI0NzA2MmIxOTAzYjcifQ=="/>
  </w:docVars>
  <w:rsids>
    <w:rsidRoot w:val="69C43F41"/>
    <w:rsid w:val="04387992"/>
    <w:rsid w:val="10585D41"/>
    <w:rsid w:val="18E27989"/>
    <w:rsid w:val="1B705DA2"/>
    <w:rsid w:val="226E696C"/>
    <w:rsid w:val="23DA53C9"/>
    <w:rsid w:val="29F36060"/>
    <w:rsid w:val="376748F3"/>
    <w:rsid w:val="45FC0CDF"/>
    <w:rsid w:val="517C63B6"/>
    <w:rsid w:val="52556A4B"/>
    <w:rsid w:val="69C43F41"/>
    <w:rsid w:val="6C5F346D"/>
    <w:rsid w:val="710411F2"/>
    <w:rsid w:val="777B1842"/>
    <w:rsid w:val="795C442C"/>
    <w:rsid w:val="7A9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50" w:beforeLines="50" w:after="50" w:afterLines="50" w:line="288" w:lineRule="auto"/>
      <w:ind w:firstLine="723" w:firstLineChars="200"/>
      <w:jc w:val="both"/>
    </w:pPr>
    <w:rPr>
      <w:rFonts w:ascii="Times New Roman" w:hAnsi="Times New Roman" w:eastAsia="楷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340" w:beforeLines="0" w:after="330" w:afterLines="0" w:line="240" w:lineRule="auto"/>
      <w:ind w:firstLineChars="0"/>
      <w:jc w:val="left"/>
      <w:outlineLvl w:val="0"/>
    </w:pPr>
    <w:rPr>
      <w:rFonts w:eastAsia="黑体"/>
      <w:b/>
      <w:kern w:val="44"/>
      <w:sz w:val="32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50" w:beforeAutospacing="0" w:after="50" w:afterAutospacing="0" w:line="120" w:lineRule="auto"/>
      <w:ind w:left="850" w:leftChars="0" w:hanging="425" w:firstLineChars="0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5">
    <w:name w:val="heading 3"/>
    <w:basedOn w:val="1"/>
    <w:next w:val="1"/>
    <w:link w:val="18"/>
    <w:semiHidden/>
    <w:unhideWhenUsed/>
    <w:qFormat/>
    <w:uiPriority w:val="9"/>
    <w:pPr>
      <w:spacing w:before="50" w:beforeAutospacing="0" w:after="50" w:afterAutospacing="0" w:line="120" w:lineRule="auto"/>
      <w:ind w:left="402" w:hanging="402" w:hangingChars="125"/>
      <w:jc w:val="left"/>
      <w:outlineLvl w:val="2"/>
    </w:pPr>
    <w:rPr>
      <w:rFonts w:hint="eastAsia" w:ascii="宋体" w:hAnsi="宋体" w:eastAsia="黑体" w:cs="宋体"/>
      <w:b/>
      <w:bCs/>
      <w:kern w:val="0"/>
      <w:sz w:val="28"/>
      <w:szCs w:val="27"/>
      <w:lang w:bidi="ar"/>
    </w:rPr>
  </w:style>
  <w:style w:type="paragraph" w:styleId="6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unhideWhenUsed/>
    <w:qFormat/>
    <w:uiPriority w:val="99"/>
    <w:pPr>
      <w:spacing w:before="180" w:after="18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after="120"/>
    </w:pPr>
    <w:rPr>
      <w:i/>
    </w:rPr>
  </w:style>
  <w:style w:type="paragraph" w:styleId="8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3 Char"/>
    <w:link w:val="5"/>
    <w:qFormat/>
    <w:uiPriority w:val="0"/>
    <w:rPr>
      <w:rFonts w:hint="eastAsia" w:ascii="宋体" w:hAnsi="宋体" w:eastAsia="黑体" w:cs="宋体"/>
      <w:b/>
      <w:bCs/>
      <w:kern w:val="0"/>
      <w:sz w:val="28"/>
      <w:szCs w:val="27"/>
      <w:lang w:bidi="ar"/>
    </w:rPr>
  </w:style>
  <w:style w:type="character" w:customStyle="1" w:styleId="19">
    <w:name w:val="md-plain"/>
    <w:basedOn w:val="16"/>
    <w:qFormat/>
    <w:uiPriority w:val="0"/>
  </w:style>
  <w:style w:type="character" w:customStyle="1" w:styleId="20">
    <w:name w:val="正文1 Char"/>
    <w:link w:val="21"/>
    <w:qFormat/>
    <w:uiPriority w:val="0"/>
  </w:style>
  <w:style w:type="paragraph" w:customStyle="1" w:styleId="21">
    <w:name w:val="正文1"/>
    <w:basedOn w:val="1"/>
    <w:link w:val="20"/>
    <w:qFormat/>
    <w:uiPriority w:val="0"/>
    <w:pPr>
      <w:ind w:left="358" w:firstLine="482" w:firstLineChars="200"/>
      <w:jc w:val="both"/>
    </w:p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分类号"/>
    <w:basedOn w:val="1"/>
    <w:qFormat/>
    <w:uiPriority w:val="0"/>
    <w:pPr>
      <w:spacing w:before="0" w:beforeLines="-2147483648" w:after="0" w:afterLines="-2147483648" w:line="240" w:lineRule="auto"/>
      <w:ind w:firstLine="0" w:firstLineChars="0"/>
    </w:pPr>
    <w:rPr>
      <w:rFonts w:ascii="仿宋_GB2312" w:eastAsia="仿宋_GB2312"/>
      <w:sz w:val="28"/>
      <w:szCs w:val="28"/>
    </w:rPr>
  </w:style>
  <w:style w:type="paragraph" w:customStyle="1" w:styleId="26">
    <w:name w:val="封面日期"/>
    <w:basedOn w:val="1"/>
    <w:qFormat/>
    <w:uiPriority w:val="0"/>
    <w:pPr>
      <w:spacing w:before="0" w:beforeLines="-2147483648" w:after="0" w:afterLines="-2147483648" w:line="240" w:lineRule="auto"/>
      <w:ind w:firstLine="0" w:firstLineChars="0"/>
      <w:jc w:val="center"/>
    </w:pPr>
    <w:rPr>
      <w:rFonts w:ascii="黑体" w:eastAsia="黑体"/>
      <w:sz w:val="32"/>
      <w:szCs w:val="32"/>
    </w:rPr>
  </w:style>
  <w:style w:type="paragraph" w:customStyle="1" w:styleId="27">
    <w:name w:val="论文标题"/>
    <w:basedOn w:val="1"/>
    <w:qFormat/>
    <w:uiPriority w:val="0"/>
    <w:pPr>
      <w:spacing w:before="0" w:beforeLines="-2147483648" w:after="0" w:afterLines="-2147483648" w:line="240" w:lineRule="auto"/>
      <w:ind w:firstLine="0" w:firstLineChars="0"/>
      <w:jc w:val="center"/>
    </w:pPr>
    <w:rPr>
      <w:rFonts w:eastAsia="楷体_GB2312"/>
      <w:b/>
      <w:kern w:val="36"/>
      <w:sz w:val="52"/>
      <w:szCs w:val="52"/>
    </w:rPr>
  </w:style>
  <w:style w:type="paragraph" w:customStyle="1" w:styleId="28">
    <w:name w:val="硕士学位论文"/>
    <w:basedOn w:val="1"/>
    <w:qFormat/>
    <w:uiPriority w:val="0"/>
    <w:pPr>
      <w:spacing w:before="240" w:beforeLines="-2147483648" w:after="0" w:afterLines="-2147483648" w:line="240" w:lineRule="auto"/>
      <w:ind w:firstLine="0" w:firstLineChars="0"/>
      <w:jc w:val="center"/>
    </w:pPr>
    <w:rPr>
      <w:rFonts w:eastAsia="宋体"/>
      <w:sz w:val="44"/>
      <w:szCs w:val="44"/>
    </w:rPr>
  </w:style>
  <w:style w:type="paragraph" w:customStyle="1" w:styleId="29">
    <w:name w:val="研究生姓名"/>
    <w:basedOn w:val="1"/>
    <w:qFormat/>
    <w:uiPriority w:val="0"/>
    <w:pPr>
      <w:spacing w:before="0" w:beforeLines="-2147483648" w:after="0" w:afterLines="-2147483648" w:line="240" w:lineRule="auto"/>
      <w:ind w:firstLine="700" w:firstLineChars="700"/>
    </w:pPr>
    <w:rPr>
      <w:rFonts w:eastAsia="宋体"/>
      <w:sz w:val="28"/>
      <w:szCs w:val="28"/>
    </w:rPr>
  </w:style>
  <w:style w:type="paragraph" w:customStyle="1" w:styleId="30">
    <w:name w:val="三级标题"/>
    <w:basedOn w:val="5"/>
    <w:next w:val="1"/>
    <w:autoRedefine/>
    <w:qFormat/>
    <w:uiPriority w:val="0"/>
    <w:pPr>
      <w:spacing w:before="50" w:beforeLines="50" w:after="50" w:afterLines="50" w:line="120" w:lineRule="auto"/>
      <w:ind w:firstLine="450" w:firstLineChars="125"/>
    </w:pPr>
    <w:rPr>
      <w:rFonts w:eastAsia="黑体"/>
      <w:b w:val="0"/>
      <w:sz w:val="24"/>
      <w:szCs w:val="30"/>
    </w:rPr>
  </w:style>
  <w:style w:type="paragraph" w:customStyle="1" w:styleId="31">
    <w:name w:val="正文一"/>
    <w:basedOn w:val="1"/>
    <w:autoRedefine/>
    <w:qFormat/>
    <w:uiPriority w:val="0"/>
    <w:pPr>
      <w:spacing w:line="336" w:lineRule="auto"/>
      <w:ind w:firstLine="7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7458</Words>
  <Characters>9226</Characters>
  <Lines>1</Lines>
  <Paragraphs>1</Paragraphs>
  <TotalTime>5</TotalTime>
  <ScaleCrop>false</ScaleCrop>
  <LinksUpToDate>false</LinksUpToDate>
  <CharactersWithSpaces>9279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spider</dc:creator>
  <cp:lastModifiedBy>spider</cp:lastModifiedBy>
  <dcterms:modified xsi:type="dcterms:W3CDTF">2026-07-20T05:20:12Z</dcterms:modified>
  <dc:subject>中国软件杯参赛作品功能设计</dc:subject>
  <dc:title>智御·OS智能运维Agent——软件功能设计文档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eyJoZGlkIjoiNjdjY2EzNjExMWI1NmI4NjkyNmMwM2IwOGFmMThiZDgiLCJ1c2VySWQiOiIxNjQzMjg2MjIyIn0=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5CC5BA4B645A477381E1676DB1DA9558_12</vt:lpwstr>
  </property>
</Properties>
</file>