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7C8EAC">
      <w:pPr>
        <w:ind w:left="0" w:leftChars="0" w:firstLine="0" w:firstLineChars="0"/>
        <w:rPr>
          <w:rFonts w:ascii="宋体" w:hAnsi="宋体" w:eastAsia="宋体" w:cs="Times New Roman"/>
          <w:kern w:val="2"/>
          <w:sz w:val="21"/>
          <w:szCs w:val="22"/>
          <w:lang w:val="en-US" w:eastAsia="zh-CN" w:bidi="ar-SA"/>
        </w:rPr>
      </w:pPr>
      <w:bookmarkStart w:id="16" w:name="_GoBack"/>
      <w:bookmarkEnd w:id="16"/>
      <w:r>
        <w:rPr>
          <w:rFonts w:hint="eastAsia" w:eastAsia="宋体"/>
          <w:lang w:eastAsia="zh-CN"/>
        </w:rPr>
        <w:drawing>
          <wp:anchor distT="0" distB="0" distL="114300" distR="114300" simplePos="0" relativeHeight="251668480" behindDoc="1" locked="0" layoutInCell="1" allowOverlap="1">
            <wp:simplePos x="0" y="0"/>
            <wp:positionH relativeFrom="column">
              <wp:posOffset>1097915</wp:posOffset>
            </wp:positionH>
            <wp:positionV relativeFrom="paragraph">
              <wp:posOffset>-7073900</wp:posOffset>
            </wp:positionV>
            <wp:extent cx="9269730" cy="13216255"/>
            <wp:effectExtent l="183515" t="963295" r="2296795" b="1319530"/>
            <wp:wrapNone/>
            <wp:docPr id="6" name="图片 2" descr="8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8567"/>
                    <pic:cNvPicPr>
                      <a:picLocks noChangeAspect="1"/>
                    </pic:cNvPicPr>
                  </pic:nvPicPr>
                  <pic:blipFill>
                    <a:blip r:embed="rId8"/>
                    <a:srcRect b="41002"/>
                    <a:stretch>
                      <a:fillRect/>
                    </a:stretch>
                  </pic:blipFill>
                  <pic:spPr>
                    <a:xfrm rot="-9360000">
                      <a:off x="0" y="0"/>
                      <a:ext cx="9269730" cy="13216255"/>
                    </a:xfrm>
                    <a:prstGeom prst="rect">
                      <a:avLst/>
                    </a:prstGeom>
                    <a:noFill/>
                    <a:ln>
                      <a:noFill/>
                    </a:ln>
                  </pic:spPr>
                </pic:pic>
              </a:graphicData>
            </a:graphic>
          </wp:anchor>
        </w:drawing>
      </w:r>
      <w:r>
        <w:drawing>
          <wp:anchor distT="0" distB="0" distL="114300" distR="114300" simplePos="0" relativeHeight="251664384" behindDoc="0" locked="0" layoutInCell="1" allowOverlap="1">
            <wp:simplePos x="0" y="0"/>
            <wp:positionH relativeFrom="column">
              <wp:posOffset>26670</wp:posOffset>
            </wp:positionH>
            <wp:positionV relativeFrom="paragraph">
              <wp:posOffset>194945</wp:posOffset>
            </wp:positionV>
            <wp:extent cx="1479550" cy="817880"/>
            <wp:effectExtent l="0" t="0" r="13970" b="0"/>
            <wp:wrapSquare wrapText="bothSides"/>
            <wp:docPr id="8" name="图片 4" descr="kappframework-cAOqJt(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kappframework-cAOqJt(1)(1)"/>
                    <pic:cNvPicPr>
                      <a:picLocks noChangeAspect="1"/>
                    </pic:cNvPicPr>
                  </pic:nvPicPr>
                  <pic:blipFill>
                    <a:blip r:embed="rId9"/>
                    <a:stretch>
                      <a:fillRect/>
                    </a:stretch>
                  </pic:blipFill>
                  <pic:spPr>
                    <a:xfrm>
                      <a:off x="0" y="0"/>
                      <a:ext cx="1479550" cy="817880"/>
                    </a:xfrm>
                    <a:prstGeom prst="rect">
                      <a:avLst/>
                    </a:prstGeom>
                    <a:noFill/>
                    <a:ln>
                      <a:noFill/>
                    </a:ln>
                  </pic:spPr>
                </pic:pic>
              </a:graphicData>
            </a:graphic>
          </wp:anchor>
        </w:drawing>
      </w:r>
    </w:p>
    <w:p w14:paraId="2F068DA2"/>
    <w:p w14:paraId="0B311FD2">
      <w:pPr>
        <w:rPr>
          <w:rFonts w:hint="eastAsia"/>
          <w:lang w:eastAsia="zh-CN"/>
        </w:rPr>
      </w:pPr>
      <w:r>
        <mc:AlternateContent>
          <mc:Choice Requires="wpg">
            <w:drawing>
              <wp:anchor distT="0" distB="0" distL="114300" distR="114300" simplePos="0" relativeHeight="251660288" behindDoc="0" locked="0" layoutInCell="1" allowOverlap="1">
                <wp:simplePos x="0" y="0"/>
                <wp:positionH relativeFrom="page">
                  <wp:posOffset>831850</wp:posOffset>
                </wp:positionH>
                <wp:positionV relativeFrom="page">
                  <wp:posOffset>1062355</wp:posOffset>
                </wp:positionV>
                <wp:extent cx="7196455" cy="8285480"/>
                <wp:effectExtent l="0" t="0" r="0" b="0"/>
                <wp:wrapNone/>
                <wp:docPr id="9" name="组合 9" descr="封面标题与项目信息"/>
                <wp:cNvGraphicFramePr/>
                <a:graphic xmlns:a="http://schemas.openxmlformats.org/drawingml/2006/main">
                  <a:graphicData uri="http://schemas.microsoft.com/office/word/2010/wordprocessingGroup">
                    <wpg:wgp>
                      <wpg:cNvGrpSpPr/>
                      <wpg:grpSpPr>
                        <a:xfrm>
                          <a:off x="0" y="0"/>
                          <a:ext cx="7196455" cy="8285480"/>
                          <a:chOff x="684037" y="-1305824"/>
                          <a:chExt cx="6410244" cy="8003010"/>
                        </a:xfrm>
                        <a:effectLst/>
                      </wpg:grpSpPr>
                      <wps:wsp>
                        <wps:cNvPr id="10" name="文本框 8"/>
                        <wps:cNvSpPr txBox="1"/>
                        <wps:spPr>
                          <a:xfrm>
                            <a:off x="3013852" y="-558762"/>
                            <a:ext cx="727396" cy="7255948"/>
                          </a:xfrm>
                          <a:prstGeom prst="rect">
                            <a:avLst/>
                          </a:prstGeom>
                          <a:noFill/>
                          <a:ln w="6350">
                            <a:noFill/>
                          </a:ln>
                          <a:effectLst/>
                        </wps:spPr>
                        <wps:txbx>
                          <w:txbxContent>
                            <w:p w14:paraId="27D26404">
                              <w:pPr>
                                <w:jc w:val="center"/>
                                <w:rPr>
                                  <w:rFonts w:hint="default" w:ascii="方正准圆简体" w:eastAsia="方正准圆简体"/>
                                  <w:b/>
                                  <w:color w:val="C00000"/>
                                  <w:sz w:val="72"/>
                                  <w:szCs w:val="72"/>
                                  <w:lang w:val="en-US" w:eastAsia="zh-CN"/>
                                </w:rPr>
                              </w:pPr>
                              <w:r>
                                <w:rPr>
                                  <w:rFonts w:hint="eastAsia" w:ascii="方正准圆简体" w:eastAsia="方正准圆简体"/>
                                  <w:b/>
                                  <w:color w:val="C00000"/>
                                  <w:sz w:val="72"/>
                                  <w:szCs w:val="72"/>
                                  <w:lang w:val="en-US" w:eastAsia="zh-CN"/>
                                </w:rPr>
                                <w:t>s软件功能需求分析文档</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 name="文本框 2"/>
                        <wps:cNvSpPr txBox="1">
                          <a:spLocks noChangeArrowheads="1"/>
                        </wps:cNvSpPr>
                        <wps:spPr bwMode="auto">
                          <a:xfrm>
                            <a:off x="1301701" y="-1305824"/>
                            <a:ext cx="5194147" cy="541589"/>
                          </a:xfrm>
                          <a:prstGeom prst="rect">
                            <a:avLst/>
                          </a:prstGeom>
                          <a:noFill/>
                          <a:ln w="9525">
                            <a:noFill/>
                            <a:miter lim="800000"/>
                          </a:ln>
                          <a:effectLst/>
                        </wps:spPr>
                        <wps:txbx>
                          <w:txbxContent>
                            <w:p w14:paraId="5585F95C">
                              <w:pPr>
                                <w:rPr>
                                  <w:rFonts w:hint="default" w:eastAsia="宋体"/>
                                  <w:b/>
                                  <w:bCs/>
                                  <w:color w:val="C00000"/>
                                  <w:sz w:val="44"/>
                                  <w:szCs w:val="44"/>
                                  <w:lang w:val="en-US" w:eastAsia="zh-CN"/>
                                </w:rPr>
                              </w:pPr>
                              <w:r>
                                <w:rPr>
                                  <w:rFonts w:hint="eastAsia"/>
                                  <w:b/>
                                  <w:bCs/>
                                  <w:color w:val="C00000"/>
                                  <w:sz w:val="44"/>
                                  <w:szCs w:val="44"/>
                                  <w:lang w:val="en-US" w:eastAsia="zh-CN"/>
                                </w:rPr>
                                <w:t>中国软件杯大学生软件设计大赛</w:t>
                              </w:r>
                            </w:p>
                          </w:txbxContent>
                        </wps:txbx>
                        <wps:bodyPr rot="0" vert="horz" wrap="square" lIns="91440" tIns="45720" rIns="91440" bIns="45720" anchor="t" anchorCtr="0">
                          <a:noAutofit/>
                        </wps:bodyPr>
                      </wps:wsp>
                      <wps:wsp>
                        <wps:cNvPr id="12" name="文本框 2"/>
                        <wps:cNvSpPr txBox="1">
                          <a:spLocks noChangeArrowheads="1"/>
                        </wps:cNvSpPr>
                        <wps:spPr bwMode="auto">
                          <a:xfrm>
                            <a:off x="684037" y="-721913"/>
                            <a:ext cx="6410244" cy="674687"/>
                          </a:xfrm>
                          <a:prstGeom prst="rect">
                            <a:avLst/>
                          </a:prstGeom>
                          <a:noFill/>
                          <a:ln w="9525">
                            <a:noFill/>
                            <a:miter lim="800000"/>
                          </a:ln>
                          <a:effectLst/>
                        </wps:spPr>
                        <wps:txbx>
                          <w:txbxContent>
                            <w:p w14:paraId="3D2B88A1">
                              <w:pPr>
                                <w:ind w:left="0" w:leftChars="0" w:firstLine="0" w:firstLineChars="0"/>
                                <w:rPr>
                                  <w:rFonts w:hint="eastAsia" w:ascii="宋体" w:hAnsi="宋体" w:eastAsia="宋体" w:cs="宋体"/>
                                  <w:b/>
                                  <w:bCs/>
                                  <w:color w:val="C00000"/>
                                  <w:sz w:val="40"/>
                                  <w:szCs w:val="40"/>
                                  <w:lang w:val="en-US" w:eastAsia="zh-CN"/>
                                </w:rPr>
                              </w:pPr>
                              <w:r>
                                <w:rPr>
                                  <w:rFonts w:hint="eastAsia" w:ascii="宋体" w:hAnsi="宋体" w:eastAsia="宋体" w:cs="宋体"/>
                                  <w:b/>
                                  <w:bCs/>
                                  <w:color w:val="C00000"/>
                                  <w:sz w:val="40"/>
                                  <w:szCs w:val="40"/>
                                  <w:lang w:val="en-US" w:eastAsia="zh-CN"/>
                                </w:rPr>
                                <w:t>智御·OS 智能运维 Agent</w:t>
                              </w:r>
                            </w:p>
                          </w:txbxContent>
                        </wps:txbx>
                        <wps:bodyPr rot="0" vert="horz" wrap="square" lIns="91440" tIns="45720" rIns="91440" bIns="45720" anchor="t" anchorCtr="0">
                          <a:noAutofit/>
                        </wps:bodyPr>
                      </wps:wsp>
                    </wpg:wgp>
                  </a:graphicData>
                </a:graphic>
              </wp:anchor>
            </w:drawing>
          </mc:Choice>
          <mc:Fallback>
            <w:pict>
              <v:group id="_x0000_s1026" o:spid="_x0000_s1026" o:spt="203" alt="封面标题与项目信息" style="position:absolute;left:0pt;margin-left:65.5pt;margin-top:83.65pt;height:652.4pt;width:566.65pt;mso-position-horizontal-relative:page;mso-position-vertical-relative:page;z-index:251660288;mso-width-relative:page;mso-height-relative:page;" coordorigin="684037,-1305824" coordsize="6410244,8003010" o:gfxdata="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">
                <o:lock v:ext="edit" aspectratio="f"/>
                <v:shape id="文本框 8" o:spid="_x0000_s1026" o:spt="202" type="#_x0000_t202" style="position:absolute;left:3013852;top:-558762;height:7255948;width:727396;" filled="f" stroked="f" coordsize="21600,21600" o:gfxdata="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kSYC/&#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27D26404">
                        <w:pPr>
                          <w:jc w:val="center"/>
                          <w:rPr>
                            <w:rFonts w:hint="default" w:ascii="方正准圆简体" w:eastAsia="方正准圆简体"/>
                            <w:b/>
                            <w:color w:val="C00000"/>
                            <w:sz w:val="72"/>
                            <w:szCs w:val="72"/>
                            <w:lang w:val="en-US" w:eastAsia="zh-CN"/>
                          </w:rPr>
                        </w:pPr>
                        <w:r>
                          <w:rPr>
                            <w:rFonts w:hint="eastAsia" w:ascii="方正准圆简体" w:eastAsia="方正准圆简体"/>
                            <w:b/>
                            <w:color w:val="C00000"/>
                            <w:sz w:val="72"/>
                            <w:szCs w:val="72"/>
                            <w:lang w:val="en-US" w:eastAsia="zh-CN"/>
                          </w:rPr>
                          <w:t>s软件功能需求分析文档</w:t>
                        </w:r>
                      </w:p>
                    </w:txbxContent>
                  </v:textbox>
                </v:shape>
                <v:shape id="文本框 2" o:spid="_x0000_s1026" o:spt="202" type="#_x0000_t202" style="position:absolute;left:1301701;top:-1305824;height:541589;width:5194147;" filled="f" stroked="f" coordsize="21600,21600" o:gfxdata="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yNtugAAANs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w:txbxContent>
                      <w:p w14:paraId="5585F95C">
                        <w:pPr>
                          <w:rPr>
                            <w:rFonts w:hint="default" w:eastAsia="宋体"/>
                            <w:b/>
                            <w:bCs/>
                            <w:color w:val="C00000"/>
                            <w:sz w:val="44"/>
                            <w:szCs w:val="44"/>
                            <w:lang w:val="en-US" w:eastAsia="zh-CN"/>
                          </w:rPr>
                        </w:pPr>
                        <w:r>
                          <w:rPr>
                            <w:rFonts w:hint="eastAsia"/>
                            <w:b/>
                            <w:bCs/>
                            <w:color w:val="C00000"/>
                            <w:sz w:val="44"/>
                            <w:szCs w:val="44"/>
                            <w:lang w:val="en-US" w:eastAsia="zh-CN"/>
                          </w:rPr>
                          <w:t>中国软件杯大学生软件设计大赛</w:t>
                        </w:r>
                      </w:p>
                    </w:txbxContent>
                  </v:textbox>
                </v:shape>
                <v:shape id="文本框 2" o:spid="_x0000_s1026" o:spt="202" type="#_x0000_t202" style="position:absolute;left:684037;top:-721913;height:674687;width:6410244;" filled="f" stroked="f" coordsize="21600,21600" o:gfxdata="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wtvRq5AAAA2w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w:txbxContent>
                      <w:p w14:paraId="3D2B88A1">
                        <w:pPr>
                          <w:ind w:left="0" w:leftChars="0" w:firstLine="0" w:firstLineChars="0"/>
                          <w:rPr>
                            <w:rFonts w:hint="eastAsia" w:ascii="宋体" w:hAnsi="宋体" w:eastAsia="宋体" w:cs="宋体"/>
                            <w:b/>
                            <w:bCs/>
                            <w:color w:val="C00000"/>
                            <w:sz w:val="40"/>
                            <w:szCs w:val="40"/>
                            <w:lang w:val="en-US" w:eastAsia="zh-CN"/>
                          </w:rPr>
                        </w:pPr>
                        <w:r>
                          <w:rPr>
                            <w:rFonts w:hint="eastAsia" w:ascii="宋体" w:hAnsi="宋体" w:eastAsia="宋体" w:cs="宋体"/>
                            <w:b/>
                            <w:bCs/>
                            <w:color w:val="C00000"/>
                            <w:sz w:val="40"/>
                            <w:szCs w:val="40"/>
                            <w:lang w:val="en-US" w:eastAsia="zh-CN"/>
                          </w:rPr>
                          <w:t>智御·OS 智能运维 Agent</w:t>
                        </w:r>
                      </w:p>
                    </w:txbxContent>
                  </v:textbox>
                </v:shape>
              </v:group>
            </w:pict>
          </mc:Fallback>
        </mc:AlternateContent>
      </w:r>
      <w:r>
        <w:rPr>
          <w:rFonts w:hint="eastAsia"/>
          <w:lang w:eastAsia="zh-CN"/>
        </w:rPr>
        <w:t>、</w:t>
      </w:r>
    </w:p>
    <w:p w14:paraId="69611DB4"/>
    <w:p w14:paraId="63C79E7E"/>
    <w:p w14:paraId="07E866B2"/>
    <w:p w14:paraId="0440AC78">
      <w:pPr>
        <w:rPr>
          <w:rFonts w:hint="eastAsia" w:eastAsia="宋体"/>
          <w:lang w:eastAsia="zh-CN"/>
        </w:rPr>
      </w:pPr>
    </w:p>
    <w:p w14:paraId="287E577A"/>
    <w:p w14:paraId="03BD5344">
      <w:pPr>
        <w:rPr>
          <w:rFonts w:hint="eastAsia" w:eastAsia="宋体"/>
          <w:lang w:eastAsia="zh-CN"/>
        </w:rPr>
      </w:pPr>
      <w:r>
        <w:rPr>
          <w:rFonts w:hint="eastAsia" w:eastAsia="宋体"/>
          <w:lang w:eastAsia="zh-CN"/>
        </w:rPr>
        <w:drawing>
          <wp:anchor distT="0" distB="0" distL="114300" distR="114300" simplePos="0" relativeHeight="251661312" behindDoc="1" locked="0" layoutInCell="1" allowOverlap="1">
            <wp:simplePos x="0" y="0"/>
            <wp:positionH relativeFrom="column">
              <wp:posOffset>-2167255</wp:posOffset>
            </wp:positionH>
            <wp:positionV relativeFrom="paragraph">
              <wp:posOffset>64135</wp:posOffset>
            </wp:positionV>
            <wp:extent cx="9128760" cy="15711170"/>
            <wp:effectExtent l="0" t="0" r="0" b="1270"/>
            <wp:wrapNone/>
            <wp:docPr id="1" name="图片 13" descr="8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8567"/>
                    <pic:cNvPicPr>
                      <a:picLocks noChangeAspect="1"/>
                    </pic:cNvPicPr>
                  </pic:nvPicPr>
                  <pic:blipFill>
                    <a:blip r:embed="rId8"/>
                    <a:srcRect b="41002"/>
                    <a:stretch>
                      <a:fillRect/>
                    </a:stretch>
                  </pic:blipFill>
                  <pic:spPr>
                    <a:xfrm>
                      <a:off x="0" y="0"/>
                      <a:ext cx="9128760" cy="15711170"/>
                    </a:xfrm>
                    <a:prstGeom prst="rect">
                      <a:avLst/>
                    </a:prstGeom>
                    <a:noFill/>
                    <a:ln>
                      <a:noFill/>
                    </a:ln>
                  </pic:spPr>
                </pic:pic>
              </a:graphicData>
            </a:graphic>
          </wp:anchor>
        </w:drawing>
      </w:r>
    </w:p>
    <w:p w14:paraId="4E18D3D5">
      <w:pPr>
        <w:rPr>
          <w:rFonts w:hint="eastAsia" w:eastAsia="宋体"/>
          <w:lang w:eastAsia="zh-CN"/>
        </w:rPr>
      </w:pPr>
    </w:p>
    <w:p w14:paraId="5E577FD9">
      <w:r>
        <w:rPr>
          <w:rFonts w:hint="eastAsia" w:eastAsia="宋体"/>
          <w:lang w:eastAsia="zh-CN"/>
        </w:rPr>
        <w:drawing>
          <wp:anchor distT="0" distB="0" distL="114300" distR="114300" simplePos="0" relativeHeight="251661312" behindDoc="1" locked="0" layoutInCell="1" allowOverlap="1">
            <wp:simplePos x="0" y="0"/>
            <wp:positionH relativeFrom="column">
              <wp:posOffset>10088880</wp:posOffset>
            </wp:positionH>
            <wp:positionV relativeFrom="paragraph">
              <wp:posOffset>2607945</wp:posOffset>
            </wp:positionV>
            <wp:extent cx="15966440" cy="3636645"/>
            <wp:effectExtent l="0" t="0" r="0" b="5715"/>
            <wp:wrapNone/>
            <wp:docPr id="2" name="图片 17" descr="Nipic_20189787_20160316125842108377 [转换]-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7" descr="Nipic_20189787_20160316125842108377 [转换]-01"/>
                    <pic:cNvPicPr>
                      <a:picLocks noChangeAspect="1"/>
                    </pic:cNvPicPr>
                  </pic:nvPicPr>
                  <pic:blipFill>
                    <a:blip r:embed="rId10"/>
                    <a:srcRect b="62312"/>
                    <a:stretch>
                      <a:fillRect/>
                    </a:stretch>
                  </pic:blipFill>
                  <pic:spPr>
                    <a:xfrm>
                      <a:off x="0" y="0"/>
                      <a:ext cx="15966440" cy="3636645"/>
                    </a:xfrm>
                    <a:prstGeom prst="rect">
                      <a:avLst/>
                    </a:prstGeom>
                    <a:noFill/>
                    <a:ln>
                      <a:noFill/>
                    </a:ln>
                  </pic:spPr>
                </pic:pic>
              </a:graphicData>
            </a:graphic>
          </wp:anchor>
        </w:drawing>
      </w:r>
    </w:p>
    <w:p w14:paraId="11B52BB2"/>
    <w:p w14:paraId="3B9F5DF7"/>
    <w:p w14:paraId="7ACF3D3D"/>
    <w:p w14:paraId="14236543"/>
    <w:p w14:paraId="58D86DDF"/>
    <w:p w14:paraId="53B7140A"/>
    <w:p w14:paraId="38CAE68D"/>
    <w:p w14:paraId="7875A5BE"/>
    <w:p w14:paraId="04367AF0"/>
    <w:p w14:paraId="0B2627BD">
      <w:pPr>
        <w:rPr>
          <w:rFonts w:hint="eastAsia" w:eastAsia="宋体"/>
          <w:lang w:eastAsia="zh-CN"/>
        </w:rPr>
      </w:pPr>
    </w:p>
    <w:p w14:paraId="7DA4AED2"/>
    <w:p w14:paraId="3E30D08B">
      <w:r>
        <mc:AlternateContent>
          <mc:Choice Requires="wps">
            <w:drawing>
              <wp:anchor distT="0" distB="0" distL="114300" distR="114300" simplePos="0" relativeHeight="251662336" behindDoc="0" locked="0" layoutInCell="1" allowOverlap="1">
                <wp:simplePos x="0" y="0"/>
                <wp:positionH relativeFrom="column">
                  <wp:posOffset>1170305</wp:posOffset>
                </wp:positionH>
                <wp:positionV relativeFrom="paragraph">
                  <wp:posOffset>28575</wp:posOffset>
                </wp:positionV>
                <wp:extent cx="5747385" cy="560705"/>
                <wp:effectExtent l="0" t="0" r="0" b="0"/>
                <wp:wrapNone/>
                <wp:docPr id="18" name="文本框 2" descr="参赛团队信息"/>
                <wp:cNvGraphicFramePr/>
                <a:graphic xmlns:a="http://schemas.openxmlformats.org/drawingml/2006/main">
                  <a:graphicData uri="http://schemas.microsoft.com/office/word/2010/wordprocessingShape">
                    <wps:wsp>
                      <wps:cNvSpPr txBox="1">
                        <a:spLocks noChangeArrowheads="1"/>
                      </wps:cNvSpPr>
                      <wps:spPr bwMode="auto">
                        <a:xfrm>
                          <a:off x="0" y="0"/>
                          <a:ext cx="5747385" cy="560704"/>
                        </a:xfrm>
                        <a:prstGeom prst="rect">
                          <a:avLst/>
                        </a:prstGeom>
                        <a:noFill/>
                        <a:ln w="9525">
                          <a:noFill/>
                          <a:miter lim="800000"/>
                        </a:ln>
                        <a:effectLst/>
                      </wps:spPr>
                      <wps:txbx>
                        <w:txbxContent>
                          <w:p w14:paraId="6E106B98">
                            <w:pPr>
                              <w:jc w:val="both"/>
                              <w:rPr>
                                <w:rFonts w:hint="default" w:eastAsia="宋体"/>
                                <w:b/>
                                <w:bCs/>
                                <w:color w:val="C00000"/>
                                <w:sz w:val="40"/>
                                <w:szCs w:val="40"/>
                                <w:lang w:val="en-US" w:eastAsia="zh-CN"/>
                              </w:rPr>
                            </w:pPr>
                            <w:r>
                              <w:rPr>
                                <w:rFonts w:hint="eastAsia"/>
                                <w:b/>
                                <w:bCs/>
                                <w:color w:val="C00000"/>
                                <w:sz w:val="40"/>
                                <w:szCs w:val="40"/>
                                <w:lang w:val="en-US" w:eastAsia="zh-CN"/>
                              </w:rPr>
                              <w:t>参赛团队：智御项目组</w:t>
                            </w:r>
                          </w:p>
                        </w:txbxContent>
                      </wps:txbx>
                      <wps:bodyPr rot="0" vert="horz" wrap="square" lIns="91440" tIns="45720" rIns="91440" bIns="45720" anchor="t" anchorCtr="0">
                        <a:noAutofit/>
                      </wps:bodyPr>
                    </wps:wsp>
                  </a:graphicData>
                </a:graphic>
              </wp:anchor>
            </w:drawing>
          </mc:Choice>
          <mc:Fallback>
            <w:pict>
              <v:shape id="文本框 2" o:spid="_x0000_s1026" o:spt="202" alt="参赛团队信息" type="#_x0000_t202" style="position:absolute;left:0pt;margin-left:92.15pt;margin-top:2.25pt;height:44.15pt;width:452.55pt;z-index:251662336;mso-width-relative:page;mso-height-relative:page;" filled="f" stroked="f" coordsize="21600,21600" o:gfxdata="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u9yY71gAAAAkBAAAPAAAA&#10;AAAAAAEAIAAAACIAAABkcnMvZG93bnJldi54bWxQSwECFAAUAAAACACHTuJAln8cslACAABTBAAA&#10;DgAAAAAAAAABACAAAAAlAQAAZHJzL2Uyb0RvYy54bWxQSwUGAAAAAAYABgBZAQAA5wUAAAAA&#10;">
                <v:fill on="f" focussize="0,0"/>
                <v:stroke on="f" miterlimit="8" joinstyle="miter"/>
                <v:imagedata o:title=""/>
                <o:lock v:ext="edit" aspectratio="f"/>
                <v:textbox>
                  <w:txbxContent>
                    <w:p w14:paraId="6E106B98">
                      <w:pPr>
                        <w:jc w:val="both"/>
                        <w:rPr>
                          <w:rFonts w:hint="default" w:eastAsia="宋体"/>
                          <w:b/>
                          <w:bCs/>
                          <w:color w:val="C00000"/>
                          <w:sz w:val="40"/>
                          <w:szCs w:val="40"/>
                          <w:lang w:val="en-US" w:eastAsia="zh-CN"/>
                        </w:rPr>
                      </w:pPr>
                      <w:r>
                        <w:rPr>
                          <w:rFonts w:hint="eastAsia"/>
                          <w:b/>
                          <w:bCs/>
                          <w:color w:val="C00000"/>
                          <w:sz w:val="40"/>
                          <w:szCs w:val="40"/>
                          <w:lang w:val="en-US" w:eastAsia="zh-CN"/>
                        </w:rPr>
                        <w:t>参赛团队：智御项目组</w:t>
                      </w:r>
                    </w:p>
                  </w:txbxContent>
                </v:textbox>
              </v:shape>
            </w:pict>
          </mc:Fallback>
        </mc:AlternateContent>
      </w:r>
    </w:p>
    <w:p w14:paraId="1FF690E2">
      <w:r>
        <mc:AlternateContent>
          <mc:Choice Requires="wps">
            <w:drawing>
              <wp:anchor distT="0" distB="0" distL="114300" distR="114300" simplePos="0" relativeHeight="251663360" behindDoc="0" locked="0" layoutInCell="1" allowOverlap="1">
                <wp:simplePos x="0" y="0"/>
                <wp:positionH relativeFrom="column">
                  <wp:posOffset>1343025</wp:posOffset>
                </wp:positionH>
                <wp:positionV relativeFrom="paragraph">
                  <wp:posOffset>282575</wp:posOffset>
                </wp:positionV>
                <wp:extent cx="4564380" cy="896620"/>
                <wp:effectExtent l="0" t="0" r="0" b="0"/>
                <wp:wrapNone/>
                <wp:docPr id="20" name="文本框 20" descr="项目定位说明"/>
                <wp:cNvGraphicFramePr/>
                <a:graphic xmlns:a="http://schemas.openxmlformats.org/drawingml/2006/main">
                  <a:graphicData uri="http://schemas.microsoft.com/office/word/2010/wordprocessingShape">
                    <wps:wsp>
                      <wps:cNvSpPr txBox="1">
                        <a:spLocks noChangeArrowheads="1"/>
                      </wps:cNvSpPr>
                      <wps:spPr bwMode="auto">
                        <a:xfrm>
                          <a:off x="0" y="0"/>
                          <a:ext cx="4564380" cy="896620"/>
                        </a:xfrm>
                        <a:prstGeom prst="rect">
                          <a:avLst/>
                        </a:prstGeom>
                        <a:noFill/>
                        <a:ln w="9525">
                          <a:noFill/>
                          <a:miter lim="800000"/>
                        </a:ln>
                        <a:effectLst/>
                      </wps:spPr>
                      <wps:txbx>
                        <w:txbxContent>
                          <w:p w14:paraId="07D7DE89">
                            <w:pPr>
                              <w:jc w:val="both"/>
                              <w:rPr>
                                <w:rFonts w:hint="default" w:eastAsia="宋体"/>
                                <w:b/>
                                <w:bCs/>
                                <w:color w:val="C00000"/>
                                <w:sz w:val="40"/>
                                <w:szCs w:val="40"/>
                                <w:lang w:val="en-US" w:eastAsia="zh-CN"/>
                              </w:rPr>
                            </w:pPr>
                            <w:r>
                              <w:rPr>
                                <w:rFonts w:hint="eastAsia"/>
                                <w:b/>
                                <w:bCs/>
                                <w:color w:val="C00000"/>
                                <w:sz w:val="40"/>
                                <w:szCs w:val="40"/>
                                <w:lang w:val="en-US" w:eastAsia="zh-CN"/>
                              </w:rPr>
                              <w:t>面向龙芯麒麟的安全智能运维</w:t>
                            </w:r>
                          </w:p>
                        </w:txbxContent>
                      </wps:txbx>
                      <wps:bodyPr rot="0" vert="horz" wrap="square" lIns="91440" tIns="45720" rIns="91440" bIns="45720" anchor="t" anchorCtr="0">
                        <a:noAutofit/>
                      </wps:bodyPr>
                    </wps:wsp>
                  </a:graphicData>
                </a:graphic>
              </wp:anchor>
            </w:drawing>
          </mc:Choice>
          <mc:Fallback>
            <w:pict>
              <v:shape id="_x0000_s1026" o:spid="_x0000_s1026" o:spt="202" alt="项目定位说明" type="#_x0000_t202" style="position:absolute;left:0pt;margin-left:105.75pt;margin-top:22.25pt;height:70.6pt;width:359.4pt;z-index:251663360;mso-width-relative:page;mso-height-relative:page;" filled="f" stroked="f" coordsize="21600,21600" o:gfxdata="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avAgU9gAAAAKAQAADwAAAAAA&#10;AAABACAAAAAiAAAAZHJzL2Rvd25yZXYueG1sUEsBAhQAFAAAAAgAh07iQDz5asZMAgAAVAQAAA4A&#10;AAAAAAAAAQAgAAAAJwEAAGRycy9lMm9Eb2MueG1sUEsFBgAAAAAGAAYAWQEAAOUFAAAAAA==&#10;">
                <v:fill on="f" focussize="0,0"/>
                <v:stroke on="f" miterlimit="8" joinstyle="miter"/>
                <v:imagedata o:title=""/>
                <o:lock v:ext="edit" aspectratio="f"/>
                <v:textbox>
                  <w:txbxContent>
                    <w:p w14:paraId="07D7DE89">
                      <w:pPr>
                        <w:jc w:val="both"/>
                        <w:rPr>
                          <w:rFonts w:hint="default" w:eastAsia="宋体"/>
                          <w:b/>
                          <w:bCs/>
                          <w:color w:val="C00000"/>
                          <w:sz w:val="40"/>
                          <w:szCs w:val="40"/>
                          <w:lang w:val="en-US" w:eastAsia="zh-CN"/>
                        </w:rPr>
                      </w:pPr>
                      <w:r>
                        <w:rPr>
                          <w:rFonts w:hint="eastAsia"/>
                          <w:b/>
                          <w:bCs/>
                          <w:color w:val="C00000"/>
                          <w:sz w:val="40"/>
                          <w:szCs w:val="40"/>
                          <w:lang w:val="en-US" w:eastAsia="zh-CN"/>
                        </w:rPr>
                        <w:t>面向龙芯麒麟的安全智能运维</w:t>
                      </w:r>
                    </w:p>
                  </w:txbxContent>
                </v:textbox>
              </v:shape>
            </w:pict>
          </mc:Fallback>
        </mc:AlternateContent>
      </w:r>
    </w:p>
    <w:p w14:paraId="7F094B13"/>
    <w:p w14:paraId="7CF13975">
      <w:pPr>
        <w:ind w:left="0" w:leftChars="0" w:firstLine="0" w:firstLineChars="0"/>
      </w:pPr>
    </w:p>
    <w:p w14:paraId="4847DB12">
      <w:pPr>
        <w:sectPr>
          <w:pgSz w:w="11906" w:h="16838"/>
          <w:pgMar w:top="1134" w:right="1134" w:bottom="1134" w:left="1134" w:header="851" w:footer="992" w:gutter="0"/>
          <w:cols w:space="720" w:num="1"/>
          <w:docGrid w:type="lines" w:linePitch="312" w:charSpace="0"/>
        </w:sectPr>
      </w:pPr>
    </w:p>
    <w:p w14:paraId="3C84E3E6">
      <w:r>
        <w:rPr>
          <w:rFonts w:hint="eastAsia" w:eastAsia="宋体"/>
          <w:lang w:eastAsia="zh-CN"/>
        </w:rPr>
        <w:drawing>
          <wp:anchor distT="0" distB="0" distL="114300" distR="114300" simplePos="0" relativeHeight="251666432" behindDoc="1" locked="0" layoutInCell="1" allowOverlap="1">
            <wp:simplePos x="0" y="0"/>
            <wp:positionH relativeFrom="column">
              <wp:posOffset>2732405</wp:posOffset>
            </wp:positionH>
            <wp:positionV relativeFrom="paragraph">
              <wp:posOffset>-7073900</wp:posOffset>
            </wp:positionV>
            <wp:extent cx="9269730" cy="13216255"/>
            <wp:effectExtent l="183515" t="963295" r="2296795" b="1319530"/>
            <wp:wrapNone/>
            <wp:docPr id="4" name="图片 5" descr="8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8567"/>
                    <pic:cNvPicPr>
                      <a:picLocks noChangeAspect="1"/>
                    </pic:cNvPicPr>
                  </pic:nvPicPr>
                  <pic:blipFill>
                    <a:blip r:embed="rId8"/>
                    <a:srcRect b="41002"/>
                    <a:stretch>
                      <a:fillRect/>
                    </a:stretch>
                  </pic:blipFill>
                  <pic:spPr>
                    <a:xfrm rot="-9360000">
                      <a:off x="0" y="0"/>
                      <a:ext cx="9269730" cy="13216255"/>
                    </a:xfrm>
                    <a:prstGeom prst="rect">
                      <a:avLst/>
                    </a:prstGeom>
                    <a:noFill/>
                    <a:ln>
                      <a:noFill/>
                    </a:ln>
                  </pic:spPr>
                </pic:pic>
              </a:graphicData>
            </a:graphic>
          </wp:anchor>
        </w:drawing>
      </w:r>
    </w:p>
    <w:p w14:paraId="7583802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0B8DC46">
      <w:pPr>
        <w:pStyle w:val="11"/>
        <w:tabs>
          <w:tab w:val="right" w:leader="dot" w:pos="9638"/>
        </w:tabs>
      </w:pPr>
      <w:r>
        <w:fldChar w:fldCharType="begin"/>
      </w:r>
      <w:r>
        <w:instrText xml:space="preserve">TOC \o "1-3" \h \u </w:instrText>
      </w:r>
      <w:r>
        <w:fldChar w:fldCharType="separate"/>
      </w:r>
      <w:r>
        <w:fldChar w:fldCharType="begin"/>
      </w:r>
      <w:r>
        <w:instrText xml:space="preserve"> HYPERLINK \l _Toc18575 </w:instrText>
      </w:r>
      <w:r>
        <w:fldChar w:fldCharType="separate"/>
      </w:r>
      <w:r>
        <w:rPr>
          <w:rFonts w:hint="eastAsia"/>
        </w:rPr>
        <w:t xml:space="preserve">第一章 </w:t>
      </w:r>
      <w:r>
        <w:rPr>
          <w:rFonts w:hint="eastAsia"/>
          <w:lang w:val="en-US" w:eastAsia="zh-CN"/>
        </w:rPr>
        <w:t>前言</w:t>
      </w:r>
      <w:r>
        <w:tab/>
      </w:r>
      <w:r>
        <w:fldChar w:fldCharType="begin"/>
      </w:r>
      <w:r>
        <w:instrText xml:space="preserve"> PAGEREF _Toc18575 \h </w:instrText>
      </w:r>
      <w:r>
        <w:fldChar w:fldCharType="separate"/>
      </w:r>
      <w:r>
        <w:t>1</w:t>
      </w:r>
      <w:r>
        <w:fldChar w:fldCharType="end"/>
      </w:r>
      <w:r>
        <w:fldChar w:fldCharType="end"/>
      </w:r>
    </w:p>
    <w:p w14:paraId="4DA22C2C">
      <w:pPr>
        <w:pStyle w:val="11"/>
        <w:tabs>
          <w:tab w:val="right" w:leader="dot" w:pos="9638"/>
        </w:tabs>
      </w:pPr>
      <w:r>
        <w:fldChar w:fldCharType="begin"/>
      </w:r>
      <w:r>
        <w:instrText xml:space="preserve"> HYPERLINK \l _Toc27736 </w:instrText>
      </w:r>
      <w:r>
        <w:fldChar w:fldCharType="separate"/>
      </w:r>
      <w:r>
        <w:rPr>
          <w:rFonts w:hint="eastAsia"/>
        </w:rPr>
        <w:t xml:space="preserve">第二章 </w:t>
      </w:r>
      <w:r>
        <w:rPr>
          <w:rFonts w:hint="eastAsia"/>
          <w:lang w:val="en-US" w:eastAsia="zh-CN"/>
        </w:rPr>
        <w:t>业务背景分析</w:t>
      </w:r>
      <w:r>
        <w:tab/>
      </w:r>
      <w:r>
        <w:fldChar w:fldCharType="begin"/>
      </w:r>
      <w:r>
        <w:instrText xml:space="preserve"> PAGEREF _Toc27736 \h </w:instrText>
      </w:r>
      <w:r>
        <w:fldChar w:fldCharType="separate"/>
      </w:r>
      <w:r>
        <w:t>2</w:t>
      </w:r>
      <w:r>
        <w:fldChar w:fldCharType="end"/>
      </w:r>
      <w:r>
        <w:fldChar w:fldCharType="end"/>
      </w:r>
    </w:p>
    <w:p w14:paraId="5FB71BCA">
      <w:pPr>
        <w:pStyle w:val="12"/>
        <w:tabs>
          <w:tab w:val="right" w:leader="dot" w:pos="9638"/>
        </w:tabs>
      </w:pPr>
      <w:r>
        <w:fldChar w:fldCharType="begin"/>
      </w:r>
      <w:r>
        <w:instrText xml:space="preserve"> HYPERLINK \l _Toc2019 </w:instrText>
      </w:r>
      <w:r>
        <w:fldChar w:fldCharType="separate"/>
      </w:r>
      <w:r>
        <w:rPr>
          <w:rFonts w:hint="eastAsia"/>
        </w:rPr>
        <w:t xml:space="preserve">一、 </w:t>
      </w:r>
      <w:r>
        <w:rPr>
          <w:rFonts w:hint="eastAsia"/>
          <w:lang w:val="en-US" w:eastAsia="zh-CN"/>
        </w:rPr>
        <w:t>业务痛点</w:t>
      </w:r>
      <w:r>
        <w:tab/>
      </w:r>
      <w:r>
        <w:fldChar w:fldCharType="begin"/>
      </w:r>
      <w:r>
        <w:instrText xml:space="preserve"> PAGEREF _Toc2019 \h </w:instrText>
      </w:r>
      <w:r>
        <w:fldChar w:fldCharType="separate"/>
      </w:r>
      <w:r>
        <w:t>2</w:t>
      </w:r>
      <w:r>
        <w:fldChar w:fldCharType="end"/>
      </w:r>
      <w:r>
        <w:fldChar w:fldCharType="end"/>
      </w:r>
    </w:p>
    <w:p w14:paraId="691E9193">
      <w:pPr>
        <w:pStyle w:val="12"/>
        <w:tabs>
          <w:tab w:val="right" w:leader="dot" w:pos="9638"/>
        </w:tabs>
      </w:pPr>
      <w:r>
        <w:fldChar w:fldCharType="begin"/>
      </w:r>
      <w:r>
        <w:instrText xml:space="preserve"> HYPERLINK \l _Toc19194 </w:instrText>
      </w:r>
      <w:r>
        <w:fldChar w:fldCharType="separate"/>
      </w:r>
      <w:r>
        <w:rPr>
          <w:rFonts w:hint="eastAsia"/>
        </w:rPr>
        <w:t xml:space="preserve">二、 </w:t>
      </w:r>
      <w:r>
        <w:rPr>
          <w:rFonts w:hint="eastAsia"/>
          <w:lang w:val="en-US" w:eastAsia="zh-CN"/>
        </w:rPr>
        <w:t>建设目标</w:t>
      </w:r>
      <w:r>
        <w:tab/>
      </w:r>
      <w:r>
        <w:fldChar w:fldCharType="begin"/>
      </w:r>
      <w:r>
        <w:instrText xml:space="preserve"> PAGEREF _Toc19194 \h </w:instrText>
      </w:r>
      <w:r>
        <w:fldChar w:fldCharType="separate"/>
      </w:r>
      <w:r>
        <w:t>2</w:t>
      </w:r>
      <w:r>
        <w:fldChar w:fldCharType="end"/>
      </w:r>
      <w:r>
        <w:fldChar w:fldCharType="end"/>
      </w:r>
    </w:p>
    <w:p w14:paraId="70FBCB2D">
      <w:pPr>
        <w:pStyle w:val="11"/>
        <w:tabs>
          <w:tab w:val="right" w:leader="dot" w:pos="9638"/>
        </w:tabs>
      </w:pPr>
      <w:r>
        <w:fldChar w:fldCharType="begin"/>
      </w:r>
      <w:r>
        <w:instrText xml:space="preserve"> HYPERLINK \l _Toc317 </w:instrText>
      </w:r>
      <w:r>
        <w:fldChar w:fldCharType="separate"/>
      </w:r>
      <w:r>
        <w:rPr>
          <w:rFonts w:hint="eastAsia"/>
        </w:rPr>
        <w:t xml:space="preserve">第三章 </w:t>
      </w:r>
      <w:r>
        <w:rPr>
          <w:rFonts w:hint="eastAsia"/>
          <w:lang w:val="en-US" w:eastAsia="zh-CN"/>
        </w:rPr>
        <w:t>系统功能需求</w:t>
      </w:r>
      <w:r>
        <w:tab/>
      </w:r>
      <w:r>
        <w:fldChar w:fldCharType="begin"/>
      </w:r>
      <w:r>
        <w:instrText xml:space="preserve"> PAGEREF _Toc317 \h </w:instrText>
      </w:r>
      <w:r>
        <w:fldChar w:fldCharType="separate"/>
      </w:r>
      <w:r>
        <w:t>4</w:t>
      </w:r>
      <w:r>
        <w:fldChar w:fldCharType="end"/>
      </w:r>
      <w:r>
        <w:fldChar w:fldCharType="end"/>
      </w:r>
    </w:p>
    <w:p w14:paraId="3F67BF92">
      <w:pPr>
        <w:pStyle w:val="12"/>
        <w:tabs>
          <w:tab w:val="right" w:leader="dot" w:pos="9638"/>
        </w:tabs>
      </w:pPr>
      <w:r>
        <w:fldChar w:fldCharType="begin"/>
      </w:r>
      <w:r>
        <w:instrText xml:space="preserve"> HYPERLINK \l _Toc24014 </w:instrText>
      </w:r>
      <w:r>
        <w:fldChar w:fldCharType="separate"/>
      </w:r>
      <w:r>
        <w:rPr>
          <w:rFonts w:hint="eastAsia"/>
        </w:rPr>
        <w:t xml:space="preserve">三、 </w:t>
      </w:r>
      <w:r>
        <w:rPr>
          <w:rFonts w:hint="eastAsia"/>
          <w:lang w:val="en-US" w:eastAsia="zh-CN"/>
        </w:rPr>
        <w:t>自然语言交互模块</w:t>
      </w:r>
      <w:r>
        <w:tab/>
      </w:r>
      <w:r>
        <w:fldChar w:fldCharType="begin"/>
      </w:r>
      <w:r>
        <w:instrText xml:space="preserve"> PAGEREF _Toc24014 \h </w:instrText>
      </w:r>
      <w:r>
        <w:fldChar w:fldCharType="separate"/>
      </w:r>
      <w:r>
        <w:t>4</w:t>
      </w:r>
      <w:r>
        <w:fldChar w:fldCharType="end"/>
      </w:r>
      <w:r>
        <w:fldChar w:fldCharType="end"/>
      </w:r>
    </w:p>
    <w:p w14:paraId="49179EB0">
      <w:pPr>
        <w:pStyle w:val="12"/>
        <w:tabs>
          <w:tab w:val="right" w:leader="dot" w:pos="9638"/>
        </w:tabs>
      </w:pPr>
      <w:r>
        <w:fldChar w:fldCharType="begin"/>
      </w:r>
      <w:r>
        <w:instrText xml:space="preserve"> HYPERLINK \l _Toc4153 </w:instrText>
      </w:r>
      <w:r>
        <w:fldChar w:fldCharType="separate"/>
      </w:r>
      <w:r>
        <w:rPr>
          <w:rFonts w:hint="eastAsia"/>
        </w:rPr>
        <w:t xml:space="preserve">四、 </w:t>
      </w:r>
      <w:r>
        <w:rPr>
          <w:rFonts w:hint="eastAsia"/>
          <w:lang w:val="en-US" w:eastAsia="zh-CN"/>
        </w:rPr>
        <w:t>系统感知与诊断模块</w:t>
      </w:r>
      <w:r>
        <w:tab/>
      </w:r>
      <w:r>
        <w:fldChar w:fldCharType="begin"/>
      </w:r>
      <w:r>
        <w:instrText xml:space="preserve"> PAGEREF _Toc4153 \h </w:instrText>
      </w:r>
      <w:r>
        <w:fldChar w:fldCharType="separate"/>
      </w:r>
      <w:r>
        <w:t>5</w:t>
      </w:r>
      <w:r>
        <w:fldChar w:fldCharType="end"/>
      </w:r>
      <w:r>
        <w:fldChar w:fldCharType="end"/>
      </w:r>
    </w:p>
    <w:p w14:paraId="67D980F7">
      <w:pPr>
        <w:pStyle w:val="12"/>
        <w:tabs>
          <w:tab w:val="right" w:leader="dot" w:pos="9638"/>
        </w:tabs>
      </w:pPr>
      <w:r>
        <w:fldChar w:fldCharType="begin"/>
      </w:r>
      <w:r>
        <w:instrText xml:space="preserve"> HYPERLINK \l _Toc3604 </w:instrText>
      </w:r>
      <w:r>
        <w:fldChar w:fldCharType="separate"/>
      </w:r>
      <w:r>
        <w:rPr>
          <w:rFonts w:hint="eastAsia"/>
        </w:rPr>
        <w:t xml:space="preserve">五、 </w:t>
      </w:r>
      <w:r>
        <w:rPr>
          <w:rFonts w:hint="eastAsia"/>
          <w:lang w:val="en-US" w:eastAsia="zh-CN"/>
        </w:rPr>
        <w:t>处置建议与计划模块</w:t>
      </w:r>
      <w:r>
        <w:tab/>
      </w:r>
      <w:r>
        <w:fldChar w:fldCharType="begin"/>
      </w:r>
      <w:r>
        <w:instrText xml:space="preserve"> PAGEREF _Toc3604 \h </w:instrText>
      </w:r>
      <w:r>
        <w:fldChar w:fldCharType="separate"/>
      </w:r>
      <w:r>
        <w:t>6</w:t>
      </w:r>
      <w:r>
        <w:fldChar w:fldCharType="end"/>
      </w:r>
      <w:r>
        <w:fldChar w:fldCharType="end"/>
      </w:r>
    </w:p>
    <w:p w14:paraId="154994B9">
      <w:pPr>
        <w:pStyle w:val="12"/>
        <w:tabs>
          <w:tab w:val="right" w:leader="dot" w:pos="9638"/>
        </w:tabs>
      </w:pPr>
      <w:r>
        <w:fldChar w:fldCharType="begin"/>
      </w:r>
      <w:r>
        <w:instrText xml:space="preserve"> HYPERLINK \l _Toc19683 </w:instrText>
      </w:r>
      <w:r>
        <w:fldChar w:fldCharType="separate"/>
      </w:r>
      <w:r>
        <w:rPr>
          <w:rFonts w:hint="eastAsia"/>
        </w:rPr>
        <w:t xml:space="preserve">六、 </w:t>
      </w:r>
      <w:r>
        <w:rPr>
          <w:rFonts w:hint="eastAsia"/>
          <w:lang w:val="en-US" w:eastAsia="zh-CN"/>
        </w:rPr>
        <w:t>安全决策模块</w:t>
      </w:r>
      <w:r>
        <w:tab/>
      </w:r>
      <w:r>
        <w:fldChar w:fldCharType="begin"/>
      </w:r>
      <w:r>
        <w:instrText xml:space="preserve"> PAGEREF _Toc19683 \h </w:instrText>
      </w:r>
      <w:r>
        <w:fldChar w:fldCharType="separate"/>
      </w:r>
      <w:r>
        <w:t>7</w:t>
      </w:r>
      <w:r>
        <w:fldChar w:fldCharType="end"/>
      </w:r>
      <w:r>
        <w:fldChar w:fldCharType="end"/>
      </w:r>
    </w:p>
    <w:p w14:paraId="52BBC2A3">
      <w:pPr>
        <w:pStyle w:val="12"/>
        <w:tabs>
          <w:tab w:val="right" w:leader="dot" w:pos="9638"/>
        </w:tabs>
      </w:pPr>
      <w:r>
        <w:fldChar w:fldCharType="begin"/>
      </w:r>
      <w:r>
        <w:instrText xml:space="preserve"> HYPERLINK \l _Toc16448 </w:instrText>
      </w:r>
      <w:r>
        <w:fldChar w:fldCharType="separate"/>
      </w:r>
      <w:r>
        <w:rPr>
          <w:rFonts w:hint="eastAsia"/>
        </w:rPr>
        <w:t xml:space="preserve">七、 </w:t>
      </w:r>
      <w:r>
        <w:rPr>
          <w:rFonts w:hint="eastAsia"/>
          <w:lang w:val="en-US" w:eastAsia="zh-CN"/>
        </w:rPr>
        <w:t>受控执行模块</w:t>
      </w:r>
      <w:r>
        <w:tab/>
      </w:r>
      <w:r>
        <w:fldChar w:fldCharType="begin"/>
      </w:r>
      <w:r>
        <w:instrText xml:space="preserve"> PAGEREF _Toc16448 \h </w:instrText>
      </w:r>
      <w:r>
        <w:fldChar w:fldCharType="separate"/>
      </w:r>
      <w:r>
        <w:t>8</w:t>
      </w:r>
      <w:r>
        <w:fldChar w:fldCharType="end"/>
      </w:r>
      <w:r>
        <w:fldChar w:fldCharType="end"/>
      </w:r>
    </w:p>
    <w:p w14:paraId="17373F50">
      <w:pPr>
        <w:pStyle w:val="12"/>
        <w:tabs>
          <w:tab w:val="right" w:leader="dot" w:pos="9638"/>
        </w:tabs>
      </w:pPr>
      <w:r>
        <w:fldChar w:fldCharType="begin"/>
      </w:r>
      <w:r>
        <w:instrText xml:space="preserve"> HYPERLINK \l _Toc3063 </w:instrText>
      </w:r>
      <w:r>
        <w:fldChar w:fldCharType="separate"/>
      </w:r>
      <w:r>
        <w:rPr>
          <w:rFonts w:hint="eastAsia"/>
        </w:rPr>
        <w:t xml:space="preserve">八、 </w:t>
      </w:r>
      <w:r>
        <w:rPr>
          <w:rFonts w:hint="eastAsia"/>
          <w:lang w:val="en-US" w:eastAsia="zh-CN"/>
        </w:rPr>
        <w:t>结果验证与审计模块</w:t>
      </w:r>
      <w:r>
        <w:tab/>
      </w:r>
      <w:r>
        <w:fldChar w:fldCharType="begin"/>
      </w:r>
      <w:r>
        <w:instrText xml:space="preserve"> PAGEREF _Toc3063 \h </w:instrText>
      </w:r>
      <w:r>
        <w:fldChar w:fldCharType="separate"/>
      </w:r>
      <w:r>
        <w:t>9</w:t>
      </w:r>
      <w:r>
        <w:fldChar w:fldCharType="end"/>
      </w:r>
      <w:r>
        <w:fldChar w:fldCharType="end"/>
      </w:r>
    </w:p>
    <w:p w14:paraId="0960E726">
      <w:pPr>
        <w:pStyle w:val="12"/>
        <w:tabs>
          <w:tab w:val="right" w:leader="dot" w:pos="9638"/>
        </w:tabs>
      </w:pPr>
      <w:r>
        <w:fldChar w:fldCharType="begin"/>
      </w:r>
      <w:r>
        <w:instrText xml:space="preserve"> HYPERLINK \l _Toc22491 </w:instrText>
      </w:r>
      <w:r>
        <w:fldChar w:fldCharType="separate"/>
      </w:r>
      <w:r>
        <w:rPr>
          <w:rFonts w:hint="eastAsia"/>
        </w:rPr>
        <w:t xml:space="preserve">九、 </w:t>
      </w:r>
      <w:r>
        <w:rPr>
          <w:rFonts w:hint="eastAsia"/>
          <w:lang w:val="en-US" w:eastAsia="zh-CN"/>
        </w:rPr>
        <w:t>真实日志处理演示</w:t>
      </w:r>
      <w:r>
        <w:tab/>
      </w:r>
      <w:r>
        <w:fldChar w:fldCharType="begin"/>
      </w:r>
      <w:r>
        <w:instrText xml:space="preserve"> PAGEREF _Toc22491 \h </w:instrText>
      </w:r>
      <w:r>
        <w:fldChar w:fldCharType="separate"/>
      </w:r>
      <w:r>
        <w:t>10</w:t>
      </w:r>
      <w:r>
        <w:fldChar w:fldCharType="end"/>
      </w:r>
      <w:r>
        <w:fldChar w:fldCharType="end"/>
      </w:r>
    </w:p>
    <w:p w14:paraId="211D7928">
      <w:pPr>
        <w:pStyle w:val="11"/>
        <w:tabs>
          <w:tab w:val="right" w:leader="dot" w:pos="9638"/>
        </w:tabs>
      </w:pPr>
      <w:r>
        <w:fldChar w:fldCharType="begin"/>
      </w:r>
      <w:r>
        <w:instrText xml:space="preserve"> HYPERLINK \l _Toc17862 </w:instrText>
      </w:r>
      <w:r>
        <w:fldChar w:fldCharType="separate"/>
      </w:r>
      <w:r>
        <w:rPr>
          <w:rFonts w:hint="eastAsia"/>
        </w:rPr>
        <w:t xml:space="preserve">第四章 </w:t>
      </w:r>
      <w:r>
        <w:rPr>
          <w:rFonts w:hint="eastAsia"/>
          <w:lang w:val="en-US" w:eastAsia="zh-CN"/>
        </w:rPr>
        <w:t>非功能需求</w:t>
      </w:r>
      <w:r>
        <w:tab/>
      </w:r>
      <w:r>
        <w:fldChar w:fldCharType="begin"/>
      </w:r>
      <w:r>
        <w:instrText xml:space="preserve"> PAGEREF _Toc17862 \h </w:instrText>
      </w:r>
      <w:r>
        <w:fldChar w:fldCharType="separate"/>
      </w:r>
      <w:r>
        <w:t>12</w:t>
      </w:r>
      <w:r>
        <w:fldChar w:fldCharType="end"/>
      </w:r>
      <w:r>
        <w:fldChar w:fldCharType="end"/>
      </w:r>
    </w:p>
    <w:p w14:paraId="51406CE4">
      <w:pPr>
        <w:pStyle w:val="12"/>
        <w:tabs>
          <w:tab w:val="right" w:leader="dot" w:pos="9638"/>
        </w:tabs>
      </w:pPr>
      <w:r>
        <w:fldChar w:fldCharType="begin"/>
      </w:r>
      <w:r>
        <w:instrText xml:space="preserve"> HYPERLINK \l _Toc11054 </w:instrText>
      </w:r>
      <w:r>
        <w:fldChar w:fldCharType="separate"/>
      </w:r>
      <w:r>
        <w:rPr>
          <w:rFonts w:hint="eastAsia"/>
        </w:rPr>
        <w:t xml:space="preserve">十、 </w:t>
      </w:r>
      <w:r>
        <w:rPr>
          <w:rFonts w:hint="eastAsia"/>
          <w:lang w:val="en-US" w:eastAsia="zh-CN"/>
        </w:rPr>
        <w:t>性能与兼容性需求</w:t>
      </w:r>
      <w:r>
        <w:tab/>
      </w:r>
      <w:r>
        <w:fldChar w:fldCharType="begin"/>
      </w:r>
      <w:r>
        <w:instrText xml:space="preserve"> PAGEREF _Toc11054 \h </w:instrText>
      </w:r>
      <w:r>
        <w:fldChar w:fldCharType="separate"/>
      </w:r>
      <w:r>
        <w:t>12</w:t>
      </w:r>
      <w:r>
        <w:fldChar w:fldCharType="end"/>
      </w:r>
      <w:r>
        <w:fldChar w:fldCharType="end"/>
      </w:r>
    </w:p>
    <w:p w14:paraId="50AAB9E9">
      <w:pPr>
        <w:pStyle w:val="12"/>
        <w:tabs>
          <w:tab w:val="right" w:leader="dot" w:pos="9638"/>
        </w:tabs>
      </w:pPr>
      <w:r>
        <w:fldChar w:fldCharType="begin"/>
      </w:r>
      <w:r>
        <w:instrText xml:space="preserve"> HYPERLINK \l _Toc16814 </w:instrText>
      </w:r>
      <w:r>
        <w:fldChar w:fldCharType="separate"/>
      </w:r>
      <w:r>
        <w:rPr>
          <w:rFonts w:hint="eastAsia"/>
        </w:rPr>
        <w:t xml:space="preserve">十一、 </w:t>
      </w:r>
      <w:r>
        <w:rPr>
          <w:rFonts w:hint="eastAsia"/>
          <w:lang w:val="en-US" w:eastAsia="zh-CN"/>
        </w:rPr>
        <w:t>安全性与可靠性需求</w:t>
      </w:r>
      <w:r>
        <w:tab/>
      </w:r>
      <w:r>
        <w:fldChar w:fldCharType="begin"/>
      </w:r>
      <w:r>
        <w:instrText xml:space="preserve"> PAGEREF _Toc16814 \h </w:instrText>
      </w:r>
      <w:r>
        <w:fldChar w:fldCharType="separate"/>
      </w:r>
      <w:r>
        <w:t>13</w:t>
      </w:r>
      <w:r>
        <w:fldChar w:fldCharType="end"/>
      </w:r>
      <w:r>
        <w:fldChar w:fldCharType="end"/>
      </w:r>
    </w:p>
    <w:p w14:paraId="2FBCA52E">
      <w:pPr>
        <w:pStyle w:val="11"/>
        <w:tabs>
          <w:tab w:val="right" w:leader="dot" w:pos="9638"/>
        </w:tabs>
      </w:pPr>
      <w:r>
        <w:fldChar w:fldCharType="begin"/>
      </w:r>
      <w:r>
        <w:instrText xml:space="preserve"> HYPERLINK \l _Toc28017 </w:instrText>
      </w:r>
      <w:r>
        <w:fldChar w:fldCharType="separate"/>
      </w:r>
      <w:r>
        <w:rPr>
          <w:rFonts w:hint="eastAsia"/>
        </w:rPr>
        <w:t xml:space="preserve">第五章 </w:t>
      </w:r>
      <w:r>
        <w:rPr>
          <w:rFonts w:hint="eastAsia"/>
          <w:lang w:val="en-US" w:eastAsia="zh-CN"/>
        </w:rPr>
        <w:t>结语</w:t>
      </w:r>
      <w:r>
        <w:tab/>
      </w:r>
      <w:r>
        <w:fldChar w:fldCharType="begin"/>
      </w:r>
      <w:r>
        <w:instrText xml:space="preserve"> PAGEREF _Toc28017 \h </w:instrText>
      </w:r>
      <w:r>
        <w:fldChar w:fldCharType="separate"/>
      </w:r>
      <w:r>
        <w:t>14</w:t>
      </w:r>
      <w:r>
        <w:fldChar w:fldCharType="end"/>
      </w:r>
      <w:r>
        <w:fldChar w:fldCharType="end"/>
      </w:r>
    </w:p>
    <w:p w14:paraId="71976425">
      <w:pPr>
        <w:ind w:left="0" w:leftChars="0" w:firstLine="0" w:firstLineChars="0"/>
        <w:sectPr>
          <w:footerReference r:id="rId5" w:type="default"/>
          <w:pgSz w:w="11906" w:h="16838"/>
          <w:pgMar w:top="1134" w:right="1134" w:bottom="1134" w:left="1134" w:header="851" w:footer="992" w:gutter="0"/>
          <w:pgNumType w:start="1"/>
          <w:cols w:space="720" w:num="1"/>
          <w:docGrid w:type="lines" w:linePitch="312" w:charSpace="0"/>
        </w:sectPr>
      </w:pPr>
      <w:r>
        <w:fldChar w:fldCharType="end"/>
      </w:r>
      <w:r>
        <w:rPr>
          <w:rFonts w:hint="eastAsia" w:eastAsia="宋体"/>
          <w:lang w:eastAsia="zh-CN"/>
        </w:rPr>
        <w:drawing>
          <wp:anchor distT="0" distB="0" distL="114300" distR="114300" simplePos="0" relativeHeight="251669504" behindDoc="1" locked="0" layoutInCell="1" allowOverlap="1">
            <wp:simplePos x="0" y="0"/>
            <wp:positionH relativeFrom="column">
              <wp:posOffset>-2872105</wp:posOffset>
            </wp:positionH>
            <wp:positionV relativeFrom="paragraph">
              <wp:posOffset>-2364740</wp:posOffset>
            </wp:positionV>
            <wp:extent cx="9128760" cy="15711170"/>
            <wp:effectExtent l="0" t="0" r="0" b="1270"/>
            <wp:wrapNone/>
            <wp:docPr id="7" name="图片 6" descr="8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8567"/>
                    <pic:cNvPicPr>
                      <a:picLocks noChangeAspect="1"/>
                    </pic:cNvPicPr>
                  </pic:nvPicPr>
                  <pic:blipFill>
                    <a:blip r:embed="rId8"/>
                    <a:srcRect b="41002"/>
                    <a:stretch>
                      <a:fillRect/>
                    </a:stretch>
                  </pic:blipFill>
                  <pic:spPr>
                    <a:xfrm>
                      <a:off x="0" y="0"/>
                      <a:ext cx="9128760" cy="15711170"/>
                    </a:xfrm>
                    <a:prstGeom prst="rect">
                      <a:avLst/>
                    </a:prstGeom>
                    <a:noFill/>
                    <a:ln>
                      <a:noFill/>
                    </a:ln>
                  </pic:spPr>
                </pic:pic>
              </a:graphicData>
            </a:graphic>
          </wp:anchor>
        </w:drawing>
      </w:r>
    </w:p>
    <w:p w14:paraId="4CD6089A">
      <w:pPr>
        <w:pStyle w:val="2"/>
        <w:keepNext/>
        <w:bidi w:val="0"/>
        <w:ind w:left="78" w:leftChars="0" w:firstLineChars="0"/>
      </w:pPr>
      <w:bookmarkStart w:id="0" w:name="_Toc18575"/>
      <w:r>
        <w:rPr>
          <w:rFonts w:hint="eastAsia"/>
          <w:lang w:val="en-US" w:eastAsia="zh-CN"/>
        </w:rPr>
        <w:t>前言</w:t>
      </w:r>
      <w:bookmarkEnd w:id="0"/>
    </w:p>
    <w:p w14:paraId="2A020520">
      <w:pPr>
        <w:bidi w:val="0"/>
      </w:pPr>
      <w:r>
        <w:rPr>
          <w:rFonts w:hint="default"/>
        </w:rPr>
        <w:t>随着企业数据中心规模扩大，操作系统故障呈现出信号分散、定位链路长、处置窗口短等特点。僵尸进程堆积、磁盘 I/O 异常、日志快速增长、服务状态波动等问题，往往需要运维人员在多种命令与监控信息之间反复切换，才能形成可执行的判断。</w:t>
      </w:r>
    </w:p>
    <w:p w14:paraId="37FBC0D7">
      <w:pPr>
        <w:bidi w:val="0"/>
      </w:pPr>
      <w:r>
        <w:rPr>
          <w:rFonts w:hint="default"/>
        </w:rPr>
        <w:t>智御·OS 智能运维 Agent 面向龙芯处理器与麒麟服务器操作系统，定位为自然语言与本机操作系统之间的安全交互桥梁。系统通过 MCP 协议组织可控工具，使大模型能够获取实时系统状态、关联运维证据、解释异常原因并生成处置建议。</w:t>
      </w:r>
    </w:p>
    <w:p w14:paraId="1A5452FF">
      <w:pPr>
        <w:bidi w:val="0"/>
      </w:pPr>
      <w:r>
        <w:rPr>
          <w:rFonts w:hint="default"/>
        </w:rPr>
        <w:t>本系统采用“告警接续—只读感知—证据诊断—方案生成—安全裁决—人工确认—受控执行—结果复核”的工作闭环。运维人员始终掌握最终执行权，Agent 负责降低信息收集和命令组织门槛，并将每一步依据、风险、动作与结果清晰呈现。</w:t>
      </w:r>
    </w:p>
    <w:p w14:paraId="1CA8A3C9">
      <w:pPr>
        <w:bidi w:val="0"/>
      </w:pPr>
      <w:r>
        <w:rPr>
          <w:rFonts w:hint="default"/>
        </w:rPr>
        <w:t>系统将安全控制建立在确定性的规则、权限和执行约束之上，而非依赖大模型的自我判断。对于破坏核心数据、损害操作系统能力、窃取隐私、实施攻击或绕过安全控制的请求，系统必须明确拒绝，且任何会话内容都不能解除这一限制。</w:t>
      </w:r>
    </w:p>
    <w:p w14:paraId="51E902A3">
      <w:pPr>
        <w:pStyle w:val="2"/>
        <w:keepNext/>
        <w:pageBreakBefore/>
        <w:bidi w:val="0"/>
        <w:ind w:left="78" w:leftChars="0" w:firstLineChars="0"/>
      </w:pPr>
      <w:bookmarkStart w:id="1" w:name="_Toc27736"/>
      <w:r>
        <w:rPr>
          <w:rFonts w:hint="eastAsia"/>
          <w:lang w:val="en-US" w:eastAsia="zh-CN"/>
        </w:rPr>
        <w:t>业务背景分析</w:t>
      </w:r>
      <w:bookmarkEnd w:id="1"/>
    </w:p>
    <w:p w14:paraId="4C2B38EA">
      <w:pPr>
        <w:pStyle w:val="4"/>
        <w:keepNext/>
        <w:bidi w:val="0"/>
      </w:pPr>
      <w:bookmarkStart w:id="2" w:name="_Toc2019"/>
      <w:r>
        <w:rPr>
          <w:rFonts w:hint="eastAsia"/>
          <w:lang w:val="en-US" w:eastAsia="zh-CN"/>
        </w:rPr>
        <w:t>业务痛点</w:t>
      </w:r>
      <w:bookmarkEnd w:id="2"/>
    </w:p>
    <w:p w14:paraId="0D840BD1">
      <w:pPr>
        <w:pStyle w:val="5"/>
        <w:keepNext w:val="0"/>
        <w:keepLines w:val="0"/>
        <w:widowControl/>
        <w:suppressLineNumbers w:val="0"/>
        <w:spacing w:before="160" w:after="80"/>
        <w:rPr>
          <w:rFonts w:hint="eastAsia"/>
          <w:b/>
          <w:bCs/>
          <w:sz w:val="28"/>
          <w:szCs w:val="28"/>
          <w:lang w:val="en-US" w:eastAsia="zh-CN"/>
        </w:rPr>
      </w:pPr>
      <w:r>
        <w:rPr>
          <w:rFonts w:ascii="宋体" w:hAnsi="宋体" w:eastAsia="宋体"/>
          <w:b/>
          <w:sz w:val="26"/>
        </w:rPr>
        <w:t>（一）告警、诊断与处置之间存在信息断层</w:t>
      </w:r>
    </w:p>
    <w:p w14:paraId="6F35C34B">
      <w:pPr>
        <w:pStyle w:val="13"/>
        <w:keepNext w:val="0"/>
        <w:keepLines w:val="0"/>
        <w:widowControl/>
        <w:suppressLineNumbers w:val="0"/>
        <w:spacing w:line="348" w:lineRule="auto" w:after="120" w:before="0"/>
        <w:ind w:firstLine="480"/>
      </w:pPr>
      <w:r>
        <w:rPr>
          <w:rFonts w:ascii="宋体" w:hAnsi="宋体" w:eastAsia="宋体"/>
          <w:sz w:val="24"/>
        </w:rPr>
        <w:t>现有监控平台能够发现磁盘占用率升高、服务异常或进程堆积等现象，但告警通常只说明“发生了什么”，不能直接回答“影响对象在哪里、为什么发生以及如何安全处置”。运维人员仍需补充系统状态、定位影响范围、判断风险并组织处置步骤，告警到行动之间存在明显的信息与决策断层。</w:t>
      </w:r>
    </w:p>
    <w:p w14:paraId="55106FFE">
      <w:pPr>
        <w:pStyle w:val="5"/>
        <w:keepNext w:val="0"/>
        <w:keepLines w:val="0"/>
        <w:widowControl/>
        <w:suppressLineNumbers w:val="0"/>
        <w:spacing w:before="160" w:after="80" w:line="348" w:lineRule="auto"/>
        <w:ind w:firstLine="0"/>
        <w:rPr>
          <w:rFonts w:hint="eastAsia"/>
          <w:b/>
          <w:bCs/>
          <w:sz w:val="28"/>
          <w:szCs w:val="28"/>
          <w:lang w:val="en-US" w:eastAsia="zh-CN"/>
        </w:rPr>
      </w:pPr>
      <w:r>
        <w:rPr>
          <w:rFonts w:ascii="宋体" w:hAnsi="宋体" w:eastAsia="宋体"/>
          <w:b/>
          <w:sz w:val="26"/>
        </w:rPr>
        <w:t>（二）证据分散与脚本门槛共同抬高诊断成本</w:t>
      </w:r>
    </w:p>
    <w:p w14:paraId="1E0E0D38">
      <w:pPr>
        <w:keepNext w:val="0"/>
        <w:keepLines w:val="0"/>
        <w:widowControl/>
        <w:suppressLineNumbers w:val="0"/>
        <w:spacing w:before="0" w:after="120" w:line="348" w:lineRule="auto"/>
        <w:ind w:firstLine="480"/>
        <w:rPr>
          <w:rFonts w:hint="eastAsia"/>
          <w:b/>
          <w:bCs/>
          <w:sz w:val="28"/>
          <w:szCs w:val="28"/>
          <w:lang w:val="en-US" w:eastAsia="zh-CN"/>
        </w:rPr>
      </w:pPr>
      <w:r>
        <w:rPr>
          <w:rFonts w:ascii="宋体" w:hAnsi="宋体" w:eastAsia="宋体"/>
          <w:sz w:val="24"/>
        </w:rPr>
        <w:t>文件系统、进程、服务、网络和日志信息来自不同命令，输出格式各异；缺少统一证据视图时，异常之间的关联容易被忽略，根因定位往往依赖个人经验。同时，传统运维要求人员熟悉大量命令参数、路径规则和执行顺序，临时拼接脚本不仅耗时，也可能因变量展开、路径识别或权限判断错误而产生误操作。</w:t>
      </w:r>
    </w:p>
    <w:p w14:paraId="4BD6C125">
      <w:pPr>
        <w:pStyle w:val="5"/>
        <w:keepNext w:val="0"/>
        <w:keepLines w:val="0"/>
        <w:widowControl/>
        <w:suppressLineNumbers w:val="0"/>
        <w:spacing w:line="348" w:lineRule="auto" w:before="160" w:after="80"/>
        <w:ind w:firstLine="0"/>
      </w:pPr>
      <w:r>
        <w:rPr>
          <w:rFonts w:ascii="宋体" w:hAnsi="宋体" w:eastAsia="宋体"/>
          <w:b/>
          <w:sz w:val="26"/>
        </w:rPr>
        <w:t>（三）生成式推理与执行结果仍需独立验证</w:t>
      </w:r>
    </w:p>
    <w:p w14:paraId="58EA3680">
      <w:pPr>
        <w:keepNext w:val="0"/>
        <w:keepLines w:val="0"/>
        <w:widowControl/>
        <w:suppressLineNumbers w:val="0"/>
        <w:spacing w:line="348" w:lineRule="auto" w:before="0" w:after="120"/>
        <w:ind w:firstLine="480"/>
      </w:pPr>
      <w:r>
        <w:rPr>
          <w:rFonts w:ascii="宋体" w:hAnsi="宋体" w:eastAsia="宋体"/>
          <w:sz w:val="24"/>
        </w:rPr>
        <w:t>通用大模型能够理解自然语言，却可能生成不存在的命令、错误参数或缺少依据的结论，因此不能仅依赖模型的安全意识和语言表达。即使某条命令返回成功，也不能证明磁盘空间已经释放、服务已经恢复或目标文件仍可正常写入；缺少执行后复核会使处置结果失真。</w:t>
      </w:r>
    </w:p>
    <w:p w14:paraId="176E5ECC">
      <w:pPr>
        <w:pStyle w:val="4"/>
        <w:keepNext/>
        <w:bidi w:val="0"/>
      </w:pPr>
      <w:bookmarkStart w:id="3" w:name="_Toc19194"/>
      <w:r>
        <w:rPr>
          <w:rFonts w:hint="eastAsia"/>
          <w:lang w:val="en-US" w:eastAsia="zh-CN"/>
        </w:rPr>
        <w:t>建设目标</w:t>
      </w:r>
      <w:bookmarkEnd w:id="3"/>
    </w:p>
    <w:p w14:paraId="59553A91">
      <w:pPr>
        <w:pStyle w:val="5"/>
        <w:keepNext w:val="0"/>
        <w:keepLines w:val="0"/>
        <w:widowControl/>
        <w:suppressLineNumbers w:val="0"/>
        <w:spacing w:before="160" w:after="80"/>
        <w:rPr>
          <w:rFonts w:hint="eastAsia"/>
          <w:b/>
          <w:bCs/>
          <w:sz w:val="28"/>
          <w:szCs w:val="28"/>
          <w:lang w:val="en-US" w:eastAsia="zh-CN"/>
        </w:rPr>
      </w:pPr>
      <w:r>
        <w:rPr>
          <w:rFonts w:ascii="宋体" w:hAnsi="宋体" w:eastAsia="宋体"/>
          <w:b/>
          <w:sz w:val="26"/>
        </w:rPr>
        <w:t>（一）构建自然语言运维入口</w:t>
      </w:r>
    </w:p>
    <w:p w14:paraId="554D0B96">
      <w:pPr>
        <w:pStyle w:val="13"/>
        <w:keepNext w:val="0"/>
        <w:keepLines w:val="0"/>
        <w:widowControl/>
        <w:suppressLineNumbers w:val="0"/>
        <w:spacing w:line="348" w:lineRule="auto" w:after="120" w:before="0"/>
        <w:ind w:firstLine="480"/>
      </w:pPr>
      <w:r>
        <w:rPr>
          <w:rFonts w:ascii="宋体" w:hAnsi="宋体" w:eastAsia="宋体"/>
          <w:sz w:val="24"/>
        </w:rPr>
        <w:t>运维人员应能够直接描述告警、目标和约束，例如“服务器磁盘空间告警，请定位原因，先不要删除任何数据”。系统理解意图后自动组织只读检查，并以通俗语言说明当前证据、判断结论和仍需人工决定的事项。</w:t>
      </w:r>
    </w:p>
    <w:p w14:paraId="748D869C">
      <w:pPr>
        <w:pStyle w:val="5"/>
        <w:keepNext w:val="0"/>
        <w:keepLines w:val="0"/>
        <w:widowControl/>
        <w:suppressLineNumbers w:val="0"/>
        <w:spacing w:before="160" w:after="80"/>
        <w:rPr>
          <w:rFonts w:hint="eastAsia"/>
          <w:b/>
          <w:bCs/>
          <w:sz w:val="28"/>
          <w:szCs w:val="28"/>
          <w:lang w:val="en-US" w:eastAsia="zh-CN"/>
        </w:rPr>
      </w:pPr>
      <w:r>
        <w:rPr>
          <w:rFonts w:ascii="宋体" w:hAnsi="宋体" w:eastAsia="宋体"/>
          <w:b/>
          <w:sz w:val="26"/>
        </w:rPr>
        <w:t>（二）形成证据驱动的辅助诊断</w:t>
      </w:r>
    </w:p>
    <w:p w14:paraId="7CC3ECA3">
      <w:pPr>
        <w:pStyle w:val="13"/>
        <w:keepNext w:val="0"/>
        <w:keepLines w:val="0"/>
        <w:widowControl/>
        <w:suppressLineNumbers w:val="0"/>
        <w:spacing w:line="348" w:lineRule="auto" w:after="120" w:before="0"/>
        <w:ind w:firstLine="480"/>
      </w:pPr>
      <w:r>
        <w:rPr>
          <w:rFonts w:ascii="宋体" w:hAnsi="宋体" w:eastAsia="宋体"/>
          <w:sz w:val="24"/>
        </w:rPr>
        <w:t>所有诊断结论应关联实际采集到的指标、路径、进程、服务或日志证据；证据不足时，系统继续补充检查或说明不确定性，而不是直接生成可执行入口。这样可使诊断从“模型给出答案”转变为“证据支持判断”。</w:t>
      </w:r>
    </w:p>
    <w:p w14:paraId="3B501F8C">
      <w:pPr>
        <w:pStyle w:val="5"/>
        <w:keepNext w:val="0"/>
        <w:keepLines w:val="0"/>
        <w:widowControl/>
        <w:suppressLineNumbers w:val="0"/>
        <w:spacing w:before="160" w:after="80"/>
        <w:rPr>
          <w:rFonts w:hint="eastAsia"/>
          <w:b/>
          <w:bCs/>
          <w:sz w:val="28"/>
          <w:szCs w:val="28"/>
          <w:lang w:val="en-US" w:eastAsia="zh-CN"/>
        </w:rPr>
      </w:pPr>
      <w:r>
        <w:rPr>
          <w:rFonts w:ascii="宋体" w:hAnsi="宋体" w:eastAsia="宋体"/>
          <w:b/>
          <w:sz w:val="26"/>
        </w:rPr>
        <w:t>（三）坚持人在回路的处置方式</w:t>
      </w:r>
    </w:p>
    <w:p w14:paraId="2BE3AFE1">
      <w:pPr>
        <w:pStyle w:val="13"/>
        <w:keepNext w:val="0"/>
        <w:keepLines w:val="0"/>
        <w:widowControl/>
        <w:suppressLineNumbers w:val="0"/>
        <w:spacing w:line="348" w:lineRule="auto" w:after="120" w:before="0"/>
        <w:ind w:firstLine="480"/>
      </w:pPr>
      <w:r>
        <w:rPr>
          <w:rFonts w:ascii="宋体" w:hAnsi="宋体" w:eastAsia="宋体"/>
          <w:sz w:val="24"/>
        </w:rPr>
        <w:t>Agent 的主要目标是辅助诊断并给出处置建议。涉及系统状态改变时，由当前会话中的同一运维人员审阅目标、影响、恢复方式和风险后决定是否执行，系统不会因对话持续而自动扩大执行权限。</w:t>
      </w:r>
    </w:p>
    <w:p w14:paraId="41953796">
      <w:pPr>
        <w:pStyle w:val="5"/>
        <w:keepNext w:val="0"/>
        <w:keepLines w:val="0"/>
        <w:widowControl/>
        <w:suppressLineNumbers w:val="0"/>
        <w:spacing w:before="160" w:after="80"/>
        <w:rPr>
          <w:rFonts w:hint="eastAsia"/>
          <w:b/>
          <w:bCs/>
          <w:sz w:val="28"/>
          <w:szCs w:val="28"/>
          <w:lang w:val="en-US" w:eastAsia="zh-CN"/>
        </w:rPr>
      </w:pPr>
      <w:r>
        <w:rPr>
          <w:rFonts w:ascii="宋体" w:hAnsi="宋体" w:eastAsia="宋体"/>
          <w:b/>
          <w:sz w:val="26"/>
        </w:rPr>
        <w:t>（四）建立不可绕过的安全边界</w:t>
      </w:r>
    </w:p>
    <w:p w14:paraId="31358D17">
      <w:pPr>
        <w:pStyle w:val="13"/>
        <w:keepNext w:val="0"/>
        <w:keepLines w:val="0"/>
        <w:widowControl/>
        <w:suppressLineNumbers w:val="0"/>
        <w:spacing w:line="348" w:lineRule="auto" w:after="120" w:before="0"/>
        <w:ind w:firstLine="480"/>
      </w:pPr>
      <w:r>
        <w:rPr>
          <w:rFonts w:ascii="宋体" w:hAnsi="宋体" w:eastAsia="宋体"/>
          <w:sz w:val="24"/>
        </w:rPr>
        <w:t>安全判断覆盖操作意图、目标对象、参数、权限和上下文。禁止行为由本地规则与执行层共同阻断，不能通过重复确认、角色伪装或提示词指令获得放行；对于数据库目录、核心系统路径和攻击破坏行为，系统只给出安全说明或人工处置建议。</w:t>
      </w:r>
    </w:p>
    <w:p w14:paraId="5FE70F23">
      <w:pPr>
        <w:pStyle w:val="5"/>
        <w:keepNext w:val="0"/>
        <w:keepLines w:val="0"/>
        <w:widowControl/>
        <w:suppressLineNumbers w:val="0"/>
        <w:spacing w:before="160" w:after="80"/>
        <w:rPr>
          <w:rFonts w:hint="eastAsia"/>
          <w:b/>
          <w:bCs/>
          <w:sz w:val="28"/>
          <w:szCs w:val="28"/>
          <w:lang w:val="en-US" w:eastAsia="zh-CN"/>
        </w:rPr>
      </w:pPr>
      <w:r>
        <w:rPr>
          <w:rFonts w:ascii="宋体" w:hAnsi="宋体" w:eastAsia="宋体"/>
          <w:b/>
          <w:sz w:val="26"/>
        </w:rPr>
        <w:t>（五）保证执行过程透明可追溯</w:t>
      </w:r>
    </w:p>
    <w:p w14:paraId="2538B1AD">
      <w:pPr>
        <w:pStyle w:val="13"/>
        <w:keepNext w:val="0"/>
        <w:keepLines w:val="0"/>
        <w:widowControl/>
        <w:suppressLineNumbers w:val="0"/>
        <w:spacing w:line="348" w:lineRule="auto" w:after="120" w:before="0"/>
        <w:ind w:firstLine="480"/>
      </w:pPr>
      <w:r>
        <w:rPr>
          <w:rFonts w:ascii="宋体" w:hAnsi="宋体" w:eastAsia="宋体"/>
          <w:sz w:val="24"/>
        </w:rPr>
        <w:t>系统应展示诊断依据、处置计划、执行命令语义、标准输出、错误信息、复核结果和最终状态，并以 traceId 串联完整操作链路。运维人员可据此判断动作是否真正达成预期，并在必要时回看风险裁决和恢复信息。</w:t>
      </w:r>
    </w:p>
    <w:p w14:paraId="19CB9AF3">
      <w:pPr>
        <w:pStyle w:val="5"/>
        <w:keepNext w:val="0"/>
        <w:keepLines w:val="0"/>
        <w:widowControl/>
        <w:suppressLineNumbers w:val="0"/>
        <w:spacing w:before="160" w:after="80"/>
        <w:rPr>
          <w:rFonts w:hint="eastAsia"/>
          <w:b/>
          <w:bCs/>
          <w:sz w:val="28"/>
          <w:szCs w:val="28"/>
          <w:lang w:val="en-US" w:eastAsia="zh-CN"/>
        </w:rPr>
      </w:pPr>
      <w:r>
        <w:rPr>
          <w:rFonts w:ascii="宋体" w:hAnsi="宋体" w:eastAsia="宋体"/>
          <w:b/>
          <w:sz w:val="26"/>
        </w:rPr>
        <w:t>（六）聚焦轻量化本机运维</w:t>
      </w:r>
    </w:p>
    <w:p w14:paraId="23C29CC9">
      <w:pPr>
        <w:pStyle w:val="13"/>
        <w:keepNext w:val="0"/>
        <w:keepLines w:val="0"/>
        <w:widowControl/>
        <w:suppressLineNumbers w:val="0"/>
        <w:spacing w:line="348" w:lineRule="auto" w:after="120" w:before="0"/>
        <w:ind w:firstLine="480"/>
      </w:pPr>
      <w:r>
        <w:rPr>
          <w:rFonts w:ascii="宋体" w:hAnsi="宋体" w:eastAsia="宋体"/>
          <w:sz w:val="24"/>
        </w:rPr>
        <w:t>本期产品采用个人 Agent 形态，服务于当前节点上的单个运维人员和单次会话，不引入多用户、管理员或跨节点调度概念。该范围使交互更直接、部署更轻量，也让安全责任和执行边界保持清晰。</w:t>
      </w:r>
    </w:p>
    <w:p w14:paraId="473C8D6A">
      <w:pPr>
        <w:pStyle w:val="2"/>
        <w:keepNext/>
        <w:pageBreakBefore/>
        <w:bidi w:val="0"/>
        <w:ind w:left="78" w:leftChars="0" w:firstLineChars="0"/>
      </w:pPr>
      <w:bookmarkStart w:id="4" w:name="_Toc317"/>
      <w:r>
        <w:rPr>
          <w:rFonts w:hint="eastAsia"/>
          <w:lang w:val="en-US" w:eastAsia="zh-CN"/>
        </w:rPr>
        <w:t>系统功能需求</w:t>
      </w:r>
      <w:bookmarkEnd w:id="4"/>
    </w:p>
    <w:p w14:paraId="3561E760">
      <w:pPr>
        <w:pStyle w:val="4"/>
        <w:keepNext/>
        <w:bidi w:val="0"/>
      </w:pPr>
      <w:bookmarkStart w:id="5" w:name="_Toc24014"/>
      <w:r>
        <w:rPr>
          <w:rFonts w:hint="eastAsia"/>
          <w:lang w:val="en-US" w:eastAsia="zh-CN"/>
        </w:rPr>
        <w:t>自然语言交互模块</w:t>
      </w:r>
      <w:bookmarkEnd w:id="5"/>
    </w:p>
    <w:p w14:paraId="0A024270">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告警接续</w:t>
      </w:r>
    </w:p>
    <w:p w14:paraId="5188D4CF">
      <w:pPr>
        <w:pStyle w:val="13"/>
        <w:keepNext w:val="0"/>
        <w:keepLines w:val="0"/>
        <w:widowControl/>
        <w:suppressLineNumbers w:val="0"/>
      </w:pPr>
      <w:r>
        <w:t>运维人员收到现有监控告警后，可将告警对象、现象和处置限制直接告诉 Agent。系统应保留告警原文，并将其作为后续诊断的初始上下文。</w:t>
      </w:r>
    </w:p>
    <w:p w14:paraId="0DEBD5E1">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会话上下文管理</w:t>
      </w:r>
    </w:p>
    <w:p w14:paraId="1F87E4B0">
      <w:pPr>
        <w:pStyle w:val="13"/>
        <w:keepNext w:val="0"/>
        <w:keepLines w:val="0"/>
        <w:widowControl/>
        <w:suppressLineNumbers w:val="0"/>
      </w:pPr>
      <w:r>
        <w:t>系统应在当前会话内维护用户目标、已采集证据、候选计划和确认状态，避免在多轮交流中丢失目标或将前一项操作错误复用于新对象。</w:t>
      </w:r>
    </w:p>
    <w:p w14:paraId="172F96A6">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跨轮安全状态管理</w:t>
      </w:r>
    </w:p>
    <w:p w14:paraId="0D453B75">
      <w:pPr>
        <w:pStyle w:val="13"/>
        <w:keepNext w:val="0"/>
        <w:keepLines w:val="0"/>
        <w:widowControl/>
        <w:suppressLineNumbers w:val="0"/>
      </w:pPr>
      <w:r>
        <w:t>在携带sessionId的个人会话中，系统应记录近期干净轮次和累计可疑度，识别风险逐轮升级、操作目标跳变以及权限放宽铺垫；达到阈值后将该会话降级为只读，且不能通过后续对话解除。</w:t>
      </w:r>
    </w:p>
    <w:p w14:paraId="18880CF2">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歧义澄清</w:t>
      </w:r>
    </w:p>
    <w:p w14:paraId="1FD9B8DB">
      <w:pPr>
        <w:pStyle w:val="13"/>
        <w:keepNext w:val="0"/>
        <w:keepLines w:val="0"/>
        <w:widowControl/>
        <w:suppressLineNumbers w:val="0"/>
      </w:pPr>
      <w:r>
        <w:t>当告警对象、分区、服务或时间范围不明确时，系统应优先提出最少量的澄清问题；对于安全的只读检查，可先采集基础信息再请求确认。</w:t>
      </w:r>
    </w:p>
    <w:p w14:paraId="48D6D416">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分层结果表达</w:t>
      </w:r>
    </w:p>
    <w:p w14:paraId="3ECD0B39">
      <w:pPr>
        <w:pStyle w:val="13"/>
        <w:keepNext w:val="0"/>
        <w:keepLines w:val="0"/>
        <w:widowControl/>
        <w:suppressLineNumbers w:val="0"/>
      </w:pPr>
      <w:r>
        <w:t>回复应依次呈现现象、关键证据、原因判断、建议动作、风险与下一步。对专业命令输出进行解释，同时保留必要原始字段，便于运维人员复核。</w:t>
      </w:r>
    </w:p>
    <w:p w14:paraId="747940FF">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MCP 工具编排</w:t>
      </w:r>
    </w:p>
    <w:p w14:paraId="08E733B8">
      <w:pPr>
        <w:pStyle w:val="13"/>
        <w:keepNext w:val="0"/>
        <w:keepLines w:val="0"/>
        <w:widowControl/>
        <w:suppressLineNumbers w:val="0"/>
      </w:pPr>
      <w:r>
        <w:t>系统应通过 MCP 完成工具发现、结构化参数传递和结果返回。模型只能调用已注册的受控工具，不能把任意自然语言直接交给系统 Shell 执行。</w:t>
      </w:r>
    </w:p>
    <w:p w14:paraId="470A6066">
      <w:pPr>
        <w:pStyle w:val="4"/>
        <w:keepNext/>
        <w:bidi w:val="0"/>
      </w:pPr>
      <w:bookmarkStart w:id="6" w:name="_Toc4153"/>
      <w:r>
        <w:rPr>
          <w:rFonts w:hint="eastAsia"/>
          <w:lang w:val="en-US" w:eastAsia="zh-CN"/>
        </w:rPr>
        <w:t>系统感知与诊断模块</w:t>
      </w:r>
      <w:bookmarkEnd w:id="6"/>
    </w:p>
    <w:p w14:paraId="4F184922">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系统概况感知</w:t>
      </w:r>
    </w:p>
    <w:p w14:paraId="08EB46D1">
      <w:pPr>
        <w:pStyle w:val="13"/>
        <w:keepNext w:val="0"/>
        <w:keepLines w:val="0"/>
        <w:widowControl/>
        <w:suppressLineNumbers w:val="0"/>
      </w:pPr>
      <w:r>
        <w:t>系统应采集操作系统版本、内核、CPU 架构、负载、内存、文件系统和关键服务状态，形成龙芯麒麟节点的当前运行画像。</w:t>
      </w:r>
    </w:p>
    <w:p w14:paraId="1123B4CB">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磁盘与 I/O 分析</w:t>
      </w:r>
    </w:p>
    <w:p w14:paraId="33094243">
      <w:pPr>
        <w:pStyle w:val="13"/>
        <w:keepNext w:val="0"/>
        <w:keepLines w:val="0"/>
        <w:widowControl/>
        <w:suppressLineNumbers w:val="0"/>
      </w:pPr>
      <w:r>
        <w:t>系统应识别分区使用率、inode 使用率、挂载点、热点目录和异常 I/O 指标，区分容量耗尽、文件数量过多、日志增长和进程占用等原因。</w:t>
      </w:r>
    </w:p>
    <w:p w14:paraId="677BEABA">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进程异常分析</w:t>
      </w:r>
    </w:p>
    <w:p w14:paraId="0D7BEB5D">
      <w:pPr>
        <w:pStyle w:val="13"/>
        <w:keepNext w:val="0"/>
        <w:keepLines w:val="0"/>
        <w:widowControl/>
        <w:suppressLineNumbers w:val="0"/>
      </w:pPr>
      <w:r>
        <w:t>系统应发现僵尸进程、资源占用异常、父子进程关系异常和持续重启等现象，并结合进程状态、启动时间、打开文件和服务信息形成诊断依据。</w:t>
      </w:r>
    </w:p>
    <w:p w14:paraId="2D7454CB">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日志证据采集</w:t>
      </w:r>
    </w:p>
    <w:p w14:paraId="353035BB">
      <w:pPr>
        <w:pStyle w:val="13"/>
        <w:keepNext w:val="0"/>
        <w:keepLines w:val="0"/>
        <w:widowControl/>
        <w:suppressLineNumbers w:val="0"/>
      </w:pPr>
      <w:r>
        <w:t>系统应按时间范围、服务和严重级别读取必要日志，支持关键词聚合和上下文截取。采集遵循最小化原则，不读取凭据文件或与故障无关的敏感内容。</w:t>
      </w:r>
    </w:p>
    <w:p w14:paraId="130145C7">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精准文件级定位</w:t>
      </w:r>
    </w:p>
    <w:p w14:paraId="6464A63E">
      <w:pPr>
        <w:pStyle w:val="13"/>
        <w:keepNext w:val="0"/>
        <w:keepLines w:val="0"/>
        <w:widowControl/>
        <w:suppressLineNumbers w:val="0"/>
      </w:pPr>
      <w:r>
        <w:t>面对磁盘空间告警，系统应由disk_sense从文件系统和热点目录逐层收敛到按大小排序的文件级候选，展示路径、大小、修改时间、文件类型、占用状态和保护等级。</w:t>
      </w:r>
    </w:p>
    <w:p w14:paraId="2FB55B7E">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候选目标分级与人工选择</w:t>
      </w:r>
    </w:p>
    <w:p w14:paraId="2EA6EFC1">
      <w:pPr>
        <w:pStyle w:val="13"/>
        <w:keepNext w:val="0"/>
        <w:keepLines w:val="0"/>
        <w:widowControl/>
        <w:suppressLineNumbers w:val="0"/>
      </w:pPr>
      <w:r>
        <w:t>当磁盘清理意图命中且存在多个达到阈值的文件时，系统应先展示候选表并短路后续推理。候选按禁止操作、隐私敏感、谨慎处理和建议处理分级，只有当前运维人员选中的原候选子集才能进入后续规划。</w:t>
      </w:r>
    </w:p>
    <w:p w14:paraId="74E8FD41">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跨来源证据关联</w:t>
      </w:r>
    </w:p>
    <w:p w14:paraId="6991384F">
      <w:pPr>
        <w:pStyle w:val="13"/>
        <w:keepNext w:val="0"/>
        <w:keepLines w:val="0"/>
        <w:widowControl/>
        <w:suppressLineNumbers w:val="0"/>
      </w:pPr>
      <w:r>
        <w:t>系统应将监控告警、系统指标、目录占用、文件候选、进程句柄和服务日志进行关联，并在相近时间窗口内识别能够相互印证的原因链。</w:t>
      </w:r>
    </w:p>
    <w:p w14:paraId="05922E30">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运维知识依据检索</w:t>
      </w:r>
    </w:p>
    <w:p w14:paraId="6FE54794">
      <w:pPr>
        <w:pStyle w:val="13"/>
        <w:keepNext w:val="0"/>
        <w:keepLines w:val="0"/>
        <w:widowControl/>
        <w:suppressLineNumbers w:val="0"/>
      </w:pPr>
      <w:r>
        <w:t>真实模型推理前，系统应从本地龙芯麒麟运维知识库和版本化安全规则中检索可引用依据。被拦截的历史会话内容不得进入知识检索池，防止攻击话术反向污染后续判断。</w:t>
      </w:r>
    </w:p>
    <w:p w14:paraId="6E770E6D">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证据可信度表达</w:t>
      </w:r>
    </w:p>
    <w:p w14:paraId="360588F0">
      <w:pPr>
        <w:pStyle w:val="13"/>
        <w:keepNext w:val="0"/>
        <w:keepLines w:val="0"/>
        <w:widowControl/>
        <w:suppressLineNumbers w:val="0"/>
      </w:pPr>
      <w:r>
        <w:t>系统应区分已观察事实、推断结论和待验证假设。没有足够证据时，应明确说明仍需检查的项目，不得将推断表述为确定事实。</w:t>
      </w:r>
    </w:p>
    <w:p w14:paraId="53CDFB12">
      <w:pPr>
        <w:pStyle w:val="4"/>
        <w:keepNext/>
        <w:bidi w:val="0"/>
      </w:pPr>
      <w:bookmarkStart w:id="7" w:name="_Toc3604"/>
      <w:r>
        <w:rPr>
          <w:rFonts w:hint="eastAsia"/>
          <w:lang w:val="en-US" w:eastAsia="zh-CN"/>
        </w:rPr>
        <w:t>处置建议与计划模块</w:t>
      </w:r>
      <w:bookmarkEnd w:id="7"/>
    </w:p>
    <w:p w14:paraId="6BBFBEDC">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根因摘要</w:t>
      </w:r>
    </w:p>
    <w:p w14:paraId="216B6E3C">
      <w:pPr>
        <w:pStyle w:val="13"/>
        <w:keepNext w:val="0"/>
        <w:keepLines w:val="0"/>
        <w:widowControl/>
        <w:suppressLineNumbers w:val="0"/>
      </w:pPr>
      <w:r>
        <w:t>系统应以简洁语言说明异常对象、直接原因、影响范围和关键证据，使运维人员无需阅读全部原始输出即可理解当前状态。</w:t>
      </w:r>
    </w:p>
    <w:p w14:paraId="71235002">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候选处置方案</w:t>
      </w:r>
    </w:p>
    <w:p w14:paraId="6F851506">
      <w:pPr>
        <w:pStyle w:val="13"/>
        <w:keepNext w:val="0"/>
        <w:keepLines w:val="0"/>
        <w:widowControl/>
        <w:suppressLineNumbers w:val="0"/>
      </w:pPr>
      <w:r>
        <w:t>系统应根据诊断结果提供一个或多个可选方案，说明每个方案的适用条件、预期收益、潜在影响和是否改变系统状态。</w:t>
      </w:r>
    </w:p>
    <w:p w14:paraId="2136EA41">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计划步骤化</w:t>
      </w:r>
    </w:p>
    <w:p w14:paraId="5A0A626D">
      <w:pPr>
        <w:pStyle w:val="13"/>
        <w:keepNext w:val="0"/>
        <w:keepLines w:val="0"/>
        <w:widowControl/>
        <w:suppressLineNumbers w:val="0"/>
      </w:pPr>
      <w:r>
        <w:t>可执行方案应拆分为预检、备份或恢复点、执行、复核和异常处理步骤。每个步骤均包含明确目标和结构化参数。</w:t>
      </w:r>
    </w:p>
    <w:p w14:paraId="16D6046C">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影响预估</w:t>
      </w:r>
    </w:p>
    <w:p w14:paraId="476949B9">
      <w:pPr>
        <w:pStyle w:val="13"/>
        <w:keepNext w:val="0"/>
        <w:keepLines w:val="0"/>
        <w:widowControl/>
        <w:suppressLineNumbers w:val="0"/>
      </w:pPr>
      <w:r>
        <w:t>在请求确认前，系统应展示涉及的路径、服务、预计释放空间、可能的短时影响以及失败后的恢复方式，帮助运维人员作出判断。</w:t>
      </w:r>
    </w:p>
    <w:p w14:paraId="37CBCC3E">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预执行预览</w:t>
      </w:r>
    </w:p>
    <w:p w14:paraId="2D5766DF">
      <w:pPr>
        <w:pStyle w:val="13"/>
        <w:keepNext w:val="0"/>
        <w:keepLines w:val="0"/>
        <w:widowControl/>
        <w:suppressLineNumbers w:val="0"/>
      </w:pPr>
      <w:r>
        <w:t>系统应支持以预览方式展示计划将调用的受控工具、目标和参数。预览不改变系统状态，运维人员确认后才进入真实执行阶段。</w:t>
      </w:r>
    </w:p>
    <w:p w14:paraId="6B66C2BB">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证据门槛</w:t>
      </w:r>
    </w:p>
    <w:p w14:paraId="66B3D030">
      <w:pPr>
        <w:pStyle w:val="13"/>
        <w:keepNext w:val="0"/>
        <w:keepLines w:val="0"/>
        <w:widowControl/>
        <w:suppressLineNumbers w:val="0"/>
      </w:pPr>
      <w:r>
        <w:t>候选目标与诊断证据不一致、目标在确认前发生变化或恢复条件不满足时，系统不得生成有效的执行入口，应返回补充检查建议。</w:t>
      </w:r>
    </w:p>
    <w:p w14:paraId="5F310FBC">
      <w:pPr>
        <w:pStyle w:val="4"/>
        <w:keepNext/>
        <w:bidi w:val="0"/>
      </w:pPr>
      <w:bookmarkStart w:id="8" w:name="_Toc19683"/>
      <w:r>
        <w:rPr>
          <w:rFonts w:hint="eastAsia"/>
          <w:lang w:val="en-US" w:eastAsia="zh-CN"/>
        </w:rPr>
        <w:t>安全决策模块</w:t>
      </w:r>
      <w:bookmarkEnd w:id="8"/>
    </w:p>
    <w:p w14:paraId="30BCAE9B">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四级风险裁决</w:t>
      </w:r>
    </w:p>
    <w:p w14:paraId="50570D96">
      <w:pPr>
        <w:pStyle w:val="13"/>
        <w:keepNext w:val="0"/>
        <w:keepLines w:val="0"/>
        <w:widowControl/>
        <w:suppressLineNumbers w:val="0"/>
      </w:pPr>
      <w:r>
        <w:t>系统应将请求划分为只读感知、受控可执行、高影响操作和禁止操作。风险等级由意图、对象、参数、权限和上下文共同决定，模型建议不能覆盖裁决结果。</w:t>
      </w:r>
    </w:p>
    <w:p w14:paraId="74D86CFF">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对象重要性判断</w:t>
      </w:r>
    </w:p>
    <w:p w14:paraId="50825A16">
      <w:pPr>
        <w:pStyle w:val="13"/>
        <w:keepNext w:val="0"/>
        <w:keepLines w:val="0"/>
        <w:widowControl/>
        <w:suppressLineNumbers w:val="0"/>
      </w:pPr>
      <w:r>
        <w:t>系统应结合关键路径、数据库目录、配置基线、文件类型和敏感标识判断目标重要程度。对于核心或敏感数据，Agent 明确拒绝代替执行，并提示必须由人员脱离会话手工处理。</w:t>
      </w:r>
    </w:p>
    <w:p w14:paraId="41F0254E">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安全红线阻断</w:t>
      </w:r>
    </w:p>
    <w:p w14:paraId="3D11145D">
      <w:pPr>
        <w:pStyle w:val="13"/>
        <w:keepNext w:val="0"/>
        <w:keepLines w:val="0"/>
        <w:widowControl/>
        <w:suppressLineNumbers w:val="0"/>
      </w:pPr>
      <w:r>
        <w:t>可能损害操作系统正常功能、破坏核心数据、窃取隐私与凭据、建立未授权访问、传播恶意代码、攻击其他系统或削弱审计能力的行为必须直接阻断。</w:t>
      </w:r>
    </w:p>
    <w:p w14:paraId="0AC89404">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提示词注入防护</w:t>
      </w:r>
    </w:p>
    <w:p w14:paraId="384CA47D">
      <w:pPr>
        <w:pStyle w:val="13"/>
        <w:keepNext w:val="0"/>
        <w:keepLines w:val="0"/>
        <w:widowControl/>
        <w:suppressLineNumbers w:val="0"/>
      </w:pPr>
      <w:r>
        <w:t>系统应识别日志、文件内容和用户输入中的越权指令、角色伪装、编码混淆和安全规则绕过意图。外部数据只作为证据，不作为改变系统安全策略的指令。</w:t>
      </w:r>
    </w:p>
    <w:p w14:paraId="017DF2A8">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意图一致性交叉校验</w:t>
      </w:r>
    </w:p>
    <w:p w14:paraId="75094895">
      <w:pPr>
        <w:pStyle w:val="13"/>
        <w:keepNext w:val="0"/>
        <w:keepLines w:val="0"/>
        <w:widowControl/>
        <w:suppressLineNumbers w:val="0"/>
      </w:pPr>
      <w:r>
        <w:t>接入真实模型时，系统应使用独立审计提示检查候选命令是否服务于用户原始诉求。语义校验只能升级风险、不能降低确定性规则裁决；校验不可用时仍由本地规则和执行边界兜底。</w:t>
      </w:r>
    </w:p>
    <w:p w14:paraId="74030724">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计划与确认绑定</w:t>
      </w:r>
    </w:p>
    <w:p w14:paraId="28347121">
      <w:pPr>
        <w:pStyle w:val="13"/>
        <w:keepNext w:val="0"/>
        <w:keepLines w:val="0"/>
        <w:widowControl/>
        <w:suppressLineNumbers w:val="0"/>
      </w:pPr>
      <w:r>
        <w:t>人工确认必须绑定当前计划、目标、参数、风险摘要和有效期。目标或参数发生变化后，原确认立即失效；确认只能使用一次。</w:t>
      </w:r>
    </w:p>
    <w:p w14:paraId="665BBEE6">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会话不可放行原则</w:t>
      </w:r>
    </w:p>
    <w:p w14:paraId="74759C63">
      <w:pPr>
        <w:pStyle w:val="13"/>
        <w:keepNext w:val="0"/>
        <w:keepLines w:val="0"/>
        <w:widowControl/>
        <w:suppressLineNumbers w:val="0"/>
      </w:pPr>
      <w:r>
        <w:t>任何用户都不能通过对话要求关闭红线规则、修改禁止级别或放行已阻断操作。系统应记录阻断原因，但不得提供可用于绕过控制的具体步骤。</w:t>
      </w:r>
    </w:p>
    <w:p w14:paraId="0D484557">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跨轮渐进式风险检测</w:t>
      </w:r>
    </w:p>
    <w:p w14:paraId="29520158">
      <w:pPr>
        <w:pStyle w:val="13"/>
        <w:keepNext w:val="0"/>
        <w:keepLines w:val="0"/>
        <w:widowControl/>
        <w:suppressLineNumbers w:val="0"/>
      </w:pPr>
      <w:r>
        <w:t>系统应在当前个人会话内累计注入命中、风险升级、目标跳变和弱越权信号，并按轮次衰减正常历史。累计风险达到配置阈值后，本会话只保留诊断能力，不再生成变更执行入口。</w:t>
      </w:r>
    </w:p>
    <w:p w14:paraId="62A5A8E3">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保守失败策略</w:t>
      </w:r>
    </w:p>
    <w:p w14:paraId="6D2EA025">
      <w:pPr>
        <w:pStyle w:val="13"/>
        <w:keepNext w:val="0"/>
        <w:keepLines w:val="0"/>
        <w:widowControl/>
        <w:suppressLineNumbers w:val="0"/>
      </w:pPr>
      <w:r>
        <w:t>规则冲突、目标重要性未知、权限状态不明或安全组件不可用时，系统应停止变更并返回只读诊断结果，保持目标系统原状。</w:t>
      </w:r>
    </w:p>
    <w:p w14:paraId="1FA4CA08">
      <w:pPr>
        <w:pStyle w:val="4"/>
        <w:keepNext/>
        <w:bidi w:val="0"/>
      </w:pPr>
      <w:bookmarkStart w:id="9" w:name="_Toc16448"/>
      <w:r>
        <w:rPr>
          <w:rFonts w:hint="eastAsia"/>
          <w:lang w:val="en-US" w:eastAsia="zh-CN"/>
        </w:rPr>
        <w:t>受控执行模块</w:t>
      </w:r>
      <w:bookmarkEnd w:id="9"/>
    </w:p>
    <w:p w14:paraId="0499EF2F">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结构化命令执行</w:t>
      </w:r>
    </w:p>
    <w:p w14:paraId="2AB37878">
      <w:pPr>
        <w:pStyle w:val="13"/>
        <w:keepNext w:val="0"/>
        <w:keepLines w:val="0"/>
        <w:widowControl/>
        <w:suppressLineNumbers w:val="0"/>
      </w:pPr>
      <w:r>
        <w:t>系统应以固定工具和参数数组执行命令，禁止拼接任意 Shell 字符串，防止命令替换、管道注入、重定向和变量展开造成的越权行为。</w:t>
      </w:r>
    </w:p>
    <w:p w14:paraId="686FDDEC">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最小权限运行</w:t>
      </w:r>
    </w:p>
    <w:p w14:paraId="2B42EB6B">
      <w:pPr>
        <w:pStyle w:val="13"/>
        <w:keepNext w:val="0"/>
        <w:keepLines w:val="0"/>
        <w:widowControl/>
        <w:suppressLineNumbers w:val="0"/>
      </w:pPr>
      <w:r>
        <w:t>每项工具仅获得完成任务所需的最小权限。需要提升权限时，必须命中预先配置的工具、路径和参数范围，不允许通配授权。</w:t>
      </w:r>
    </w:p>
    <w:p w14:paraId="2AF9210B">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执行前预检</w:t>
      </w:r>
    </w:p>
    <w:p w14:paraId="1F1A6724">
      <w:pPr>
        <w:pStyle w:val="13"/>
        <w:keepNext w:val="0"/>
        <w:keepLines w:val="0"/>
        <w:widowControl/>
        <w:suppressLineNumbers w:val="0"/>
      </w:pPr>
      <w:r>
        <w:t>真实执行前应再次校验目标存在性、类型、保护状态、可用空间、服务状态和计划摘要，确保确认对象与当前对象一致。</w:t>
      </w:r>
    </w:p>
    <w:p w14:paraId="3F4C81FE">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恢复点建立</w:t>
      </w:r>
    </w:p>
    <w:p w14:paraId="26A256EA">
      <w:pPr>
        <w:pStyle w:val="13"/>
        <w:keepNext w:val="0"/>
        <w:keepLines w:val="0"/>
        <w:widowControl/>
        <w:suppressLineNumbers w:val="0"/>
      </w:pPr>
      <w:r>
        <w:t>对可恢复变更，系统应在真实变更前自动保存必要的配置、文件或归档副本，将恢复位置写入traceId关联的回滚账本；无法建立必要恢复依据时，不得继续后续破坏性步骤。</w:t>
      </w:r>
    </w:p>
    <w:p w14:paraId="42A41727">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顺序与原子性保护</w:t>
      </w:r>
    </w:p>
    <w:p w14:paraId="20BFD4EB">
      <w:pPr>
        <w:pStyle w:val="13"/>
        <w:keepNext w:val="0"/>
        <w:keepLines w:val="0"/>
        <w:widowControl/>
        <w:suppressLineNumbers w:val="0"/>
      </w:pPr>
      <w:r>
        <w:t>多步骤计划应按预检、恢复点、变更、复核的顺序执行。前置步骤失败或目标发生变化时，后续步骤自动取消。</w:t>
      </w:r>
    </w:p>
    <w:p w14:paraId="29C546BA">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超时与熔断</w:t>
      </w:r>
    </w:p>
    <w:p w14:paraId="6F12503C">
      <w:pPr>
        <w:pStyle w:val="13"/>
        <w:keepNext w:val="0"/>
        <w:keepLines w:val="0"/>
        <w:widowControl/>
        <w:suppressLineNumbers w:val="0"/>
      </w:pPr>
      <w:r>
        <w:t>所有外部命令应具备超时、输出上限和异常终止处理。连续失败达到阈值后暂停同类变更，避免错误重试扩大影响。</w:t>
      </w:r>
    </w:p>
    <w:p w14:paraId="1C41DF69">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失败保护</w:t>
      </w:r>
    </w:p>
    <w:p w14:paraId="21AB9A2C">
      <w:pPr>
        <w:pStyle w:val="13"/>
        <w:keepNext w:val="0"/>
        <w:keepLines w:val="0"/>
        <w:widowControl/>
        <w:suppressLineNumbers w:val="0"/>
      </w:pPr>
      <w:r>
        <w:t>执行过程中出现权限不足、磁盘空间不足、归档失败或校验失败时，系统应保持原对象可用，输出失败位置和恢复建议，不得继续执行依赖步骤。</w:t>
      </w:r>
    </w:p>
    <w:p w14:paraId="47E78857">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断点续接与一键回滚</w:t>
      </w:r>
    </w:p>
    <w:p w14:paraId="60A2C436">
      <w:pPr>
        <w:pStyle w:val="13"/>
        <w:keepNext w:val="0"/>
        <w:keepLines w:val="0"/>
        <w:widowControl/>
        <w:suppressLineNumbers w:val="0"/>
      </w:pPr>
      <w:r>
        <w:t>待确认计划和回滚账本应以JSONL写入状态目录，服务重启后仍能按原traceId安全续接。回滚操作必须从服务端账本生成补偿步骤，并再次经过护栏、确认门和审计链路。</w:t>
      </w:r>
    </w:p>
    <w:p w14:paraId="54647BEB">
      <w:pPr>
        <w:pStyle w:val="4"/>
        <w:keepNext/>
        <w:bidi w:val="0"/>
      </w:pPr>
      <w:bookmarkStart w:id="10" w:name="_Toc3063"/>
      <w:r>
        <w:rPr>
          <w:rFonts w:hint="eastAsia"/>
          <w:lang w:val="en-US" w:eastAsia="zh-CN"/>
        </w:rPr>
        <w:t>结果验证与审计模块</w:t>
      </w:r>
      <w:bookmarkEnd w:id="10"/>
    </w:p>
    <w:p w14:paraId="2E37A558">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执行后状态复核</w:t>
      </w:r>
    </w:p>
    <w:p w14:paraId="5FFA43D0">
      <w:pPr>
        <w:pStyle w:val="13"/>
        <w:keepNext w:val="0"/>
        <w:keepLines w:val="0"/>
        <w:widowControl/>
        <w:suppressLineNumbers w:val="0"/>
      </w:pPr>
      <w:r>
        <w:t>系统应针对处置目标重新采集证据。例如服务重启后复核进程和端口，日志处置后复核文件可写性、归档可读性和分区可用空间。</w:t>
      </w:r>
    </w:p>
    <w:p w14:paraId="110A9264">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空间释放复核</w:t>
      </w:r>
    </w:p>
    <w:p w14:paraId="5453A7FD">
      <w:pPr>
        <w:pStyle w:val="13"/>
        <w:keepNext w:val="0"/>
        <w:keepLines w:val="0"/>
        <w:widowControl/>
        <w:suppressLineNumbers w:val="0"/>
      </w:pPr>
      <w:r>
        <w:t>磁盘场景应对比执行前后文件大小、归档大小、分区可用空间和使用率变化，并说明是否达到预期阈值。单纯命令返回成功不得视为问题解决。</w:t>
      </w:r>
    </w:p>
    <w:p w14:paraId="157C25CD">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真值状态表达</w:t>
      </w:r>
    </w:p>
    <w:p w14:paraId="2531594A">
      <w:pPr>
        <w:pStyle w:val="13"/>
        <w:keepNext w:val="0"/>
        <w:keepLines w:val="0"/>
        <w:widowControl/>
        <w:suppressLineNumbers w:val="0"/>
      </w:pPr>
      <w:r>
        <w:t>结果应使用清晰状态区分已观察、待确认、已验证成功、已执行未验证、验证失败、执行失败和已阻断，避免模糊的“已完成”描述。</w:t>
      </w:r>
    </w:p>
    <w:p w14:paraId="44A4195B">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透明结果展示</w:t>
      </w:r>
    </w:p>
    <w:p w14:paraId="0BF5ED8F">
      <w:pPr>
        <w:pStyle w:val="13"/>
        <w:keepNext w:val="0"/>
        <w:keepLines w:val="0"/>
        <w:widowControl/>
        <w:suppressLineNumbers w:val="0"/>
      </w:pPr>
      <w:r>
        <w:t>系统应展示实际执行工具、目标参数、开始与结束时间、返回码、关键输出、验证证据和最终结论，使运维人员能够独立判断结果。</w:t>
      </w:r>
    </w:p>
    <w:p w14:paraId="405FB517">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安全评分与反事实解释</w:t>
      </w:r>
    </w:p>
    <w:p w14:paraId="160F40C1">
      <w:pPr>
        <w:pStyle w:val="13"/>
        <w:keepNext w:val="0"/>
        <w:keepLines w:val="0"/>
        <w:widowControl/>
        <w:suppressLineNumbers w:val="0"/>
      </w:pPr>
      <w:r>
        <w:t>系统应将静态风险、动态意图审计和受限执行保障汇总为可解释安全评分，并对受控或阻断动作展示“若放行可能造成什么影响”的反事实结果，使安全价值可观察、可复盘。</w:t>
      </w:r>
    </w:p>
    <w:p w14:paraId="704C387E">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全链路 traceId</w:t>
      </w:r>
    </w:p>
    <w:p w14:paraId="1D4CD412">
      <w:pPr>
        <w:pStyle w:val="13"/>
        <w:keepNext w:val="0"/>
        <w:keepLines w:val="0"/>
        <w:widowControl/>
        <w:suppressLineNumbers w:val="0"/>
      </w:pPr>
      <w:r>
        <w:t>从告警输入到最终复核的每个事件均应关联同一 traceId，记录用户意图、证据摘要、风险裁决、确认信息、工具调用和恢复点。</w:t>
      </w:r>
    </w:p>
    <w:p w14:paraId="2636172C">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恢复与再诊断</w:t>
      </w:r>
    </w:p>
    <w:p w14:paraId="489B10C4">
      <w:pPr>
        <w:pStyle w:val="13"/>
        <w:keepNext w:val="0"/>
        <w:keepLines w:val="0"/>
        <w:widowControl/>
        <w:suppressLineNumbers w:val="0"/>
      </w:pPr>
      <w:r>
        <w:t>若验证未通过，系统应停止继续变更，根据恢复点提供回退建议，并将最新状态重新纳入诊断流程。</w:t>
      </w:r>
    </w:p>
    <w:p w14:paraId="09FB27D8">
      <w:pPr>
        <w:pStyle w:val="4"/>
        <w:keepNext/>
        <w:bidi w:val="0"/>
      </w:pPr>
      <w:bookmarkStart w:id="11" w:name="_Toc22491"/>
      <w:r>
        <w:rPr>
          <w:rFonts w:hint="eastAsia"/>
          <w:lang w:val="en-US" w:eastAsia="zh-CN"/>
        </w:rPr>
        <w:t>真实日志处理演示</w:t>
      </w:r>
      <w:bookmarkEnd w:id="11"/>
    </w:p>
    <w:p w14:paraId="1903AF9B">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场景触发</w:t>
      </w:r>
    </w:p>
    <w:p w14:paraId="462C8447">
      <w:pPr>
        <w:pStyle w:val="13"/>
        <w:keepNext w:val="0"/>
        <w:keepLines w:val="0"/>
        <w:widowControl/>
        <w:suppressLineNumbers w:val="0"/>
      </w:pPr>
      <w:r>
        <w:t>外部监控报告目标分区使用率达到告警阈值。运维人员在当前会话中询问：“服务器磁盘空间告警，请定位原因，先不要删除任何数据。”</w:t>
      </w:r>
    </w:p>
    <w:p w14:paraId="145F277D">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自动只读诊断</w:t>
      </w:r>
    </w:p>
    <w:p w14:paraId="754FE603">
      <w:pPr>
        <w:pStyle w:val="13"/>
        <w:keepNext w:val="0"/>
        <w:keepLines w:val="0"/>
        <w:widowControl/>
        <w:suppressLineNumbers w:val="0"/>
      </w:pPr>
      <w:r>
        <w:t>Agent自动采集分区、热点目录和按大小排序的文件级候选，并结合修改时间、关键路径、隐私模式和进程占用状态形成候选表，而不是直接替运维人员选择删除对象。</w:t>
      </w:r>
    </w:p>
    <w:p w14:paraId="2474C16F">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目标安全判定</w:t>
      </w:r>
    </w:p>
    <w:p w14:paraId="7924AA5E">
      <w:pPr>
        <w:pStyle w:val="13"/>
        <w:keepNext w:val="0"/>
        <w:keepLines w:val="0"/>
        <w:widowControl/>
        <w:suppressLineNumbers w:val="0"/>
      </w:pPr>
      <w:r>
        <w:t>系统将候选目标分为禁止操作、隐私敏感、谨慎处理和建议处理四档。当前运维人员只能从服务端返回的可选候选中选择目标；关键路径、正在写入或不属于原候选集的目标被拒绝。</w:t>
      </w:r>
    </w:p>
    <w:p w14:paraId="12B3AF91">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处置计划生成</w:t>
      </w:r>
    </w:p>
    <w:p w14:paraId="4BAAB76D">
      <w:pPr>
        <w:pStyle w:val="13"/>
        <w:keepNext w:val="0"/>
        <w:keepLines w:val="0"/>
        <w:widowControl/>
        <w:suppressLineNumbers w:val="0"/>
      </w:pPr>
      <w:r>
        <w:t>Agent围绕已选日志生成“时间戳副本归档—确认归档生成—截断活动日志—stat状态复核—df空间对比”的结构化计划，并展示目标路径、实际argv、恢复位置和风险等级。</w:t>
      </w:r>
    </w:p>
    <w:p w14:paraId="16ED51B5">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人工确认</w:t>
      </w:r>
    </w:p>
    <w:p w14:paraId="20AB8115">
      <w:pPr>
        <w:pStyle w:val="13"/>
        <w:keepNext w:val="0"/>
        <w:keepLines w:val="0"/>
        <w:widowControl/>
        <w:suppressLineNumbers w:val="0"/>
      </w:pPr>
      <w:r>
        <w:t>运维人员先选择候选文件，再审阅与traceId绑定的具体计划。系统只接受原会话缓存的待确认计划，首次请求直接携带confirm=true、伪造traceId或改变目标均不能绕过确认门。</w:t>
      </w:r>
    </w:p>
    <w:p w14:paraId="5D775EA1">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真实日志处置</w:t>
      </w:r>
    </w:p>
    <w:p w14:paraId="74C54635">
      <w:pPr>
        <w:pStyle w:val="13"/>
        <w:keepNext w:val="0"/>
        <w:keepLines w:val="0"/>
        <w:widowControl/>
        <w:suppressLineNumbers w:val="0"/>
      </w:pPr>
      <w:r>
        <w:t>在明确切换为LIVE模式后，系统以固定argv执行cp -p生成时间戳归档，并仅在归档步骤成功后执行truncate -s 0；任一步骤真实失败都会中止后续操作。默认dry-run仍用于离线评测与安全演示。</w:t>
      </w:r>
    </w:p>
    <w:p w14:paraId="1357E58F">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执行后空间复核</w:t>
      </w:r>
    </w:p>
    <w:p w14:paraId="6945A3AA">
      <w:pPr>
        <w:pStyle w:val="13"/>
        <w:keepNext w:val="0"/>
        <w:keepLines w:val="0"/>
        <w:widowControl/>
        <w:suppressLineNumbers w:val="0"/>
      </w:pPr>
      <w:r>
        <w:t>系统使用stat同时核验活动日志已经归零、时间戳归档已经生成，并展示执行前后的df证据。动作正确性与磁盘压力变化分别呈现，最终依据事实输出VERIFIED、VERIFY_FAILED或EXECUTED_UNVERIFIED。</w:t>
      </w:r>
    </w:p>
    <w:p w14:paraId="4BB5D3F8">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安全对照演示</w:t>
      </w:r>
    </w:p>
    <w:p w14:paraId="5C83B8AA">
      <w:pPr>
        <w:pStyle w:val="13"/>
        <w:keepNext w:val="0"/>
        <w:keepLines w:val="0"/>
        <w:widowControl/>
        <w:suppressLineNumbers w:val="0"/>
      </w:pPr>
      <w:r>
        <w:t>随后输入删除数据库目录、覆盖系统配置或执行含注入载荷的请求。系统应展示命中规则、拒绝原因和 traceId，且界面不提供会话放行入口。</w:t>
      </w:r>
    </w:p>
    <w:p w14:paraId="0797918C">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演示结果要求</w:t>
      </w:r>
    </w:p>
    <w:p w14:paraId="5372D336">
      <w:pPr>
        <w:pStyle w:val="13"/>
        <w:keepNext w:val="0"/>
        <w:keepLines w:val="0"/>
        <w:widowControl/>
        <w:suppressLineNumbers w:val="0"/>
      </w:pPr>
      <w:r>
        <w:t>演示画面应完整呈现候选、确认、执行、复核、终态与traceId。</w:t>
      </w:r>
    </w:p>
    <w:p w14:paraId="2DCE36E6">
      <w:pPr>
        <w:pStyle w:val="2"/>
        <w:keepNext/>
        <w:pageBreakBefore/>
        <w:bidi w:val="0"/>
        <w:ind w:left="78" w:leftChars="0" w:firstLineChars="0"/>
      </w:pPr>
      <w:bookmarkStart w:id="12" w:name="_Toc17862"/>
      <w:r>
        <w:rPr>
          <w:rFonts w:hint="eastAsia"/>
          <w:lang w:val="en-US" w:eastAsia="zh-CN"/>
        </w:rPr>
        <w:t>非功能需求</w:t>
      </w:r>
      <w:bookmarkEnd w:id="12"/>
    </w:p>
    <w:p w14:paraId="0D0F3F3E">
      <w:pPr>
        <w:pStyle w:val="4"/>
        <w:keepNext/>
        <w:bidi w:val="0"/>
      </w:pPr>
      <w:bookmarkStart w:id="13" w:name="_Toc11054"/>
      <w:r>
        <w:rPr>
          <w:rFonts w:hint="eastAsia"/>
          <w:lang w:val="en-US" w:eastAsia="zh-CN"/>
        </w:rPr>
        <w:t>性能与兼容性需求</w:t>
      </w:r>
      <w:bookmarkEnd w:id="13"/>
    </w:p>
    <w:p w14:paraId="65E9694B">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安全裁决响应</w:t>
      </w:r>
    </w:p>
    <w:p w14:paraId="5C564765">
      <w:pPr>
        <w:pStyle w:val="13"/>
        <w:keepNext w:val="0"/>
        <w:keepLines w:val="0"/>
        <w:widowControl/>
        <w:suppressLineNumbers w:val="0"/>
      </w:pPr>
      <w:r>
        <w:t>本地安全规则与参数校验应独立于大模型执行。在目标运行环境和规定负载下，安全裁决接口的 P95 响应时间应不高于 100 ms。</w:t>
      </w:r>
    </w:p>
    <w:p w14:paraId="3601F7D0">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只读感知响应</w:t>
      </w:r>
    </w:p>
    <w:p w14:paraId="155CBE90">
      <w:pPr>
        <w:pStyle w:val="13"/>
        <w:keepNext w:val="0"/>
        <w:keepLines w:val="0"/>
        <w:widowControl/>
        <w:suppressLineNumbers w:val="0"/>
      </w:pPr>
      <w:r>
        <w:t>常规系统状态查询应在可接受时间内返回；耗时扫描采用分级范围和超时控制，并持续反馈当前检查阶段，避免长时间无响应。</w:t>
      </w:r>
    </w:p>
    <w:p w14:paraId="1D0E39F5">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交互连续性</w:t>
      </w:r>
    </w:p>
    <w:p w14:paraId="37DDBBD9">
      <w:pPr>
        <w:pStyle w:val="13"/>
        <w:keepNext w:val="0"/>
        <w:keepLines w:val="0"/>
        <w:widowControl/>
        <w:suppressLineNumbers w:val="0"/>
      </w:pPr>
      <w:r>
        <w:t>诊断和执行过程应通过事件流持续返回进度。网络或模型调用延迟不得影响本地红线规则、执行确认和审计记录的有效性。</w:t>
      </w:r>
    </w:p>
    <w:p w14:paraId="71C325BA">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资源占用控制</w:t>
      </w:r>
    </w:p>
    <w:p w14:paraId="7F877FFB">
      <w:pPr>
        <w:pStyle w:val="13"/>
        <w:keepNext w:val="0"/>
        <w:keepLines w:val="0"/>
        <w:widowControl/>
        <w:suppressLineNumbers w:val="0"/>
      </w:pPr>
      <w:r>
        <w:t>Agent 应限制并发工具数量、单次输出大小、日志扫描范围和命令执行时间，避免诊断过程反向消耗过多 CPU、内存和磁盘 I/O。</w:t>
      </w:r>
    </w:p>
    <w:p w14:paraId="13701E62">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龙芯麒麟适配</w:t>
      </w:r>
    </w:p>
    <w:p w14:paraId="181D7501">
      <w:pPr>
        <w:pStyle w:val="13"/>
        <w:keepNext w:val="0"/>
        <w:keepLines w:val="0"/>
        <w:widowControl/>
        <w:suppressLineNumbers w:val="0"/>
      </w:pPr>
      <w:r>
        <w:t>系统应支持龙芯指令集与麒麟服务器操作系统，使用目标环境可获得的标准系统接口和工具，并对命令路径、字符编码和权限差异进行兼容处理。</w:t>
      </w:r>
    </w:p>
    <w:p w14:paraId="167611FB">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接口可扩展</w:t>
      </w:r>
    </w:p>
    <w:p w14:paraId="25E4E4CC">
      <w:pPr>
        <w:pStyle w:val="13"/>
        <w:keepNext w:val="0"/>
        <w:keepLines w:val="0"/>
        <w:widowControl/>
        <w:suppressLineNumbers w:val="0"/>
      </w:pPr>
      <w:r>
        <w:t>MCP 工具应采用统一输入输出结构，便于增加新的只读指标、诊断工具和受控执行能力。新增工具必须先定义权限、风险和验证规则。</w:t>
      </w:r>
    </w:p>
    <w:p w14:paraId="39130843">
      <w:pPr>
        <w:pStyle w:val="4"/>
        <w:keepNext/>
        <w:bidi w:val="0"/>
      </w:pPr>
      <w:bookmarkStart w:id="14" w:name="_Toc16814"/>
      <w:r>
        <w:rPr>
          <w:rFonts w:hint="eastAsia"/>
          <w:lang w:val="en-US" w:eastAsia="zh-CN"/>
        </w:rPr>
        <w:t>安全性与可靠性需求</w:t>
      </w:r>
      <w:bookmarkEnd w:id="14"/>
    </w:p>
    <w:p w14:paraId="7C14AAD0">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模型与安全控制解耦</w:t>
      </w:r>
    </w:p>
    <w:p w14:paraId="4F4022D5">
      <w:pPr>
        <w:pStyle w:val="13"/>
        <w:keepNext w:val="0"/>
        <w:keepLines w:val="0"/>
        <w:widowControl/>
        <w:suppressLineNumbers w:val="0"/>
      </w:pPr>
      <w:r>
        <w:t>大模型负责理解与推理，本地安全组件负责最终裁决和执行约束。模型不可修改规则、扩大工具权限或直接访问未注册的系统能力。</w:t>
      </w:r>
    </w:p>
    <w:p w14:paraId="13FEEB3D">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输入输出防护</w:t>
      </w:r>
    </w:p>
    <w:p w14:paraId="2C2C4313">
      <w:pPr>
        <w:pStyle w:val="13"/>
        <w:keepNext w:val="0"/>
        <w:keepLines w:val="0"/>
        <w:widowControl/>
        <w:suppressLineNumbers w:val="0"/>
      </w:pPr>
      <w:r>
        <w:t>系统应对用户输入、日志内容、文件名和工具输出进行注入检测、长度限制和必要转义；展示信息应避免泄露凭据、令牌和个人隐私。</w:t>
      </w:r>
    </w:p>
    <w:p w14:paraId="7AFCCD3D">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权限与路径约束</w:t>
      </w:r>
    </w:p>
    <w:p w14:paraId="0E7A36A7">
      <w:pPr>
        <w:pStyle w:val="13"/>
        <w:keepNext w:val="0"/>
        <w:keepLines w:val="0"/>
        <w:widowControl/>
        <w:suppressLineNumbers w:val="0"/>
      </w:pPr>
      <w:r>
        <w:t>系统应使用最小权限账户运行，受控变更仅允许作用于明确路径和参数范围，并识别符号链接、路径穿越、通配扩展和目标替换。服务默认绑定127.0.0.1；对外监听时必须启用统一API Token，否则拒绝启动。</w:t>
      </w:r>
    </w:p>
    <w:p w14:paraId="387FB598">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审计完整性</w:t>
      </w:r>
    </w:p>
    <w:p w14:paraId="10F548C9">
      <w:pPr>
        <w:pStyle w:val="13"/>
        <w:keepNext w:val="0"/>
        <w:keepLines w:val="0"/>
        <w:widowControl/>
        <w:suppressLineNumbers w:val="0"/>
      </w:pPr>
      <w:r>
        <w:t>审计事件应按时间顺序记录并包含 traceId、动作主体、对象、规则版本、确认摘要和结果。审计写入失败时，变更操作不得继续。</w:t>
      </w:r>
    </w:p>
    <w:p w14:paraId="70173AA3">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故障安全</w:t>
      </w:r>
    </w:p>
    <w:p w14:paraId="22852C18">
      <w:pPr>
        <w:pStyle w:val="13"/>
        <w:keepNext w:val="0"/>
        <w:keepLines w:val="0"/>
        <w:widowControl/>
        <w:suppressLineNumbers w:val="0"/>
      </w:pPr>
      <w:r>
        <w:t>模型不可用、MCP 调用失败、工具超时、权限不足或验证失败时，系统应退化为只读说明或停止当前计划，不得以猜测结果替代真实证据。</w:t>
      </w:r>
    </w:p>
    <w:p w14:paraId="075FB05E">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可恢复性</w:t>
      </w:r>
    </w:p>
    <w:p w14:paraId="201E6CAA">
      <w:pPr>
        <w:pStyle w:val="13"/>
        <w:keepNext w:val="0"/>
        <w:keepLines w:val="0"/>
        <w:widowControl/>
        <w:suppressLineNumbers w:val="0"/>
      </w:pPr>
      <w:r>
        <w:t>受控变更应建立可验证的恢复点并登记持久化回滚账本，支持按traceId发起一键回滚；恢复动作同样经过目标校验、安全裁决、最小权限执行和结果验证。</w:t>
      </w:r>
    </w:p>
    <w:p w14:paraId="3D45BF25">
      <w:pPr>
        <w:pStyle w:val="13"/>
        <w:keepNext w:val="0"/>
        <w:keepLines w:val="0"/>
        <w:widowControl/>
        <w:suppressLineNumbers w:val="0"/>
        <w:rPr>
          <w:rFonts w:hint="eastAsia"/>
          <w:b/>
          <w:bCs/>
          <w:sz w:val="28"/>
          <w:szCs w:val="28"/>
          <w:lang w:val="en-US" w:eastAsia="zh-CN"/>
        </w:rPr>
      </w:pPr>
      <w:r>
        <w:rPr>
          <w:rFonts w:hint="eastAsia"/>
          <w:b/>
          <w:bCs/>
          <w:sz w:val="28"/>
          <w:szCs w:val="28"/>
          <w:lang w:val="en-US" w:eastAsia="zh-CN"/>
        </w:rPr>
        <w:t>配置可维护性</w:t>
      </w:r>
    </w:p>
    <w:p w14:paraId="071B9593">
      <w:pPr>
        <w:pStyle w:val="13"/>
        <w:keepNext w:val="0"/>
        <w:keepLines w:val="0"/>
        <w:widowControl/>
        <w:suppressLineNumbers w:val="0"/>
      </w:pPr>
      <w:r>
        <w:t>关键路径、敏感对象与安全阈值应版本化维护，保证审查、回滚和测试一致。</w:t>
      </w:r>
    </w:p>
    <w:p w14:paraId="416E9F84">
      <w:pPr>
        <w:pStyle w:val="2"/>
        <w:keepNext/>
        <w:pageBreakBefore/>
        <w:bidi w:val="0"/>
        <w:ind w:left="78" w:leftChars="0" w:firstLineChars="0"/>
      </w:pPr>
      <w:bookmarkStart w:id="15" w:name="_Toc28017"/>
      <w:r>
        <w:rPr>
          <w:rFonts w:hint="eastAsia"/>
          <w:lang w:val="en-US" w:eastAsia="zh-CN"/>
        </w:rPr>
        <w:t>结语</w:t>
      </w:r>
      <w:bookmarkEnd w:id="15"/>
    </w:p>
    <w:p w14:paraId="2A249BFB">
      <w:pPr>
        <w:bidi w:val="0"/>
      </w:pPr>
      <w:r>
        <w:rPr>
          <w:rFonts w:hint="default"/>
        </w:rPr>
        <w:t>智御·OS 智能运维 Agent 以龙芯麒麟环境中的真实运维问题为出发点，将自然语言理解、MCP 系统感知、证据关联和受控执行组织为一条完整工作链路。它帮助运维人员更快理解告警、定位原因并形成可审阅的处置计划。</w:t>
      </w:r>
    </w:p>
    <w:p w14:paraId="5120DD94">
      <w:pPr>
        <w:bidi w:val="0"/>
      </w:pPr>
      <w:r>
        <w:rPr>
          <w:rFonts w:hint="default"/>
        </w:rPr>
        <w:t>系统的核心价值不是替代人员作出不可逆决定，而是让诊断更有依据、执行更受约束、结果更易复核。通过不可会话放行的安全红线、计划确认绑定、最小权限执行和执行后验证，系统在提升效率的同时保持操作边界。</w:t>
      </w:r>
    </w:p>
    <w:p w14:paraId="5B4FB6A1">
      <w:pPr>
        <w:bidi w:val="0"/>
      </w:pPr>
      <w:r>
        <w:rPr>
          <w:rFonts w:hint="default"/>
        </w:rPr>
        <w:t>真实日志处理演示集中体现了本项目的产品闭环：面对监控告警，Agent 完成只读诊断和精准定位，由运维人员确认后执行真实归档与截断，并以空间复核和 traceId 给出透明结果。该能力为进一步覆盖进程、服务、配置和性能异常提供了统一基础。</w:t>
      </w:r>
    </w:p>
    <w:p w14:paraId="186A9AA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firstLine="420" w:firstLineChars="0"/>
        <w:rPr>
          <w:rFonts w:hint="default" w:ascii="Times New Roman" w:hAnsi="Times New Roman" w:eastAsia="楷体" w:cs="Times New Roman"/>
          <w:kern w:val="0"/>
          <w:sz w:val="24"/>
          <w:szCs w:val="22"/>
          <w:lang w:val="en-US" w:eastAsia="zh-CN" w:bidi="ar"/>
        </w:rPr>
      </w:pPr>
      <w:r>
        <w:rPr>
          <w:rFonts w:hint="eastAsia" w:eastAsia="宋体"/>
          <w:lang w:eastAsia="zh-CN"/>
        </w:rPr>
        <w:drawing>
          <wp:anchor distT="0" distB="0" distL="114300" distR="114300" simplePos="0" relativeHeight="251667456" behindDoc="1" locked="0" layoutInCell="1" allowOverlap="1">
            <wp:simplePos x="0" y="0"/>
            <wp:positionH relativeFrom="column">
              <wp:posOffset>-2802255</wp:posOffset>
            </wp:positionH>
            <wp:positionV relativeFrom="paragraph">
              <wp:posOffset>608330</wp:posOffset>
            </wp:positionV>
            <wp:extent cx="9269730" cy="13216255"/>
            <wp:effectExtent l="874395" t="581025" r="219075" b="254000"/>
            <wp:wrapNone/>
            <wp:docPr id="5" name="图片 53" descr="8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3" descr="8567"/>
                    <pic:cNvPicPr>
                      <a:picLocks noChangeAspect="1"/>
                    </pic:cNvPicPr>
                  </pic:nvPicPr>
                  <pic:blipFill>
                    <a:blip r:embed="rId8"/>
                    <a:srcRect b="41002"/>
                    <a:stretch>
                      <a:fillRect/>
                    </a:stretch>
                  </pic:blipFill>
                  <pic:spPr>
                    <a:xfrm rot="480000">
                      <a:off x="0" y="0"/>
                      <a:ext cx="9269730" cy="13216255"/>
                    </a:xfrm>
                    <a:prstGeom prst="rect">
                      <a:avLst/>
                    </a:prstGeom>
                    <a:noFill/>
                    <a:ln>
                      <a:noFill/>
                    </a:ln>
                  </pic:spPr>
                </pic:pic>
              </a:graphicData>
            </a:graphic>
          </wp:anchor>
        </w:drawing>
      </w:r>
      <w:r>
        <w:rPr>
          <w:rFonts w:hint="eastAsia" w:ascii="Times New Roman" w:hAnsi="Times New Roman" w:eastAsia="楷体" w:cs="Times New Roman"/>
          <w:kern w:val="0"/>
          <w:sz w:val="24"/>
          <w:szCs w:val="22"/>
          <w:lang w:val="en-US" w:eastAsia="zh-CN" w:bidi="ar"/>
        </w:rPr>
        <w:drawing>
          <wp:anchor distT="0" distB="0" distL="114300" distR="114300" simplePos="0" relativeHeight="251665408" behindDoc="1" locked="0" layoutInCell="1" allowOverlap="1">
            <wp:simplePos x="0" y="0"/>
            <wp:positionH relativeFrom="column">
              <wp:posOffset>1333500</wp:posOffset>
            </wp:positionH>
            <wp:positionV relativeFrom="paragraph">
              <wp:posOffset>-12301220</wp:posOffset>
            </wp:positionV>
            <wp:extent cx="9269730" cy="13216255"/>
            <wp:effectExtent l="183515" t="963295" r="2296795" b="1319530"/>
            <wp:wrapNone/>
            <wp:docPr id="3" name="图片 52" descr="8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2" descr="8567"/>
                    <pic:cNvPicPr>
                      <a:picLocks noChangeAspect="1"/>
                    </pic:cNvPicPr>
                  </pic:nvPicPr>
                  <pic:blipFill>
                    <a:blip r:embed="rId8"/>
                    <a:srcRect b="41002"/>
                    <a:stretch>
                      <a:fillRect/>
                    </a:stretch>
                  </pic:blipFill>
                  <pic:spPr>
                    <a:xfrm rot="-9360000">
                      <a:off x="0" y="0"/>
                      <a:ext cx="9269730" cy="13216255"/>
                    </a:xfrm>
                    <a:prstGeom prst="rect">
                      <a:avLst/>
                    </a:prstGeom>
                    <a:noFill/>
                    <a:ln>
                      <a:noFill/>
                    </a:ln>
                  </pic:spPr>
                </pic:pic>
              </a:graphicData>
            </a:graphic>
          </wp:anchor>
        </w:drawing>
      </w:r>
    </w:p>
    <w:sectPr>
      <w:footerReference r:id="rId6" w:type="default"/>
      <w:pgSz w:w="11906" w:h="16838"/>
      <w:pgMar w:top="1134" w:right="1134" w:bottom="1134" w:left="1134"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方正准圆简体">
    <w:altName w:val="宋体"/>
    <w:panose1 w:val="03000509000000000000"/>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8B8DB">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AA62B">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3" descr="页码装饰文本框"/>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FA7A492">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3" o:spid="_x0000_s1026" o:spt="202" alt="页码装饰文本框"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s0lY7tAAAAAFAQAADwAAAAAA&#10;AAABACAAAAAiAAAAZHJzL2Rvd25yZXYueG1sUEsBAhQAFAAAAAgAh07iQBt369BUAgAAjgQAAA4A&#10;AAAAAAAAAQAgAAAAHwEAAGRycy9lMm9Eb2MueG1sUEsFBgAAAAAGAAYAWQEAAOUFAAAAAA==&#10;">
              <v:fill on="f" focussize="0,0"/>
              <v:stroke on="f" weight="0.5pt"/>
              <v:imagedata o:title=""/>
              <o:lock v:ext="edit" aspectratio="f"/>
              <v:textbox inset="0mm,0mm,0mm,0mm" style="mso-fit-shape-to-text:t;">
                <w:txbxContent>
                  <w:p w14:paraId="6FA7A492">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ind w:firstLine="480"/>
      </w:pPr>
      <w:r>
        <w:separator/>
      </w:r>
    </w:p>
  </w:footnote>
  <w:footnote w:type="continuationSeparator" w:id="1">
    <w:p>
      <w:pPr>
        <w:spacing w:before="0" w:after="0" w:line="288"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B864E9"/>
    <w:multiLevelType w:val="singleLevel"/>
    <w:tmpl w:val="BAB864E9"/>
    <w:lvl w:ilvl="0" w:tentative="0">
      <w:start w:val="1"/>
      <w:numFmt w:val="chineseCounting"/>
      <w:pStyle w:val="4"/>
      <w:suff w:val="nothing"/>
      <w:lvlText w:val="%1、"/>
      <w:lvlJc w:val="left"/>
      <w:pPr>
        <w:ind w:left="0" w:firstLine="420"/>
      </w:pPr>
      <w:rPr>
        <w:rFonts w:hint="eastAsia"/>
      </w:rPr>
    </w:lvl>
  </w:abstractNum>
  <w:abstractNum w:abstractNumId="1">
    <w:nsid w:val="164A8503"/>
    <w:multiLevelType w:val="multilevel"/>
    <w:tmpl w:val="164A8503"/>
    <w:lvl w:ilvl="0" w:tentative="0">
      <w:start w:val="1"/>
      <w:numFmt w:val="chineseCounting"/>
      <w:pStyle w:val="2"/>
      <w:suff w:val="nothing"/>
      <w:lvlText w:val="第%1章 "/>
      <w:lvlJc w:val="left"/>
      <w:pPr>
        <w:ind w:left="78"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JiOTI2MDJlMzI0YzkxODc1MmI0NzA2MmIxOTAzYjcifQ=="/>
  </w:docVars>
  <w:rsids>
    <w:rsidRoot w:val="69C43F41"/>
    <w:rsid w:val="04387992"/>
    <w:rsid w:val="10585D41"/>
    <w:rsid w:val="18107B1C"/>
    <w:rsid w:val="18E27989"/>
    <w:rsid w:val="226E696C"/>
    <w:rsid w:val="23DA53C9"/>
    <w:rsid w:val="29F36060"/>
    <w:rsid w:val="376748F3"/>
    <w:rsid w:val="45FC0CDF"/>
    <w:rsid w:val="517C63B6"/>
    <w:rsid w:val="52556A4B"/>
    <w:rsid w:val="69C43F41"/>
    <w:rsid w:val="6B6B5A68"/>
    <w:rsid w:val="6C5F346D"/>
    <w:rsid w:val="795C442C"/>
    <w:rsid w:val="7A9F0B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line="288" w:lineRule="auto"/>
      <w:ind w:firstLine="723" w:firstLineChars="200"/>
      <w:jc w:val="both"/>
    </w:pPr>
    <w:rPr>
      <w:rFonts w:ascii="Times New Roman" w:hAnsi="Times New Roman" w:eastAsia="楷体" w:cs="Times New Roman"/>
      <w:kern w:val="2"/>
      <w:sz w:val="24"/>
      <w:szCs w:val="22"/>
      <w:lang w:val="en-US" w:eastAsia="zh-CN" w:bidi="ar-SA"/>
    </w:rPr>
  </w:style>
  <w:style w:type="paragraph" w:styleId="2">
    <w:name w:val="heading 1"/>
    <w:basedOn w:val="1"/>
    <w:next w:val="3"/>
    <w:qFormat/>
    <w:uiPriority w:val="9"/>
    <w:pPr>
      <w:keepNext/>
      <w:keepLines/>
      <w:numPr>
        <w:ilvl w:val="0"/>
        <w:numId w:val="1"/>
      </w:numPr>
      <w:spacing w:before="340" w:beforeLines="0" w:after="330" w:afterLines="0" w:line="240" w:lineRule="auto"/>
      <w:ind w:firstLineChars="0"/>
      <w:jc w:val="left"/>
      <w:outlineLvl w:val="0"/>
    </w:pPr>
    <w:rPr>
      <w:rFonts w:eastAsia="黑体"/>
      <w:b/>
      <w:kern w:val="44"/>
      <w:sz w:val="32"/>
    </w:rPr>
  </w:style>
  <w:style w:type="paragraph" w:styleId="4">
    <w:name w:val="heading 2"/>
    <w:basedOn w:val="1"/>
    <w:next w:val="1"/>
    <w:unhideWhenUsed/>
    <w:qFormat/>
    <w:uiPriority w:val="9"/>
    <w:pPr>
      <w:numPr>
        <w:ilvl w:val="0"/>
        <w:numId w:val="2"/>
      </w:numPr>
      <w:spacing w:before="50" w:beforeAutospacing="0" w:after="50" w:afterAutospacing="0" w:line="120" w:lineRule="auto"/>
      <w:ind w:left="850" w:leftChars="0" w:hanging="425" w:firstLineChars="0"/>
      <w:jc w:val="left"/>
      <w:outlineLvl w:val="1"/>
    </w:pPr>
    <w:rPr>
      <w:rFonts w:hint="eastAsia" w:ascii="宋体" w:hAnsi="宋体" w:eastAsia="宋体" w:cs="宋体"/>
      <w:b/>
      <w:bCs/>
      <w:kern w:val="0"/>
      <w:sz w:val="30"/>
      <w:szCs w:val="36"/>
      <w:lang w:bidi="ar"/>
    </w:rPr>
  </w:style>
  <w:style w:type="paragraph" w:styleId="5">
    <w:name w:val="heading 3"/>
    <w:basedOn w:val="1"/>
    <w:next w:val="1"/>
    <w:link w:val="18"/>
    <w:semiHidden/>
    <w:unhideWhenUsed/>
    <w:qFormat/>
    <w:uiPriority w:val="9"/>
    <w:pPr>
      <w:spacing w:before="50" w:beforeAutospacing="0" w:after="50" w:afterAutospacing="0" w:line="120" w:lineRule="auto"/>
      <w:ind w:left="402" w:hanging="402" w:hangingChars="125"/>
      <w:jc w:val="left"/>
      <w:outlineLvl w:val="2"/>
    </w:pPr>
    <w:rPr>
      <w:rFonts w:hint="eastAsia" w:ascii="宋体" w:hAnsi="宋体" w:eastAsia="黑体" w:cs="宋体"/>
      <w:b/>
      <w:bCs/>
      <w:kern w:val="0"/>
      <w:sz w:val="28"/>
      <w:szCs w:val="27"/>
      <w:lang w:bidi="ar"/>
    </w:rPr>
  </w:style>
  <w:style w:type="paragraph" w:styleId="6">
    <w:name w:val="heading 4"/>
    <w:basedOn w:val="1"/>
    <w:next w:val="1"/>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Body Text"/>
    <w:basedOn w:val="1"/>
    <w:semiHidden/>
    <w:unhideWhenUsed/>
    <w:qFormat/>
    <w:uiPriority w:val="99"/>
    <w:pPr>
      <w:spacing w:before="180" w:after="180"/>
    </w:pPr>
  </w:style>
  <w:style w:type="paragraph" w:styleId="7">
    <w:name w:val="caption"/>
    <w:basedOn w:val="1"/>
    <w:next w:val="1"/>
    <w:semiHidden/>
    <w:unhideWhenUsed/>
    <w:qFormat/>
    <w:uiPriority w:val="35"/>
    <w:pPr>
      <w:spacing w:after="120"/>
    </w:pPr>
    <w:rPr>
      <w:i/>
    </w:rPr>
  </w:style>
  <w:style w:type="paragraph" w:styleId="8">
    <w:name w:val="toc 3"/>
    <w:basedOn w:val="1"/>
    <w:next w:val="1"/>
    <w:semiHidden/>
    <w:unhideWhenUsed/>
    <w:qFormat/>
    <w:uiPriority w:val="39"/>
    <w:pPr>
      <w:ind w:left="840" w:leftChars="400"/>
    </w:pPr>
  </w:style>
  <w:style w:type="paragraph" w:styleId="9">
    <w:name w:val="footer"/>
    <w:basedOn w:val="1"/>
    <w:semiHidden/>
    <w:unhideWhenUsed/>
    <w:qFormat/>
    <w:uiPriority w:val="99"/>
    <w:pPr>
      <w:tabs>
        <w:tab w:val="center" w:pos="4153"/>
        <w:tab w:val="right" w:pos="8306"/>
      </w:tabs>
      <w:snapToGrid w:val="0"/>
      <w:jc w:val="left"/>
    </w:pPr>
    <w:rPr>
      <w:sz w:val="18"/>
    </w:rPr>
  </w:style>
  <w:style w:type="paragraph" w:styleId="10">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100" w:beforeAutospacing="1" w:after="100" w:afterAutospacing="1"/>
      <w:ind w:left="0" w:right="0"/>
      <w:jc w:val="left"/>
    </w:pPr>
    <w:rPr>
      <w:kern w:val="0"/>
      <w:sz w:val="24"/>
      <w:lang w:val="en-US" w:eastAsia="zh-CN" w:bidi="ar"/>
    </w:rPr>
  </w:style>
  <w:style w:type="table" w:styleId="15">
    <w:name w:val="Table Grid"/>
    <w:basedOn w:val="1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customStyle="1" w:styleId="18">
    <w:name w:val="标题 3 Char"/>
    <w:link w:val="5"/>
    <w:qFormat/>
    <w:uiPriority w:val="0"/>
    <w:rPr>
      <w:rFonts w:hint="eastAsia" w:ascii="宋体" w:hAnsi="宋体" w:eastAsia="黑体" w:cs="宋体"/>
      <w:b/>
      <w:bCs/>
      <w:kern w:val="0"/>
      <w:sz w:val="28"/>
      <w:szCs w:val="27"/>
      <w:lang w:bidi="ar"/>
    </w:rPr>
  </w:style>
  <w:style w:type="character" w:customStyle="1" w:styleId="19">
    <w:name w:val="md-plain"/>
    <w:basedOn w:val="16"/>
    <w:qFormat/>
    <w:uiPriority w:val="0"/>
  </w:style>
  <w:style w:type="character" w:customStyle="1" w:styleId="20">
    <w:name w:val="正文1 Char"/>
    <w:link w:val="21"/>
    <w:qFormat/>
    <w:uiPriority w:val="0"/>
  </w:style>
  <w:style w:type="paragraph" w:customStyle="1" w:styleId="21">
    <w:name w:val="正文1"/>
    <w:basedOn w:val="1"/>
    <w:link w:val="20"/>
    <w:qFormat/>
    <w:uiPriority w:val="0"/>
    <w:pPr>
      <w:ind w:left="358" w:firstLine="482" w:firstLineChars="200"/>
      <w:jc w:val="both"/>
    </w:p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分类号"/>
    <w:basedOn w:val="1"/>
    <w:qFormat/>
    <w:uiPriority w:val="0"/>
    <w:pPr>
      <w:spacing w:before="0" w:beforeLines="-2147483648" w:after="0" w:afterLines="-2147483648" w:line="240" w:lineRule="auto"/>
      <w:ind w:firstLine="0" w:firstLineChars="0"/>
    </w:pPr>
    <w:rPr>
      <w:rFonts w:ascii="仿宋_GB2312" w:eastAsia="仿宋_GB2312"/>
      <w:sz w:val="28"/>
      <w:szCs w:val="28"/>
    </w:rPr>
  </w:style>
  <w:style w:type="paragraph" w:customStyle="1" w:styleId="26">
    <w:name w:val="封面日期"/>
    <w:basedOn w:val="1"/>
    <w:qFormat/>
    <w:uiPriority w:val="0"/>
    <w:pPr>
      <w:spacing w:before="0" w:beforeLines="-2147483648" w:after="0" w:afterLines="-2147483648" w:line="240" w:lineRule="auto"/>
      <w:ind w:firstLine="0" w:firstLineChars="0"/>
      <w:jc w:val="center"/>
    </w:pPr>
    <w:rPr>
      <w:rFonts w:ascii="黑体" w:eastAsia="黑体"/>
      <w:sz w:val="32"/>
      <w:szCs w:val="32"/>
    </w:rPr>
  </w:style>
  <w:style w:type="paragraph" w:customStyle="1" w:styleId="27">
    <w:name w:val="论文标题"/>
    <w:basedOn w:val="1"/>
    <w:qFormat/>
    <w:uiPriority w:val="0"/>
    <w:pPr>
      <w:spacing w:before="0" w:beforeLines="-2147483648" w:after="0" w:afterLines="-2147483648" w:line="240" w:lineRule="auto"/>
      <w:ind w:firstLine="0" w:firstLineChars="0"/>
      <w:jc w:val="center"/>
    </w:pPr>
    <w:rPr>
      <w:rFonts w:eastAsia="楷体_GB2312"/>
      <w:b/>
      <w:kern w:val="36"/>
      <w:sz w:val="52"/>
      <w:szCs w:val="52"/>
    </w:rPr>
  </w:style>
  <w:style w:type="paragraph" w:customStyle="1" w:styleId="28">
    <w:name w:val="硕士学位论文"/>
    <w:basedOn w:val="1"/>
    <w:qFormat/>
    <w:uiPriority w:val="0"/>
    <w:pPr>
      <w:spacing w:before="240" w:beforeLines="-2147483648" w:after="0" w:afterLines="-2147483648" w:line="240" w:lineRule="auto"/>
      <w:ind w:firstLine="0" w:firstLineChars="0"/>
      <w:jc w:val="center"/>
    </w:pPr>
    <w:rPr>
      <w:rFonts w:eastAsia="宋体"/>
      <w:sz w:val="44"/>
      <w:szCs w:val="44"/>
    </w:rPr>
  </w:style>
  <w:style w:type="paragraph" w:customStyle="1" w:styleId="29">
    <w:name w:val="研究生姓名"/>
    <w:basedOn w:val="1"/>
    <w:qFormat/>
    <w:uiPriority w:val="0"/>
    <w:pPr>
      <w:spacing w:before="0" w:beforeLines="-2147483648" w:after="0" w:afterLines="-2147483648" w:line="240" w:lineRule="auto"/>
      <w:ind w:firstLine="700" w:firstLineChars="700"/>
    </w:pPr>
    <w:rPr>
      <w:rFonts w:eastAsia="宋体"/>
      <w:sz w:val="28"/>
      <w:szCs w:val="28"/>
    </w:rPr>
  </w:style>
  <w:style w:type="paragraph" w:customStyle="1" w:styleId="30">
    <w:name w:val="三级标题"/>
    <w:basedOn w:val="5"/>
    <w:next w:val="1"/>
    <w:autoRedefine/>
    <w:qFormat/>
    <w:uiPriority w:val="0"/>
    <w:pPr>
      <w:spacing w:before="50" w:beforeLines="50" w:after="50" w:afterLines="50" w:line="120" w:lineRule="auto"/>
      <w:ind w:firstLine="450" w:firstLineChars="125"/>
    </w:pPr>
    <w:rPr>
      <w:rFonts w:eastAsia="黑体"/>
      <w:b w:val="0"/>
      <w:sz w:val="24"/>
      <w:szCs w:val="30"/>
    </w:rPr>
  </w:style>
  <w:style w:type="paragraph" w:customStyle="1" w:styleId="31">
    <w:name w:val="正文一"/>
    <w:basedOn w:val="1"/>
    <w:autoRedefine/>
    <w:qFormat/>
    <w:uiPriority w:val="0"/>
    <w:pPr>
      <w:spacing w:line="336" w:lineRule="auto"/>
      <w:ind w:firstLine="7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5663</Words>
  <Characters>5804</Characters>
  <Lines>1</Lines>
  <Paragraphs>1</Paragraphs>
  <TotalTime>0</TotalTime>
  <ScaleCrop>false</ScaleCrop>
  <LinksUpToDate>false</LinksUpToDate>
  <CharactersWithSpaces>5877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2019-12-26T09:26:00Z</dcterms:created>
  <dc:creator/>
  <dc:description>面向龙芯麒麟的安全智能运维 Agent 软件功能需求分析文档</dc:description>
  <cp:keywords>龙芯；麒麟；智能运维；MCP；安全 Agent</cp:keywords>
  <cp:lastModifiedBy/>
  <dcterms:modified xsi:type="dcterms:W3CDTF">2026-07-17T08:06:21Z</dcterms:modified>
  <dc:subject>基于realtest-p0工程事实的中国软件杯参赛文档</dc:subject>
  <dc:title>智御·OS智能运维Agent——软件功能需求分析文档</dc:title>
  <cp:revision>1</cp:revision>
</cp:coreProperties>
</file>