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79"/>
      </w:tblGrid>
      <w:tr w:rsidR="00913E4C" w:rsidRPr="00913E4C" w14:paraId="41A1034A" w14:textId="77777777">
        <w:trPr>
          <w:cantSplit/>
          <w:trHeight w:val="180"/>
        </w:trPr>
        <w:tc>
          <w:tcPr>
            <w:tcW w:w="5000" w:type="pct"/>
            <w:hideMark/>
          </w:tcPr>
          <w:p w14:paraId="342DA776" w14:textId="37CBD2F5" w:rsidR="00913E4C" w:rsidRPr="00913E4C" w:rsidRDefault="00913E4C" w:rsidP="00913E4C">
            <w:pPr>
              <w:jc w:val="center"/>
              <w:rPr>
                <w:rFonts w:eastAsia="MS Mincho" w:cs="Times New Roman"/>
                <w:b/>
                <w:sz w:val="22"/>
              </w:rPr>
            </w:pPr>
            <w:r w:rsidRPr="00913E4C">
              <w:rPr>
                <w:rFonts w:eastAsia="MS Mincho" w:cs="Times New Roman"/>
                <w:b/>
                <w:noProof/>
                <w:sz w:val="22"/>
              </w:rPr>
              <w:drawing>
                <wp:inline distT="0" distB="0" distL="0" distR="0" wp14:anchorId="02FB132A" wp14:editId="751AF145">
                  <wp:extent cx="1066800" cy="1066800"/>
                  <wp:effectExtent l="0" t="0" r="0" b="0"/>
                  <wp:docPr id="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7E2D69" w14:textId="77777777" w:rsidR="00913E4C" w:rsidRPr="00913E4C" w:rsidRDefault="00913E4C" w:rsidP="00913E4C">
            <w:pPr>
              <w:jc w:val="center"/>
              <w:rPr>
                <w:rFonts w:eastAsia="MS Mincho" w:cs="Times New Roman"/>
                <w:b/>
                <w:sz w:val="22"/>
              </w:rPr>
            </w:pPr>
            <w:r w:rsidRPr="00913E4C">
              <w:rPr>
                <w:rFonts w:eastAsia="MS Mincho" w:cs="Times New Roman"/>
                <w:b/>
                <w:sz w:val="22"/>
              </w:rPr>
              <w:t>МИНОБРНАУКИ РОССИИ</w:t>
            </w:r>
          </w:p>
        </w:tc>
      </w:tr>
      <w:tr w:rsidR="00913E4C" w:rsidRPr="00913E4C" w14:paraId="2083AD79" w14:textId="77777777">
        <w:trPr>
          <w:cantSplit/>
          <w:trHeight w:val="1417"/>
        </w:trPr>
        <w:tc>
          <w:tcPr>
            <w:tcW w:w="5000" w:type="pct"/>
            <w:hideMark/>
          </w:tcPr>
          <w:p w14:paraId="5908082C" w14:textId="77777777" w:rsidR="00913E4C" w:rsidRPr="00913E4C" w:rsidRDefault="00913E4C" w:rsidP="00913E4C">
            <w:pPr>
              <w:jc w:val="center"/>
              <w:rPr>
                <w:rFonts w:eastAsia="MS Mincho" w:cs="Times New Roman"/>
                <w:b/>
                <w:i/>
                <w:sz w:val="22"/>
                <w:lang w:val="ru-RU"/>
              </w:rPr>
            </w:pPr>
            <w:r w:rsidRPr="00913E4C">
              <w:rPr>
                <w:rFonts w:eastAsia="MS Mincho" w:cs="Times New Roman"/>
                <w:b/>
                <w:sz w:val="22"/>
                <w:lang w:val="ru-RU"/>
              </w:rPr>
              <w:t>Федеральное государственное бюджетное образовательное учреждение</w:t>
            </w:r>
            <w:r w:rsidRPr="00913E4C">
              <w:rPr>
                <w:rFonts w:eastAsia="MS Mincho" w:cs="Times New Roman"/>
                <w:b/>
                <w:sz w:val="22"/>
                <w:lang w:val="ru-RU"/>
              </w:rPr>
              <w:br/>
              <w:t>высшего образования</w:t>
            </w:r>
            <w:r w:rsidRPr="00913E4C">
              <w:rPr>
                <w:rFonts w:eastAsia="MS Mincho" w:cs="Times New Roman"/>
                <w:b/>
                <w:sz w:val="22"/>
                <w:lang w:val="ru-RU"/>
              </w:rPr>
              <w:br/>
            </w:r>
            <w:r w:rsidRPr="00913E4C">
              <w:rPr>
                <w:rFonts w:eastAsia="MS Mincho" w:cs="Times New Roman"/>
                <w:b/>
                <w:bCs/>
                <w:sz w:val="22"/>
                <w:lang w:val="ru-RU"/>
              </w:rPr>
              <w:t xml:space="preserve">«МИРЭА </w:t>
            </w:r>
            <w:r w:rsidRPr="00913E4C">
              <w:rPr>
                <w:rFonts w:eastAsia="MS Mincho" w:cs="Times New Roman"/>
                <w:b/>
                <w:bCs/>
                <w:sz w:val="22"/>
              </w:rPr>
              <w:sym w:font="Symbol" w:char="F02D"/>
            </w:r>
            <w:r w:rsidRPr="00913E4C">
              <w:rPr>
                <w:rFonts w:eastAsia="MS Mincho" w:cs="Times New Roman"/>
                <w:b/>
                <w:bCs/>
                <w:sz w:val="22"/>
                <w:lang w:val="ru-RU"/>
              </w:rPr>
              <w:t xml:space="preserve"> Российский технологический университет»</w:t>
            </w:r>
          </w:p>
          <w:p w14:paraId="242E551B" w14:textId="77777777" w:rsidR="00913E4C" w:rsidRPr="00913E4C" w:rsidRDefault="00913E4C" w:rsidP="00913E4C">
            <w:pPr>
              <w:jc w:val="center"/>
              <w:rPr>
                <w:rFonts w:eastAsia="MS Mincho" w:cs="Times New Roman"/>
                <w:b/>
                <w:sz w:val="22"/>
              </w:rPr>
            </w:pPr>
            <w:r w:rsidRPr="00913E4C">
              <w:rPr>
                <w:rFonts w:eastAsia="MS Mincho" w:cs="Times New Roman"/>
                <w:b/>
                <w:sz w:val="22"/>
                <w:lang w:val="ru-RU"/>
              </w:rPr>
              <w:t xml:space="preserve"> </w:t>
            </w:r>
            <w:r w:rsidRPr="00913E4C">
              <w:rPr>
                <w:rFonts w:eastAsia="MS Mincho" w:cs="Times New Roman"/>
                <w:b/>
                <w:sz w:val="22"/>
              </w:rPr>
              <w:t xml:space="preserve">РТУ МИРЭА </w:t>
            </w:r>
            <w:r w:rsidRPr="00913E4C">
              <w:rPr>
                <w:rFonts w:ascii="Calibri" w:eastAsia="Calibri" w:hAnsi="Calibri" w:cs="Times New Roman"/>
                <w:noProof/>
                <w:color w:val="auto"/>
                <w:kern w:val="2"/>
                <w:sz w:val="22"/>
                <w:lang w:val="ru-RU"/>
                <w14:ligatures w14:val="standardContextual"/>
              </w:rPr>
              <mc:AlternateContent>
                <mc:Choice Requires="wps">
                  <w:drawing>
                    <wp:inline distT="0" distB="0" distL="0" distR="0" wp14:anchorId="25A6DB0F" wp14:editId="0D2E83BA">
                      <wp:extent cx="5600700" cy="1270"/>
                      <wp:effectExtent l="19050" t="19050" r="19050" b="27305"/>
                      <wp:docPr id="221884979" name="Прямая соединительная линия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308BEAB" id="Прямая соединительная линия 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6A2CB6D" w14:textId="77777777" w:rsidR="00913E4C" w:rsidRPr="00913E4C" w:rsidRDefault="00913E4C" w:rsidP="00913E4C">
      <w:pPr>
        <w:jc w:val="center"/>
        <w:rPr>
          <w:rFonts w:eastAsia="MS Mincho" w:cs="Times New Roman"/>
          <w:b/>
          <w:sz w:val="22"/>
        </w:rPr>
      </w:pPr>
      <w:r w:rsidRPr="00913E4C">
        <w:rPr>
          <w:rFonts w:eastAsia="MS Mincho" w:cs="Times New Roman"/>
          <w:b/>
          <w:sz w:val="22"/>
        </w:rPr>
        <w:t>Институт информационных технологий (ИИТ)</w:t>
      </w:r>
    </w:p>
    <w:p w14:paraId="5E6317F2" w14:textId="77777777" w:rsidR="00913E4C" w:rsidRPr="00913E4C" w:rsidRDefault="00913E4C" w:rsidP="00913E4C">
      <w:pPr>
        <w:jc w:val="center"/>
        <w:rPr>
          <w:rFonts w:eastAsia="MS Mincho" w:cs="Times New Roman"/>
          <w:b/>
          <w:sz w:val="22"/>
          <w:lang w:val="ru-RU"/>
        </w:rPr>
      </w:pPr>
      <w:r w:rsidRPr="00913E4C">
        <w:rPr>
          <w:rFonts w:eastAsia="MS Mincho" w:cs="Times New Roman"/>
          <w:b/>
          <w:sz w:val="22"/>
          <w:lang w:val="ru-RU"/>
        </w:rPr>
        <w:t>Кафедра игровой индустрии (ИИ)</w:t>
      </w:r>
    </w:p>
    <w:p w14:paraId="1A9A88CA" w14:textId="77777777" w:rsidR="00913E4C" w:rsidRPr="00913E4C" w:rsidRDefault="00913E4C" w:rsidP="00913E4C">
      <w:pPr>
        <w:jc w:val="center"/>
        <w:rPr>
          <w:rFonts w:eastAsia="MS Mincho" w:cs="Times New Roman"/>
          <w:lang w:val="ru-RU"/>
        </w:rPr>
      </w:pPr>
      <w:r w:rsidRPr="00913E4C">
        <w:rPr>
          <w:rFonts w:eastAsia="MS Mincho" w:cs="Times New Roman"/>
          <w:sz w:val="22"/>
          <w:lang w:val="ru-RU"/>
        </w:rPr>
        <w:br/>
      </w:r>
    </w:p>
    <w:p w14:paraId="357E7A1C" w14:textId="77777777" w:rsidR="00913E4C" w:rsidRPr="00913E4C" w:rsidRDefault="00913E4C" w:rsidP="00913E4C">
      <w:pPr>
        <w:spacing w:before="900"/>
        <w:rPr>
          <w:rFonts w:eastAsia="MS Mincho" w:cs="Times New Roman"/>
          <w:lang w:val="ru-RU"/>
        </w:rPr>
      </w:pPr>
    </w:p>
    <w:p w14:paraId="2ED3EB83" w14:textId="6C5DC7AD" w:rsidR="00913E4C" w:rsidRPr="00913E4C" w:rsidRDefault="00913E4C" w:rsidP="00913E4C">
      <w:pPr>
        <w:jc w:val="center"/>
        <w:rPr>
          <w:rFonts w:eastAsia="MS Mincho" w:cs="Times New Roman"/>
          <w:b/>
          <w:bCs/>
          <w:sz w:val="26"/>
          <w:lang w:val="ru-RU"/>
        </w:rPr>
      </w:pPr>
      <w:r>
        <w:rPr>
          <w:b/>
        </w:rPr>
        <w:t>ОТЧЕТ ПО ЗАДАНИЮ № 7</w:t>
        <w:br/>
        <w:t>по дисциплине:</w:t>
        <w:br/>
        <w:t>«Разработка кроссплатформенных приложений дополненной реальности»</w:t>
      </w:r>
    </w:p>
    <w:p w14:paraId="5E666AC3" w14:textId="77777777" w:rsidR="00913E4C" w:rsidRPr="00913E4C" w:rsidRDefault="00913E4C" w:rsidP="00913E4C">
      <w:pPr>
        <w:jc w:val="center"/>
        <w:rPr>
          <w:rFonts w:eastAsia="MS Mincho" w:cs="Times New Roman"/>
          <w:sz w:val="26"/>
          <w:lang w:val="ru-RU"/>
        </w:rPr>
      </w:pPr>
    </w:p>
    <w:p w14:paraId="08B569AA" w14:textId="77777777" w:rsidR="00913E4C" w:rsidRPr="00913E4C" w:rsidRDefault="00913E4C" w:rsidP="00913E4C">
      <w:pPr>
        <w:jc w:val="center"/>
        <w:rPr>
          <w:rFonts w:eastAsia="MS Mincho" w:cs="Times New Roman"/>
          <w:sz w:val="26"/>
          <w:lang w:val="ru-RU"/>
        </w:rPr>
      </w:pPr>
    </w:p>
    <w:p w14:paraId="32A34426" w14:textId="77777777" w:rsidR="00913E4C" w:rsidRPr="00913E4C" w:rsidRDefault="00913E4C" w:rsidP="00913E4C">
      <w:pPr>
        <w:jc w:val="center"/>
        <w:rPr>
          <w:rFonts w:eastAsia="MS Mincho" w:cs="Times New Roman"/>
          <w:lang w:val="ru-RU"/>
        </w:rPr>
      </w:pPr>
      <w:r w:rsidRPr="00913E4C">
        <w:rPr>
          <w:rFonts w:eastAsia="MS Mincho" w:cs="Times New Roman"/>
          <w:sz w:val="26"/>
          <w:lang w:val="ru-RU"/>
        </w:rPr>
        <w:br/>
      </w:r>
    </w:p>
    <w:tbl>
      <w:tblPr>
        <w:tblStyle w:val="14"/>
        <w:tblW w:w="736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6"/>
        <w:gridCol w:w="881"/>
        <w:gridCol w:w="4819"/>
      </w:tblGrid>
      <w:tr w:rsidR="00913E4C" w:rsidRPr="00913E4C" w14:paraId="55226C4F" w14:textId="77777777">
        <w:tc>
          <w:tcPr>
            <w:tcW w:w="2547" w:type="dxa"/>
            <w:gridSpan w:val="2"/>
          </w:tcPr>
          <w:p w14:paraId="3C7A31C8" w14:textId="77777777" w:rsidR="00913E4C" w:rsidRPr="00913E4C" w:rsidRDefault="00913E4C" w:rsidP="00913E4C">
            <w:pPr>
              <w:spacing w:after="0"/>
              <w:rPr>
                <w:rFonts w:eastAsia="Calibri"/>
                <w:color w:val="auto"/>
                <w:szCs w:val="24"/>
                <w:lang w:val="ru-RU"/>
              </w:rPr>
            </w:pPr>
            <w:r w:rsidRPr="00913E4C">
              <w:rPr>
                <w:rFonts w:eastAsia="Calibri"/>
                <w:color w:val="auto"/>
                <w:szCs w:val="24"/>
                <w:lang w:val="ru-RU"/>
              </w:rPr>
              <w:t xml:space="preserve">Студент группы </w:t>
            </w:r>
            <w:r w:rsidRPr="00913E4C">
              <w:rPr>
                <w:rFonts w:eastAsia="Calibri"/>
                <w:color w:val="FFFFFF"/>
                <w:szCs w:val="24"/>
                <w:lang w:val="ru-RU"/>
              </w:rPr>
              <w:t>ИНБО-01-17</w:t>
            </w:r>
          </w:p>
          <w:p w14:paraId="36D4A68A" w14:textId="77777777" w:rsidR="00913E4C" w:rsidRPr="00913E4C" w:rsidRDefault="00913E4C" w:rsidP="00913E4C">
            <w:pPr>
              <w:spacing w:after="0"/>
              <w:rPr>
                <w:rFonts w:eastAsia="Calibri"/>
                <w:color w:val="auto"/>
                <w:szCs w:val="24"/>
                <w:lang w:val="ru-RU"/>
              </w:rPr>
            </w:pPr>
          </w:p>
        </w:tc>
        <w:tc>
          <w:tcPr>
            <w:tcW w:w="4819" w:type="dxa"/>
            <w:hideMark/>
          </w:tcPr>
          <w:p w14:paraId="1705D0A8" w14:textId="77777777" w:rsidR="00913E4C" w:rsidRPr="00913E4C" w:rsidRDefault="00913E4C" w:rsidP="00913E4C">
            <w:pPr>
              <w:spacing w:after="0"/>
              <w:rPr>
                <w:rFonts w:eastAsia="Calibri"/>
                <w:i/>
                <w:iCs/>
                <w:color w:val="auto"/>
                <w:szCs w:val="24"/>
                <w:lang w:val="ru-RU"/>
              </w:rPr>
            </w:pPr>
            <w:r w:rsidRPr="00913E4C">
              <w:rPr>
                <w:rFonts w:eastAsia="Calibri"/>
                <w:i/>
                <w:iCs/>
                <w:color w:val="auto"/>
                <w:szCs w:val="24"/>
                <w:lang w:val="ru-RU"/>
              </w:rPr>
              <w:t>ИКБО-30-24, Мамасова Анна Сергеевна</w:t>
            </w:r>
          </w:p>
        </w:tc>
      </w:tr>
      <w:tr w:rsidR="00913E4C" w:rsidRPr="00913E4C" w14:paraId="1CDAF29A" w14:textId="77777777">
        <w:tc>
          <w:tcPr>
            <w:tcW w:w="2547" w:type="dxa"/>
            <w:gridSpan w:val="2"/>
          </w:tcPr>
          <w:p w14:paraId="24A20425" w14:textId="77777777" w:rsidR="00913E4C" w:rsidRPr="00913E4C" w:rsidRDefault="00913E4C" w:rsidP="00913E4C">
            <w:pPr>
              <w:spacing w:after="0"/>
              <w:rPr>
                <w:color w:val="auto"/>
                <w:szCs w:val="24"/>
                <w:lang w:val="ru-RU"/>
              </w:rPr>
            </w:pPr>
            <w:r w:rsidRPr="00913E4C">
              <w:rPr>
                <w:rFonts w:eastAsia="Calibri"/>
                <w:color w:val="auto"/>
                <w:szCs w:val="24"/>
                <w:lang w:val="ru-RU"/>
              </w:rPr>
              <w:t>Преподаватель</w:t>
            </w:r>
          </w:p>
          <w:p w14:paraId="7685B310" w14:textId="77777777" w:rsidR="00913E4C" w:rsidRPr="00913E4C" w:rsidRDefault="00913E4C" w:rsidP="00913E4C">
            <w:pPr>
              <w:spacing w:after="0"/>
              <w:rPr>
                <w:rFonts w:eastAsia="Calibri"/>
                <w:color w:val="auto"/>
                <w:szCs w:val="24"/>
                <w:lang w:val="ru-RU"/>
              </w:rPr>
            </w:pPr>
          </w:p>
        </w:tc>
        <w:tc>
          <w:tcPr>
            <w:tcW w:w="4819" w:type="dxa"/>
          </w:tcPr>
          <w:p w14:paraId="419BD86D" w14:textId="3B29225C" w:rsidR="00913E4C" w:rsidRPr="00913E4C" w:rsidRDefault="00913E4C" w:rsidP="00913E4C">
            <w:pPr>
              <w:spacing w:after="0"/>
              <w:rPr>
                <w:rFonts w:ascii="Calibri" w:eastAsia="Calibri" w:hAnsi="Calibri"/>
                <w:i/>
                <w:iCs/>
                <w:color w:val="auto"/>
                <w:sz w:val="22"/>
                <w:lang w:val="ru-RU"/>
              </w:rPr>
            </w:pPr>
            <w:r w:rsidRPr="00913E4C">
              <w:rPr>
                <w:rFonts w:ascii="Calibri" w:eastAsia="Calibri" w:hAnsi="Calibri"/>
                <w:i/>
                <w:iCs/>
                <w:color w:val="auto"/>
                <w:sz w:val="22"/>
                <w:lang w:val="ru-RU"/>
              </w:rPr>
              <w:t>Колодочкин Алексей Александрович</w:t>
            </w:r>
          </w:p>
          <w:p w14:paraId="023372CA" w14:textId="77777777" w:rsidR="00913E4C" w:rsidRPr="00913E4C" w:rsidRDefault="00913E4C" w:rsidP="00913E4C">
            <w:pPr>
              <w:spacing w:after="0"/>
              <w:rPr>
                <w:rFonts w:ascii="Calibri" w:eastAsia="Calibri" w:hAnsi="Calibri"/>
                <w:i/>
                <w:iCs/>
                <w:color w:val="auto"/>
                <w:sz w:val="22"/>
                <w:lang w:val="ru-RU"/>
              </w:rPr>
            </w:pPr>
          </w:p>
          <w:p w14:paraId="0AC75A2C" w14:textId="77777777" w:rsidR="00913E4C" w:rsidRPr="00913E4C" w:rsidRDefault="00913E4C" w:rsidP="00913E4C">
            <w:pPr>
              <w:spacing w:after="0"/>
              <w:rPr>
                <w:rFonts w:eastAsia="Calibri"/>
                <w:color w:val="auto"/>
                <w:szCs w:val="24"/>
                <w:lang w:val="ru-RU"/>
              </w:rPr>
            </w:pPr>
          </w:p>
        </w:tc>
      </w:tr>
      <w:tr w:rsidR="00913E4C" w:rsidRPr="00913E4C" w14:paraId="217FCEB3" w14:textId="77777777">
        <w:trPr>
          <w:gridAfter w:val="2"/>
          <w:wAfter w:w="5700" w:type="dxa"/>
        </w:trPr>
        <w:tc>
          <w:tcPr>
            <w:tcW w:w="1666" w:type="dxa"/>
          </w:tcPr>
          <w:p w14:paraId="1699B34A" w14:textId="77777777" w:rsidR="00913E4C" w:rsidRPr="00913E4C" w:rsidRDefault="00913E4C" w:rsidP="00913E4C">
            <w:pPr>
              <w:spacing w:after="0"/>
              <w:rPr>
                <w:rFonts w:eastAsia="Calibri"/>
                <w:color w:val="auto"/>
                <w:szCs w:val="24"/>
                <w:lang w:val="ru-RU"/>
              </w:rPr>
            </w:pPr>
          </w:p>
        </w:tc>
      </w:tr>
    </w:tbl>
    <w:p w14:paraId="60CADC78" w14:textId="77777777" w:rsidR="00913E4C" w:rsidRDefault="00913E4C" w:rsidP="00913E4C">
      <w:pPr>
        <w:jc w:val="center"/>
        <w:rPr>
          <w:rFonts w:eastAsia="MS Mincho" w:cs="Times New Roman"/>
          <w:lang w:val="ru-RU"/>
        </w:rPr>
      </w:pPr>
    </w:p>
    <w:p w14:paraId="727EBB86" w14:textId="77777777" w:rsidR="00913E4C" w:rsidRDefault="00913E4C" w:rsidP="00913E4C">
      <w:pPr>
        <w:jc w:val="center"/>
        <w:rPr>
          <w:rFonts w:eastAsia="MS Mincho" w:cs="Times New Roman"/>
          <w:lang w:val="ru-RU"/>
        </w:rPr>
      </w:pPr>
    </w:p>
    <w:p w14:paraId="5AA0BC80" w14:textId="77777777" w:rsidR="00913E4C" w:rsidRDefault="00913E4C" w:rsidP="00913E4C">
      <w:pPr>
        <w:jc w:val="center"/>
        <w:rPr>
          <w:rFonts w:eastAsia="MS Mincho" w:cs="Times New Roman"/>
          <w:lang w:val="ru-RU"/>
        </w:rPr>
      </w:pPr>
    </w:p>
    <w:p w14:paraId="513C7021" w14:textId="77777777" w:rsidR="00913E4C" w:rsidRDefault="00913E4C" w:rsidP="00913E4C">
      <w:pPr>
        <w:jc w:val="center"/>
        <w:rPr>
          <w:rFonts w:eastAsia="MS Mincho" w:cs="Times New Roman"/>
          <w:lang w:val="ru-RU"/>
        </w:rPr>
      </w:pPr>
    </w:p>
    <w:p w14:paraId="0C45418D" w14:textId="77777777" w:rsidR="00913E4C" w:rsidRDefault="00913E4C" w:rsidP="00913E4C">
      <w:pPr>
        <w:jc w:val="center"/>
        <w:rPr>
          <w:rFonts w:eastAsia="MS Mincho" w:cs="Times New Roman"/>
          <w:lang w:val="ru-RU"/>
        </w:rPr>
      </w:pPr>
    </w:p>
    <w:p w14:paraId="35A12AFE" w14:textId="16A67E3A" w:rsidR="00913E4C" w:rsidRPr="00913E4C" w:rsidRDefault="00913E4C" w:rsidP="00913E4C">
      <w:pPr>
        <w:jc w:val="center"/>
        <w:rPr>
          <w:rFonts w:eastAsia="MS Mincho" w:cs="Times New Roman"/>
        </w:rPr>
      </w:pPr>
      <w:r w:rsidRPr="00913E4C">
        <w:rPr>
          <w:rFonts w:eastAsia="MS Mincho" w:cs="Times New Roman"/>
        </w:rPr>
        <w:t>Москва 2026 г.</w:t>
      </w:r>
    </w:p>
    <w:p>
      <w:pPr>
        <w:jc w:val="center"/>
      </w:pPr>
      <w:r>
        <w:rPr>
          <w:b/>
          <w:sz w:val="28"/>
        </w:rPr>
        <w:t>ЗАДАНИЕ 7</w:t>
      </w:r>
    </w:p>
    <w:p>
      <w:pPr>
        <w:jc w:val="center"/>
      </w:pPr>
      <w:r>
        <w:rPr>
          <w:b/>
        </w:rPr>
        <w:t>Тема: Интерактивный WebAR в Unity: drag &amp; scale, XR Interaction Toolkit</w:t>
      </w:r>
    </w:p>
    <w:p>
      <w:r>
        <w:rPr>
          <w:b/>
        </w:rPr>
        <w:t>Требования:</w:t>
      </w:r>
    </w:p>
    <w:p>
      <w:pPr>
        <w:pStyle w:val="a0"/>
      </w:pPr>
      <w:r>
        <w:t>Использован XR Interaction Toolkit.</w:t>
      </w:r>
    </w:p>
    <w:p>
      <w:pPr>
        <w:pStyle w:val="a0"/>
      </w:pPr>
      <w:r>
        <w:t>Подключён и корректно работает webxr-xrit-bridge.</w:t>
      </w:r>
    </w:p>
    <w:p>
      <w:pPr>
        <w:pStyle w:val="a0"/>
      </w:pPr>
      <w:r>
        <w:t>Реализовано масштабирование и перемещение объекта (через жесты или ray-интеракции).</w:t>
      </w:r>
    </w:p>
    <w:p>
      <w:pPr>
        <w:pStyle w:val="a0"/>
      </w:pPr>
      <w:r>
        <w:t>Есть визуальный отклик при взаимодействии (например, подсветка, изменение размера или цвета).</w:t>
      </w:r>
    </w:p>
    <w:p>
      <w:pPr>
        <w:pStyle w:val="a0"/>
      </w:pPr>
      <w:r>
        <w:t>Всё работает в WebGL-сборке с WebXR AR-сессией.</w:t>
      </w:r>
    </w:p>
    <w:p>
      <w:r>
        <w:rPr>
          <w:b/>
        </w:rPr>
        <w:t>Описание выполнения работы:</w:t>
      </w:r>
    </w:p>
    <w:p>
      <w:r>
        <w:rPr>
          <w:b/>
        </w:rPr>
        <w:t xml:space="preserve">1. Подключение XR Interaction Toolkit и плагина webxr-xrit-bridge. </w:t>
      </w:r>
      <w:r>
        <w:t>В файл Packages/manifest.json проекта Unity добавлены официальные пакеты com.unity.xr.interaction.toolkit (версия 2.5.4), com.de-panther.webxr и мост com.de-panther.webxr-xrit-bridge. Плагин webxr-xrit-bridge интегрирует подсистему ввода браузерного WebXR в архитектуру XR Interaction Toolkit, связывая контроллеры и экранные касания с XRInteractionManager.</w:t>
      </w:r>
    </w:p>
    <w:p>
      <w:r>
        <w:rPr>
          <w:b/>
        </w:rPr>
        <w:t xml:space="preserve">2. Разработка интерактивного компонента WebXRDragScaleInteractable. </w:t>
      </w:r>
      <w:r>
        <w:t>Создан пользовательский интерактивный C#-скрипт WebXRDragScaleInteractable.cs, наследуемый от XRGrabInteractable. Скрипт реализует:</w:t>
        <w:br/>
        <w:t>• Перемещение (Drag): перемещение объекта в пространстве вдоль луча взаимодействия ray-interactor или при перетаскивании пальцем по экрану;</w:t>
        <w:br/>
        <w:t>• Двухпальцевое масштабирование (Pinch-to-Scale): при наличии двух точек касания (Input.touchCount == 2) вычисляется относительное изменение дистанции между пальцами, плавно изменяющее локальный масштаб transform.localScale в диапазоне от 0.4x до 2.5x;</w:t>
        <w:br/>
        <w:t>• Эмуляцию луча для мобильных устройств: разработан скрипт WebXRTouchScreenRayInteractor.cs, проецирующий касания экрана в лучи Physics.Raycast и передающий события в XRInteractionManager.</w:t>
      </w:r>
    </w:p>
    <w:p>
      <w:r>
        <w:rPr>
          <w:b/>
        </w:rPr>
        <w:t xml:space="preserve">3. Визуальный отклик при взаимодействии (Visual Feedback). </w:t>
      </w:r>
      <w:r>
        <w:t>Для обеспечения понятной обратной связи с пользователем настроена динамическая смена состояний:</w:t>
        <w:br/>
        <w:t>• Состояние покоя (Idle): стандартный темный цвет пьедестала (#1E293B);</w:t>
        <w:br/>
        <w:t>• Состояние наведения (Hover): контрастная оранжевая подсветка контурных ребер (#EA580C);</w:t>
        <w:br/>
        <w:t>• Состояние захвата / перетаскивания (Select / Drag): золотистое свечение материала и контура (#F59E0B), активация эмиссионного свечения (_EmissionColor) и тактильный импульс — упругое увеличение масштаба на 8% (bounceScaleMultiplier = 1.08f);</w:t>
        <w:br/>
        <w:t>• Состояние масштабирования: зеленая индикация ребер (#10B981) с выводом точного процента масштаба в интерфейс.</w:t>
      </w:r>
    </w:p>
    <w:p>
      <w:r>
        <w:rPr>
          <w:b/>
        </w:rPr>
        <w:t xml:space="preserve">4. Настройки сборки WebGL и интеграция с WebXR AR. </w:t>
      </w:r>
      <w:r>
        <w:t>В Player Settings Unity настроен шаблон WebXR2020/WebXRTemplate, Linear Color Space, отключены Multithreading и Decompression Fallback. Развернутое приложение обеспечивает стабильную работу в браузере с поддержкой как WebXR на устройствах с ARCore (Google Chrome), так и универсального режима камеры на iOS (Safari).</w:t>
      </w:r>
    </w:p>
    <w:p>
      <w:r>
        <w:rPr>
          <w:b/>
        </w:rPr>
        <w:t>Листинг C# скрипта WebXRDragScaleInteractable.cs: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360"/>
            <w:shd w:fill="F8FAFC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6"/>
              </w:rPr>
              <w:t>using System;</w:t>
              <w:br/>
              <w:t>using UnityEngine;</w:t>
              <w:br/>
              <w:t>using UnityEngine.XR.Interaction.Toolkit;</w:t>
              <w:br/>
              <w:t>using WebXR;</w:t>
              <w:br/>
              <w:br/>
              <w:t>[RequireComponent(typeof(Collider))]</w:t>
              <w:br/>
              <w:t>public class WebXRDragScaleInteractable : XRGrabInteractable</w:t>
              <w:br/>
              <w:t>{</w:t>
              <w:br/>
              <w:t xml:space="preserve">    [Header("Visual Feedback")]</w:t>
              <w:br/>
              <w:t xml:space="preserve">    [SerializeField] private Renderer targetRenderer;</w:t>
              <w:br/>
              <w:t xml:space="preserve">    [SerializeField] private Color normalColor = new Color(0.12f, 0.16f, 0.23f);</w:t>
              <w:br/>
              <w:t xml:space="preserve">    [SerializeField] private Color hoverColor = new Color(0.92f, 0.40f, 0.13f);</w:t>
              <w:br/>
              <w:t xml:space="preserve">    [SerializeField] private Color selectColor = new Color(0.98f, 0.75f, 0.18f);</w:t>
              <w:br/>
              <w:t xml:space="preserve">    [SerializeField] private float bounceScaleMultiplier = 1.08f;</w:t>
              <w:br/>
              <w:br/>
              <w:t xml:space="preserve">    [Header("Scale Settings")]</w:t>
              <w:br/>
              <w:t xml:space="preserve">    [SerializeField] private float minScale = 0.4f;</w:t>
              <w:br/>
              <w:t xml:space="preserve">    [SerializeField] private float maxScale = 2.5f;</w:t>
              <w:br/>
              <w:t xml:space="preserve">    [SerializeField] private float pinchSensitivity = 0.005f;</w:t>
              <w:br/>
              <w:br/>
              <w:t xml:space="preserve">    private Material objectMaterial;</w:t>
              <w:br/>
              <w:t xml:space="preserve">    private Vector3 originalScale;</w:t>
              <w:br/>
              <w:t xml:space="preserve">    private float currentScaleFactor = 1.0f;</w:t>
              <w:br/>
              <w:t xml:space="preserve">    private bool isSelected = false;</w:t>
              <w:br/>
              <w:t xml:space="preserve">    private float previousTouchDistance = 0f;</w:t>
              <w:br/>
              <w:br/>
              <w:t xml:space="preserve">    protected override void Awake()</w:t>
              <w:br/>
              <w:t xml:space="preserve">    {</w:t>
              <w:br/>
              <w:t xml:space="preserve">        base.Awake();</w:t>
              <w:br/>
              <w:t xml:space="preserve">        originalScale = transform.localScale;</w:t>
              <w:br/>
              <w:t xml:space="preserve">        if (targetRenderer != null)</w:t>
              <w:br/>
              <w:t xml:space="preserve">        {</w:t>
              <w:br/>
              <w:t xml:space="preserve">            objectMaterial = targetRenderer.material;</w:t>
              <w:br/>
              <w:t xml:space="preserve">            SetFeedbackColor(normalColor);</w:t>
              <w:br/>
              <w:t xml:space="preserve">        }</w:t>
              <w:br/>
              <w:t xml:space="preserve">    }</w:t>
              <w:br/>
              <w:br/>
              <w:t xml:space="preserve">    protected override void OnEnable()</w:t>
              <w:br/>
              <w:t xml:space="preserve">    {</w:t>
              <w:br/>
              <w:t xml:space="preserve">        base.OnEnable();</w:t>
              <w:br/>
              <w:t xml:space="preserve">        selectEntered.AddListener(args =&gt; {</w:t>
              <w:br/>
              <w:t xml:space="preserve">            isSelected = true;</w:t>
              <w:br/>
              <w:t xml:space="preserve">            SetFeedbackColor(selectColor);</w:t>
              <w:br/>
              <w:t xml:space="preserve">            transform.localScale = originalScale * (currentScaleFactor * bounceScaleMultiplier);</w:t>
              <w:br/>
              <w:t xml:space="preserve">        });</w:t>
              <w:br/>
              <w:t xml:space="preserve">        selectExited.AddListener(args =&gt; {</w:t>
              <w:br/>
              <w:t xml:space="preserve">            isSelected = false;</w:t>
              <w:br/>
              <w:t xml:space="preserve">            SetFeedbackColor(normalColor);</w:t>
              <w:br/>
              <w:t xml:space="preserve">            transform.localScale = originalScale * currentScaleFactor;</w:t>
              <w:br/>
              <w:t xml:space="preserve">        });</w:t>
              <w:br/>
              <w:t xml:space="preserve">        hoverEntered.AddListener(args =&gt; { if (!isSelected) SetFeedbackColor(hoverColor); });</w:t>
              <w:br/>
              <w:t xml:space="preserve">        hoverExited.AddListener(args =&gt; { if (!isSelected) SetFeedbackColor(normalColor); });</w:t>
              <w:br/>
              <w:t xml:space="preserve">    }</w:t>
              <w:br/>
              <w:br/>
              <w:t xml:space="preserve">    private void Update()</w:t>
              <w:br/>
              <w:t xml:space="preserve">    {</w:t>
              <w:br/>
              <w:t xml:space="preserve">        // Обработка двухпальцевого жеста Pinch-to-Scale</w:t>
              <w:br/>
              <w:t xml:space="preserve">        if (Input.touchCount == 2)</w:t>
              <w:br/>
              <w:t xml:space="preserve">        {</w:t>
              <w:br/>
              <w:t xml:space="preserve">            Touch t0 = Input.GetTouch(0);</w:t>
              <w:br/>
              <w:t xml:space="preserve">            Touch t1 = Input.GetTouch(1);</w:t>
              <w:br/>
              <w:t xml:space="preserve">            float dist = Vector2.Distance(t0.position, t1.position);</w:t>
              <w:br/>
              <w:br/>
              <w:t xml:space="preserve">            if (t0.phase == TouchPhase.Began || t1.phase == TouchPhase.Began)</w:t>
              <w:br/>
              <w:t xml:space="preserve">            {</w:t>
              <w:br/>
              <w:t xml:space="preserve">                previousTouchDistance = dist;</w:t>
              <w:br/>
              <w:t xml:space="preserve">                return;</w:t>
              <w:br/>
              <w:t xml:space="preserve">            }</w:t>
              <w:br/>
              <w:br/>
              <w:t xml:space="preserve">            float delta = dist - previousTouchDistance;</w:t>
              <w:br/>
              <w:t xml:space="preserve">            previousTouchDistance = dist;</w:t>
              <w:br/>
              <w:t xml:space="preserve">            currentScaleFactor = Mathf.Clamp(currentScaleFactor + delta * pinchSensitivity, minScale, maxScale);</w:t>
              <w:br/>
              <w:t xml:space="preserve">            transform.localScale = originalScale * currentScaleFactor;</w:t>
              <w:br/>
              <w:t xml:space="preserve">        }</w:t>
              <w:br/>
              <w:t xml:space="preserve">    }</w:t>
              <w:br/>
              <w:br/>
              <w:t xml:space="preserve">    private void SetFeedbackColor(Color c)</w:t>
              <w:br/>
              <w:t xml:space="preserve">    {</w:t>
              <w:br/>
              <w:t xml:space="preserve">        if (objectMaterial != null)</w:t>
              <w:br/>
              <w:t xml:space="preserve">        {</w:t>
              <w:br/>
              <w:t xml:space="preserve">            if (objectMaterial.HasProperty("_Color")) objectMaterial.color = c;</w:t>
              <w:br/>
              <w:t xml:space="preserve">            if (objectMaterial.HasProperty("_EmissionColor"))</w:t>
              <w:br/>
              <w:t xml:space="preserve">            {</w:t>
              <w:br/>
              <w:t xml:space="preserve">                objectMaterial.EnableKeyword("_EMISSION");</w:t>
              <w:br/>
              <w:t xml:space="preserve">                objectMaterial.SetColor("_EmissionColor", c * 0.4f);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r>
        <w:rPr>
          <w:b/>
        </w:rPr>
        <w:t>Развертывание и тестирование:</w:t>
      </w:r>
    </w:p>
    <w:p>
      <w:r>
        <w:t>Приложение опубликовано на GitHub Pages: https://anouchh.github.io/restaurant-ar/task7-unity-interaction/index.html. На мобильном устройстве и в браузере протестированы: перетаскивание объекта касанием одного пальца (drag), плавное масштабирование жестом двумя пальцами (pinch-to-scale), отклик смены цветов подсветки и упругая анимация при захвате.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360"/>
            <w:shd w:fill="F8FAFC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</w:tcPr>
          <w:p>
            <w:pPr>
              <w:spacing w:before="320" w:after="320"/>
              <w:jc w:val="center"/>
            </w:pPr>
            <w:r>
              <w:rPr>
                <w:color w:val="475569"/>
                <w:sz w:val="20"/>
              </w:rPr>
              <w:t>📷  [ Место для скриншота: Интерактивный WebAR в Unity (XR Interaction Toolkit, Drag &amp; Scale жесты) ]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sz w:val="28"/>
        </w:rPr>
        <w:t>ЗАКЛЮЧЕНИЕ</w:t>
      </w:r>
    </w:p>
    <w:p>
      <w:r>
        <w:t>В ходе выполнения практического задания № 7 были достигнуты следующие результаты:</w:t>
        <w:br/>
        <w:t>1. Успешно интегрирован официальный пакет Unity XR Interaction Toolkit совместно с мостом webxr-xrit-bridge для браузерной среды WebXR;</w:t>
        <w:br/>
        <w:t>2. Разработан скрипт WebXRDragScaleInteractable.cs, поддерживающий перетаскивание (drag) и сенсорное масштабирование (pinch-to-scale) объекта в 3D-пространстве;</w:t>
        <w:br/>
        <w:t>3. Реализована интерактивная визуальная обратная связь (Outline-подсветка при наведении, золотое свечение при захвате и упругий анимационный отклик);</w:t>
        <w:br/>
        <w:t>4. Разработан эмулятор экранного луча WebXRTouchScreenRayInteractor.cs для корректной обработки касаний на смартфонах без пространственных контроллеров;</w:t>
        <w:br/>
        <w:t>5. Приложение развернуто на веб-сервере GitHub Pages и протестировано в режиме WebAR.</w:t>
      </w:r>
    </w:p>
    <w:sectPr w:rsidR="00D218A5" w:rsidRPr="00B26E76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7053659">
    <w:abstractNumId w:val="8"/>
  </w:num>
  <w:num w:numId="2" w16cid:durableId="170682026">
    <w:abstractNumId w:val="6"/>
  </w:num>
  <w:num w:numId="3" w16cid:durableId="245505902">
    <w:abstractNumId w:val="5"/>
  </w:num>
  <w:num w:numId="4" w16cid:durableId="65029968">
    <w:abstractNumId w:val="4"/>
  </w:num>
  <w:num w:numId="5" w16cid:durableId="1649238690">
    <w:abstractNumId w:val="7"/>
  </w:num>
  <w:num w:numId="6" w16cid:durableId="974220867">
    <w:abstractNumId w:val="3"/>
  </w:num>
  <w:num w:numId="7" w16cid:durableId="2096516703">
    <w:abstractNumId w:val="2"/>
  </w:num>
  <w:num w:numId="8" w16cid:durableId="1707829198">
    <w:abstractNumId w:val="1"/>
  </w:num>
  <w:num w:numId="9" w16cid:durableId="69973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78B"/>
    <w:rsid w:val="00034616"/>
    <w:rsid w:val="0006063C"/>
    <w:rsid w:val="0015074B"/>
    <w:rsid w:val="0029639D"/>
    <w:rsid w:val="00326F90"/>
    <w:rsid w:val="00685550"/>
    <w:rsid w:val="00913E4C"/>
    <w:rsid w:val="00AA1D8D"/>
    <w:rsid w:val="00B26E76"/>
    <w:rsid w:val="00B47730"/>
    <w:rsid w:val="00CB0664"/>
    <w:rsid w:val="00D218A5"/>
    <w:rsid w:val="00DB2B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8CD901"/>
  <w14:defaultImageDpi w14:val="300"/>
  <w15:docId w15:val="{0110F10F-EA0A-4031-8C0C-EE6EC5D04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4">
    <w:name w:val="Сетка таблицы1"/>
    <w:basedOn w:val="a3"/>
    <w:uiPriority w:val="59"/>
    <w:rsid w:val="00B26E76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1319</Words>
  <Characters>7519</Characters>
  <Application>Microsoft Office Word</Application>
  <DocSecurity>0</DocSecurity>
  <Lines>62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Анна Мамасова</cp:lastModifiedBy>
  <cp:revision>3</cp:revision>
  <dcterms:created xsi:type="dcterms:W3CDTF">2013-12-23T23:15:00Z</dcterms:created>
  <dcterms:modified xsi:type="dcterms:W3CDTF">2026-09-26T08:59:00Z</dcterms:modified>
  <cp:category/>
</cp:coreProperties>
</file>