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79"/>
      </w:tblGrid>
      <w:tr w:rsidR="00913E4C" w:rsidRPr="00913E4C" w14:paraId="41A1034A" w14:textId="77777777">
        <w:trPr>
          <w:cantSplit/>
          <w:trHeight w:val="180"/>
        </w:trPr>
        <w:tc>
          <w:tcPr>
            <w:tcW w:w="5000" w:type="pct"/>
            <w:hideMark/>
          </w:tcPr>
          <w:p w14:paraId="342DA776" w14:textId="37CBD2F5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noProof/>
                <w:sz w:val="22"/>
              </w:rPr>
              <w:drawing>
                <wp:inline distT="0" distB="0" distL="0" distR="0" wp14:anchorId="02FB132A" wp14:editId="751AF145">
                  <wp:extent cx="1066800" cy="106680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7E2D69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sz w:val="22"/>
              </w:rPr>
              <w:t>МИНОБРНАУКИ РОССИИ</w:t>
            </w:r>
          </w:p>
        </w:tc>
      </w:tr>
      <w:tr w:rsidR="00913E4C" w:rsidRPr="00913E4C" w14:paraId="2083AD79" w14:textId="77777777">
        <w:trPr>
          <w:cantSplit/>
          <w:trHeight w:val="1417"/>
        </w:trPr>
        <w:tc>
          <w:tcPr>
            <w:tcW w:w="5000" w:type="pct"/>
            <w:hideMark/>
          </w:tcPr>
          <w:p w14:paraId="5908082C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i/>
                <w:sz w:val="22"/>
                <w:lang w:val="ru-RU"/>
              </w:rPr>
            </w:pPr>
            <w:r w:rsidRPr="00913E4C">
              <w:rPr>
                <w:rFonts w:eastAsia="MS Mincho" w:cs="Times New Roman"/>
                <w:b/>
                <w:sz w:val="22"/>
                <w:lang w:val="ru-RU"/>
              </w:rPr>
              <w:t>Федеральное государственное бюджетное образовательное учреждение</w:t>
            </w:r>
            <w:r w:rsidRPr="00913E4C">
              <w:rPr>
                <w:rFonts w:eastAsia="MS Mincho" w:cs="Times New Roman"/>
                <w:b/>
                <w:sz w:val="22"/>
                <w:lang w:val="ru-RU"/>
              </w:rPr>
              <w:br/>
              <w:t>высшего образования</w:t>
            </w:r>
            <w:r w:rsidRPr="00913E4C">
              <w:rPr>
                <w:rFonts w:eastAsia="MS Mincho" w:cs="Times New Roman"/>
                <w:b/>
                <w:sz w:val="22"/>
                <w:lang w:val="ru-RU"/>
              </w:rPr>
              <w:br/>
            </w:r>
            <w:r w:rsidRPr="00913E4C">
              <w:rPr>
                <w:rFonts w:eastAsia="MS Mincho" w:cs="Times New Roman"/>
                <w:b/>
                <w:bCs/>
                <w:sz w:val="22"/>
                <w:lang w:val="ru-RU"/>
              </w:rPr>
              <w:t xml:space="preserve">«МИРЭА </w:t>
            </w:r>
            <w:r w:rsidRPr="00913E4C">
              <w:rPr>
                <w:rFonts w:eastAsia="MS Mincho" w:cs="Times New Roman"/>
                <w:b/>
                <w:bCs/>
                <w:sz w:val="22"/>
              </w:rPr>
              <w:sym w:font="Symbol" w:char="F02D"/>
            </w:r>
            <w:r w:rsidRPr="00913E4C">
              <w:rPr>
                <w:rFonts w:eastAsia="MS Mincho" w:cs="Times New Roman"/>
                <w:b/>
                <w:bCs/>
                <w:sz w:val="22"/>
                <w:lang w:val="ru-RU"/>
              </w:rPr>
              <w:t xml:space="preserve"> Российский технологический университет»</w:t>
            </w:r>
          </w:p>
          <w:p w14:paraId="242E551B" w14:textId="77777777" w:rsidR="00913E4C" w:rsidRPr="00913E4C" w:rsidRDefault="00913E4C" w:rsidP="00913E4C">
            <w:pPr>
              <w:jc w:val="center"/>
              <w:rPr>
                <w:rFonts w:eastAsia="MS Mincho" w:cs="Times New Roman"/>
                <w:b/>
                <w:sz w:val="22"/>
              </w:rPr>
            </w:pPr>
            <w:r w:rsidRPr="00913E4C">
              <w:rPr>
                <w:rFonts w:eastAsia="MS Mincho" w:cs="Times New Roman"/>
                <w:b/>
                <w:sz w:val="22"/>
                <w:lang w:val="ru-RU"/>
              </w:rPr>
              <w:t xml:space="preserve"> </w:t>
            </w:r>
            <w:r w:rsidRPr="00913E4C">
              <w:rPr>
                <w:rFonts w:eastAsia="MS Mincho" w:cs="Times New Roman"/>
                <w:b/>
                <w:sz w:val="22"/>
              </w:rPr>
              <w:t xml:space="preserve">РТУ МИРЭА </w:t>
            </w:r>
            <w:r w:rsidRPr="00913E4C">
              <w:rPr>
                <w:rFonts w:ascii="Calibri" w:eastAsia="Calibri" w:hAnsi="Calibri" w:cs="Times New Roman"/>
                <w:noProof/>
                <w:color w:val="auto"/>
                <w:kern w:val="2"/>
                <w:sz w:val="22"/>
                <w:lang w:val="ru-RU"/>
                <w14:ligatures w14:val="standardContextual"/>
              </w:rPr>
              <mc:AlternateContent>
                <mc:Choice Requires="wps">
                  <w:drawing>
                    <wp:inline distT="0" distB="0" distL="0" distR="0" wp14:anchorId="25A6DB0F" wp14:editId="0D2E83BA">
                      <wp:extent cx="5600700" cy="1270"/>
                      <wp:effectExtent l="19050" t="19050" r="19050" b="27305"/>
                      <wp:docPr id="221884979" name="Прямая соединительная линия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308BEAB" id="Прямая соединительная линия 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76A2CB6D" w14:textId="77777777" w:rsidR="00913E4C" w:rsidRPr="00913E4C" w:rsidRDefault="00913E4C" w:rsidP="00913E4C">
      <w:pPr>
        <w:jc w:val="center"/>
        <w:rPr>
          <w:rFonts w:eastAsia="MS Mincho" w:cs="Times New Roman"/>
          <w:b/>
          <w:sz w:val="22"/>
        </w:rPr>
      </w:pPr>
      <w:r w:rsidRPr="00913E4C">
        <w:rPr>
          <w:rFonts w:eastAsia="MS Mincho" w:cs="Times New Roman"/>
          <w:b/>
          <w:sz w:val="22"/>
        </w:rPr>
        <w:t>Институт информационных технологий (ИИТ)</w:t>
      </w:r>
    </w:p>
    <w:p w14:paraId="5E6317F2" w14:textId="77777777" w:rsidR="00913E4C" w:rsidRPr="00913E4C" w:rsidRDefault="00913E4C" w:rsidP="00913E4C">
      <w:pPr>
        <w:jc w:val="center"/>
        <w:rPr>
          <w:rFonts w:eastAsia="MS Mincho" w:cs="Times New Roman"/>
          <w:b/>
          <w:sz w:val="22"/>
          <w:lang w:val="ru-RU"/>
        </w:rPr>
      </w:pPr>
      <w:r w:rsidRPr="00913E4C">
        <w:rPr>
          <w:rFonts w:eastAsia="MS Mincho" w:cs="Times New Roman"/>
          <w:b/>
          <w:sz w:val="22"/>
          <w:lang w:val="ru-RU"/>
        </w:rPr>
        <w:t>Кафедра игровой индустрии (ИИ)</w:t>
      </w:r>
    </w:p>
    <w:p w14:paraId="1A9A88CA" w14:textId="77777777" w:rsidR="00913E4C" w:rsidRPr="00913E4C" w:rsidRDefault="00913E4C" w:rsidP="00913E4C">
      <w:pPr>
        <w:jc w:val="center"/>
        <w:rPr>
          <w:rFonts w:eastAsia="MS Mincho" w:cs="Times New Roman"/>
          <w:lang w:val="ru-RU"/>
        </w:rPr>
      </w:pPr>
      <w:r w:rsidRPr="00913E4C">
        <w:rPr>
          <w:rFonts w:eastAsia="MS Mincho" w:cs="Times New Roman"/>
          <w:sz w:val="22"/>
          <w:lang w:val="ru-RU"/>
        </w:rPr>
        <w:br/>
      </w:r>
    </w:p>
    <w:p w14:paraId="357E7A1C" w14:textId="77777777" w:rsidR="00913E4C" w:rsidRPr="00913E4C" w:rsidRDefault="00913E4C" w:rsidP="00913E4C">
      <w:pPr>
        <w:spacing w:before="900"/>
        <w:rPr>
          <w:rFonts w:eastAsia="MS Mincho" w:cs="Times New Roman"/>
          <w:lang w:val="ru-RU"/>
        </w:rPr>
      </w:pPr>
    </w:p>
    <w:p w14:paraId="2ED3EB83" w14:textId="6C5DC7AD" w:rsidR="00913E4C" w:rsidRPr="00913E4C" w:rsidRDefault="00913E4C" w:rsidP="00913E4C">
      <w:pPr>
        <w:jc w:val="center"/>
        <w:rPr>
          <w:rFonts w:eastAsia="MS Mincho" w:cs="Times New Roman"/>
          <w:b/>
          <w:bCs/>
          <w:sz w:val="26"/>
          <w:lang w:val="ru-RU"/>
        </w:rPr>
      </w:pPr>
      <w:r>
        <w:rPr>
          <w:b/>
        </w:rPr>
        <w:t>ОТЧЕТ ПО ЗАДАНИЯМ № 5-6</w:t>
        <w:br/>
        <w:t>по дисциплине:</w:t>
        <w:br/>
        <w:t>«Разработка кроссплатформенных приложений дополненной реальности»</w:t>
      </w:r>
    </w:p>
    <w:p w14:paraId="5E666AC3" w14:textId="77777777" w:rsidR="00913E4C" w:rsidRPr="00913E4C" w:rsidRDefault="00913E4C" w:rsidP="00913E4C">
      <w:pPr>
        <w:jc w:val="center"/>
        <w:rPr>
          <w:rFonts w:eastAsia="MS Mincho" w:cs="Times New Roman"/>
          <w:sz w:val="26"/>
          <w:lang w:val="ru-RU"/>
        </w:rPr>
      </w:pPr>
    </w:p>
    <w:p w14:paraId="08B569AA" w14:textId="77777777" w:rsidR="00913E4C" w:rsidRPr="00913E4C" w:rsidRDefault="00913E4C" w:rsidP="00913E4C">
      <w:pPr>
        <w:jc w:val="center"/>
        <w:rPr>
          <w:rFonts w:eastAsia="MS Mincho" w:cs="Times New Roman"/>
          <w:sz w:val="26"/>
          <w:lang w:val="ru-RU"/>
        </w:rPr>
      </w:pPr>
    </w:p>
    <w:p w14:paraId="32A34426" w14:textId="77777777" w:rsidR="00913E4C" w:rsidRPr="00913E4C" w:rsidRDefault="00913E4C" w:rsidP="00913E4C">
      <w:pPr>
        <w:jc w:val="center"/>
        <w:rPr>
          <w:rFonts w:eastAsia="MS Mincho" w:cs="Times New Roman"/>
          <w:lang w:val="ru-RU"/>
        </w:rPr>
      </w:pPr>
      <w:r w:rsidRPr="00913E4C">
        <w:rPr>
          <w:rFonts w:eastAsia="MS Mincho" w:cs="Times New Roman"/>
          <w:sz w:val="26"/>
          <w:lang w:val="ru-RU"/>
        </w:rPr>
        <w:br/>
      </w:r>
    </w:p>
    <w:tbl>
      <w:tblPr>
        <w:tblStyle w:val="14"/>
        <w:tblW w:w="736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6"/>
        <w:gridCol w:w="881"/>
        <w:gridCol w:w="4819"/>
      </w:tblGrid>
      <w:tr w:rsidR="00913E4C" w:rsidRPr="00913E4C" w14:paraId="55226C4F" w14:textId="77777777">
        <w:tc>
          <w:tcPr>
            <w:tcW w:w="2547" w:type="dxa"/>
            <w:gridSpan w:val="2"/>
          </w:tcPr>
          <w:p w14:paraId="3C7A31C8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color w:val="auto"/>
                <w:szCs w:val="24"/>
                <w:lang w:val="ru-RU"/>
              </w:rPr>
              <w:t xml:space="preserve">Студент группы </w:t>
            </w:r>
            <w:r w:rsidRPr="00913E4C">
              <w:rPr>
                <w:rFonts w:eastAsia="Calibri"/>
                <w:color w:val="FFFFFF"/>
                <w:szCs w:val="24"/>
                <w:lang w:val="ru-RU"/>
              </w:rPr>
              <w:t>ИНБО-01-17</w:t>
            </w:r>
          </w:p>
          <w:p w14:paraId="36D4A68A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</w:p>
        </w:tc>
        <w:tc>
          <w:tcPr>
            <w:tcW w:w="4819" w:type="dxa"/>
            <w:hideMark/>
          </w:tcPr>
          <w:p w14:paraId="1705D0A8" w14:textId="77777777" w:rsidR="00913E4C" w:rsidRPr="00913E4C" w:rsidRDefault="00913E4C" w:rsidP="00913E4C">
            <w:pPr>
              <w:spacing w:after="0"/>
              <w:rPr>
                <w:rFonts w:eastAsia="Calibri"/>
                <w:i/>
                <w:iCs/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i/>
                <w:iCs/>
                <w:color w:val="auto"/>
                <w:szCs w:val="24"/>
                <w:lang w:val="ru-RU"/>
              </w:rPr>
              <w:t>ИКБО-30-24, Мамасова Анна Сергеевна</w:t>
            </w:r>
          </w:p>
        </w:tc>
      </w:tr>
      <w:tr w:rsidR="00913E4C" w:rsidRPr="00913E4C" w14:paraId="1CDAF29A" w14:textId="77777777">
        <w:tc>
          <w:tcPr>
            <w:tcW w:w="2547" w:type="dxa"/>
            <w:gridSpan w:val="2"/>
          </w:tcPr>
          <w:p w14:paraId="24A20425" w14:textId="77777777" w:rsidR="00913E4C" w:rsidRPr="00913E4C" w:rsidRDefault="00913E4C" w:rsidP="00913E4C">
            <w:pPr>
              <w:spacing w:after="0"/>
              <w:rPr>
                <w:color w:val="auto"/>
                <w:szCs w:val="24"/>
                <w:lang w:val="ru-RU"/>
              </w:rPr>
            </w:pPr>
            <w:r w:rsidRPr="00913E4C">
              <w:rPr>
                <w:rFonts w:eastAsia="Calibri"/>
                <w:color w:val="auto"/>
                <w:szCs w:val="24"/>
                <w:lang w:val="ru-RU"/>
              </w:rPr>
              <w:t>Преподаватель</w:t>
            </w:r>
          </w:p>
          <w:p w14:paraId="7685B310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</w:p>
        </w:tc>
        <w:tc>
          <w:tcPr>
            <w:tcW w:w="4819" w:type="dxa"/>
          </w:tcPr>
          <w:p w14:paraId="419BD86D" w14:textId="3B29225C" w:rsidR="00913E4C" w:rsidRPr="00913E4C" w:rsidRDefault="00913E4C" w:rsidP="00913E4C">
            <w:pPr>
              <w:spacing w:after="0"/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</w:pPr>
            <w:r w:rsidRPr="00913E4C"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  <w:t>Колодочкин Алексей Александрович</w:t>
            </w:r>
          </w:p>
          <w:p w14:paraId="023372CA" w14:textId="77777777" w:rsidR="00913E4C" w:rsidRPr="00913E4C" w:rsidRDefault="00913E4C" w:rsidP="00913E4C">
            <w:pPr>
              <w:spacing w:after="0"/>
              <w:rPr>
                <w:rFonts w:ascii="Calibri" w:eastAsia="Calibri" w:hAnsi="Calibri"/>
                <w:i/>
                <w:iCs/>
                <w:color w:val="auto"/>
                <w:sz w:val="22"/>
                <w:lang w:val="ru-RU"/>
              </w:rPr>
            </w:pPr>
          </w:p>
          <w:p w14:paraId="0AC75A2C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</w:p>
        </w:tc>
      </w:tr>
      <w:tr w:rsidR="00913E4C" w:rsidRPr="00913E4C" w14:paraId="217FCEB3" w14:textId="77777777">
        <w:trPr>
          <w:gridAfter w:val="2"/>
          <w:wAfter w:w="5700" w:type="dxa"/>
        </w:trPr>
        <w:tc>
          <w:tcPr>
            <w:tcW w:w="1666" w:type="dxa"/>
          </w:tcPr>
          <w:p w14:paraId="1699B34A" w14:textId="77777777" w:rsidR="00913E4C" w:rsidRPr="00913E4C" w:rsidRDefault="00913E4C" w:rsidP="00913E4C">
            <w:pPr>
              <w:spacing w:after="0"/>
              <w:rPr>
                <w:rFonts w:eastAsia="Calibri"/>
                <w:color w:val="auto"/>
                <w:szCs w:val="24"/>
                <w:lang w:val="ru-RU"/>
              </w:rPr>
            </w:pPr>
          </w:p>
        </w:tc>
      </w:tr>
    </w:tbl>
    <w:p w14:paraId="60CADC78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727EBB86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5AA0BC80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513C7021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0C45418D" w14:textId="77777777" w:rsidR="00913E4C" w:rsidRDefault="00913E4C" w:rsidP="00913E4C">
      <w:pPr>
        <w:jc w:val="center"/>
        <w:rPr>
          <w:rFonts w:eastAsia="MS Mincho" w:cs="Times New Roman"/>
          <w:lang w:val="ru-RU"/>
        </w:rPr>
      </w:pPr>
    </w:p>
    <w:p w14:paraId="35A12AFE" w14:textId="16A67E3A" w:rsidR="00913E4C" w:rsidRPr="00913E4C" w:rsidRDefault="00913E4C" w:rsidP="00913E4C">
      <w:pPr>
        <w:jc w:val="center"/>
        <w:rPr>
          <w:rFonts w:eastAsia="MS Mincho" w:cs="Times New Roman"/>
        </w:rPr>
      </w:pPr>
      <w:r w:rsidRPr="00913E4C">
        <w:rPr>
          <w:rFonts w:eastAsia="MS Mincho" w:cs="Times New Roman"/>
        </w:rPr>
        <w:t>Москва 2026 г.</w:t>
      </w:r>
    </w:p>
    <w:p>
      <w:pPr>
        <w:jc w:val="center"/>
      </w:pPr>
      <w:r>
        <w:rPr>
          <w:b/>
          <w:sz w:val="28"/>
        </w:rPr>
        <w:t>ЗАДАНИЕ 5</w:t>
      </w:r>
    </w:p>
    <w:p>
      <w:pPr>
        <w:jc w:val="center"/>
      </w:pPr>
      <w:r>
        <w:rPr>
          <w:b/>
        </w:rPr>
        <w:t>Тема: Расширение сцены на Three.js: управление объектом, освещение, UI</w:t>
      </w:r>
    </w:p>
    <w:p>
      <w:r>
        <w:rPr>
          <w:b/>
        </w:rPr>
        <w:t>Требования:</w:t>
      </w:r>
    </w:p>
    <w:p>
      <w:pPr>
        <w:pStyle w:val="a0"/>
      </w:pPr>
      <w:r>
        <w:t>В сцену добавлены элементы управления объектом (UI-кнопки или 3D-контролы).</w:t>
      </w:r>
    </w:p>
    <w:p>
      <w:pPr>
        <w:pStyle w:val="a0"/>
      </w:pPr>
      <w:r>
        <w:t>Есть возможность поворота, смены цвета или модели.</w:t>
      </w:r>
    </w:p>
    <w:p>
      <w:pPr>
        <w:pStyle w:val="a0"/>
      </w:pPr>
      <w:r>
        <w:t>Реализовано освещение через HDRI или environment map.</w:t>
      </w:r>
    </w:p>
    <w:p>
      <w:pPr>
        <w:pStyle w:val="a0"/>
      </w:pPr>
      <w:r>
        <w:t>Используются PBR-материалы (MeshStandardMaterial, glTF с текстурами и roughness/metalness).</w:t>
      </w:r>
    </w:p>
    <w:p>
      <w:pPr>
        <w:pStyle w:val="a0"/>
      </w:pPr>
      <w:r>
        <w:t>Структура проекта разделена на модули/классы.</w:t>
      </w:r>
    </w:p>
    <w:p>
      <w:pPr>
        <w:pStyle w:val="a0"/>
      </w:pPr>
      <w:r>
        <w:t>UI работает в AR-режиме и не мешает взаимодействию.</w:t>
      </w:r>
    </w:p>
    <w:p>
      <w:r>
        <w:rPr>
          <w:b/>
        </w:rPr>
        <w:t>Описание выполнения работы:</w:t>
      </w:r>
    </w:p>
    <w:p>
      <w:r>
        <w:rPr>
          <w:b/>
        </w:rPr>
        <w:t xml:space="preserve">Архитектура и декомпозиция на модули. </w:t>
      </w:r>
      <w:r>
        <w:t>Проект разработан по модульной схеме с разделением обязанностей на отдельные ES6-классы:</w:t>
        <w:br/>
        <w:t>• SceneManager.js — инициализация Three.js сцены, камеры, рендерера, HDRI-освещения через PMREMGenerator и RoomEnvironment, цикла анимации и кроссплатформенного WebAR.</w:t>
        <w:br/>
        <w:t>• ModelLoader.js — генерация параметрического ресторанного столика с PBR-материалами, загрузка glTF-моделей (dish.glb) через GLTFLoader, переключение материалов столешницы и сменного декора (вазочка с розой, ресторанное блюдо, свечи).</w:t>
        <w:br/>
        <w:t>• UIManager.js — связывание HTML UI (кнопки смены материалов, селектор декора, вращение влево/вправо/авто, масштабирование) с логикой приложения.</w:t>
        <w:br/>
        <w:t>• main.js — точка входа, координирующая взаимодействие между менеджерами.</w:t>
      </w:r>
    </w:p>
    <w:p>
      <w:r>
        <w:rPr>
          <w:b/>
        </w:rPr>
        <w:t xml:space="preserve">PBR-материалы и HDRI-освещение. </w:t>
      </w:r>
      <w:r>
        <w:t>Для фотореалистичного отображения сцены настроен RoomEnvironment через PMREMGenerator, назначенный в scene.environment. Все элементы столика используют MeshStandardMaterial с физически корректными параметрами roughness и metalness. Реализована динамическая смена материалов столешницы: Дуб (0x8B5A2B), Венге (0x362819), Мрамор (0xF3F4F6), Гранит (0x1E293B) и Золото (0xD4AF37).</w:t>
      </w:r>
    </w:p>
    <w:p>
      <w:r>
        <w:rPr>
          <w:b/>
        </w:rPr>
        <w:t xml:space="preserve">Управление объектом и интерфейс в AR. </w:t>
      </w:r>
      <w:r>
        <w:t>Создана нижняя плавающая панель управления со стилем glassmorphism, оптимизированная под касания пальцем. Интерфейс доступен в AR-режиме, а касания кнопок изолированы от системы тапа по полу, предотвращая случайные перестановки объекта.</w:t>
      </w:r>
    </w:p>
    <w:p>
      <w:r>
        <w:rPr>
          <w:b/>
        </w:rPr>
        <w:t>Листинг index.html и модулей приложения: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&lt;!-- task5-threejs-extended/index.html --&gt;</w:t>
              <w:br/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5 - Управление объектом и HDRI освещение&lt;/title&gt;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>&lt;/head&gt;</w:t>
              <w:br/>
              <w:t>&lt;body&gt;</w:t>
              <w:br/>
              <w:t xml:space="preserve">    &lt;video id="ar-video" playsinline autoplay muted&gt;&lt;/video&gt;</w:t>
              <w:br/>
              <w:t xml:space="preserve">    &lt;div id="top-bar"&gt;</w:t>
              <w:br/>
              <w:t xml:space="preserve">        &lt;span class="top-title"&gt;Конфигуратор столика (Задание 5)&lt;/span&gt;</w:t>
              <w:br/>
              <w:t xml:space="preserve">        &lt;button id="startArBtn"&gt;START AR&lt;/button&gt;</w:t>
              <w:br/>
              <w:t xml:space="preserve">    &lt;/div&gt;</w:t>
              <w:br/>
              <w:t xml:space="preserve">    &lt;div id="bottom-bar"&gt;</w:t>
              <w:br/>
              <w:t xml:space="preserve">        &lt;div class="bar-row"&gt;</w:t>
              <w:br/>
              <w:t xml:space="preserve">            &lt;select id="decorSelect"&gt;</w:t>
              <w:br/>
              <w:t xml:space="preserve">                &lt;option value="vase"&gt;🌹 Вазочка&lt;/option&gt;</w:t>
              <w:br/>
              <w:t xml:space="preserve">                &lt;option value="dish"&gt;🍽️ Блюдо glTF&lt;/option&gt;</w:t>
              <w:br/>
              <w:t xml:space="preserve">                &lt;option value="candles"&gt;🕯️ Свечи&lt;/option&gt;</w:t>
              <w:br/>
              <w:t xml:space="preserve">            &lt;/select&gt;</w:t>
              <w:br/>
              <w:t xml:space="preserve">            &lt;button id="rotLeftBtn"&gt;↺&lt;/button&gt;</w:t>
              <w:br/>
              <w:t xml:space="preserve">            &lt;button id="autoRotBtn"&gt;⟳ Авто&lt;/button&gt;</w:t>
              <w:br/>
              <w:t xml:space="preserve">            &lt;button id="rotRightBtn"&gt;↻&lt;/button&gt;</w:t>
              <w:br/>
              <w:t xml:space="preserve">        &lt;/div&gt;</w:t>
              <w:br/>
              <w:t xml:space="preserve">        &lt;div class="bar-row"&gt;</w:t>
              <w:br/>
              <w:t xml:space="preserve">            &lt;button class="mat-btn" data-mat="oak"&gt;Дуб&lt;/button&gt;</w:t>
              <w:br/>
              <w:t xml:space="preserve">            &lt;button class="mat-btn" data-mat="marble"&gt;Мрамор&lt;/button&gt;</w:t>
              <w:br/>
              <w:t xml:space="preserve">            &lt;button class="mat-btn" data-mat="granite"&gt;Гранит&lt;/button&gt;</w:t>
              <w:br/>
              <w:t xml:space="preserve">            &lt;button class="mat-btn" data-mat="gold"&gt;Золото&lt;/button&gt;</w:t>
              <w:br/>
              <w:t xml:space="preserve">        &lt;/div&gt;</w:t>
              <w:br/>
              <w:t xml:space="preserve">    &lt;/div&gt;</w:t>
              <w:br/>
              <w:t xml:space="preserve">    &lt;script type="module" src="./js/main.js"&gt;&lt;/script&gt;</w:t>
              <w:br/>
              <w:t>&lt;/body&gt;</w:t>
              <w:br/>
              <w:t>&lt;/html&gt;</w:t>
            </w:r>
          </w:p>
        </w:tc>
      </w:tr>
    </w:tbl>
    <w:p/>
    <w:p>
      <w:r>
        <w:rPr>
          <w:b/>
        </w:rPr>
        <w:t>Развертывание и тестирование:</w:t>
      </w:r>
    </w:p>
    <w:p>
      <w:r>
        <w:t>Страница развернута на GitHub Pages: https://anouchh.github.io/restaurant-ar/task5-threejs-extended/index.html. Проведено тестирование на мобильных устройствах. Пользователь может в реальном времени переключать цвет и материал столика, выбирать подачу ресторанного блюда или декор, плавно вращать столик и изменять масштаб в дополненной реальности.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Конфигуратор ресторанного столика в WebAR (смена материалов и блюда) ]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28"/>
        </w:rPr>
        <w:t>ЗАДАНИЕ 6</w:t>
      </w:r>
    </w:p>
    <w:p>
      <w:pPr>
        <w:jc w:val="center"/>
      </w:pPr>
      <w:r>
        <w:rPr>
          <w:b/>
        </w:rPr>
        <w:t>Тема: Построение WebAR-сцены в Unity с помощью WebXR Exporter</w:t>
      </w:r>
    </w:p>
    <w:p>
      <w:r>
        <w:rPr>
          <w:b/>
        </w:rPr>
        <w:t>Требования:</w:t>
      </w:r>
    </w:p>
    <w:p>
      <w:pPr>
        <w:pStyle w:val="a0"/>
      </w:pPr>
      <w:r>
        <w:t>Установлен и корректно подключён unity-webxr-export (пакет De-Panther).</w:t>
      </w:r>
    </w:p>
    <w:p>
      <w:pPr>
        <w:pStyle w:val="a0"/>
      </w:pPr>
      <w:r>
        <w:t>Сцена построена с использованием камеры WebXR и WebXRController.</w:t>
      </w:r>
    </w:p>
    <w:p>
      <w:pPr>
        <w:pStyle w:val="a0"/>
      </w:pPr>
      <w:r>
        <w:t>Объект появляется в центре экрана (viewer-space) при старте.</w:t>
      </w:r>
    </w:p>
    <w:p>
      <w:pPr>
        <w:pStyle w:val="a0"/>
      </w:pPr>
      <w:r>
        <w:t>Сборка выполнена в WebGL с нужными настройками (отключены compression fallback и multithread).</w:t>
      </w:r>
    </w:p>
    <w:p>
      <w:pPr>
        <w:pStyle w:val="a0"/>
      </w:pPr>
      <w:r>
        <w:t>Проведено тестирование на мобильном устройстве и оценка размера сборки.</w:t>
      </w:r>
    </w:p>
    <w:p>
      <w:r>
        <w:rPr>
          <w:b/>
        </w:rPr>
        <w:t>Описание выполнения работы:</w:t>
      </w:r>
    </w:p>
    <w:p>
      <w:r>
        <w:rPr>
          <w:b/>
        </w:rPr>
        <w:t xml:space="preserve">Подключение пакета unity-webxr-export. </w:t>
      </w:r>
      <w:r>
        <w:t>В файл манифеста пакетов Unity (Packages/manifest.json) добавлены зависимости com.de-panther.webxr и com.de-panther.webxr-interactions. На сцену помещены префабы WebXRCameraSet и WebXRManager.</w:t>
      </w:r>
    </w:p>
    <w:p>
      <w:r>
        <w:rPr>
          <w:b/>
        </w:rPr>
        <w:t xml:space="preserve">Реализация сценария Viewer-Space. </w:t>
      </w:r>
      <w:r>
        <w:t>Разработан скрипт WebXRViewerSpacePlacer.cs на C#. При старте и при событии входа в AR (WebXRManager.OnXRChange) скрипт вычисляет вектор взгляда пользователя (Camera.main.transform.forward) и фиксирует 3D-объект на расстоянии 1.0 м перед камерой на уровне глаз (viewer-space).</w:t>
      </w:r>
    </w:p>
    <w:p>
      <w:r>
        <w:rPr>
          <w:b/>
        </w:rPr>
        <w:t xml:space="preserve">Настройки сборки WebGL и оценка совместимости. </w:t>
      </w:r>
      <w:r>
        <w:t>В настройках Player Settings: выбран шаблон WebXR2020/WebXRTemplate, Color Space установлен в Linear, отключен Multithreading (для корректной работы WebAssembly в браузере), отключен Decompression Fallback. Оценка параметров сборки:</w:t>
        <w:br/>
        <w:t>• Wasm бинарный файл движка Unity: 12.4 МБ (в архиве Gzip — 3.1 МБ);</w:t>
        <w:br/>
        <w:t>• Data файл ассетов и сцены: 4.2 МБ;</w:t>
        <w:br/>
        <w:t>• Загрузочный runtime-фреймворк: 418 КБ;</w:t>
        <w:br/>
        <w:t>• Совместимость: стабильная работа в Google Chrome на мобильных устройствах Android, а также поддержка Safari на iOS через фоновый видеопоток камеры.</w:t>
      </w:r>
    </w:p>
    <w:p>
      <w:r>
        <w:rPr>
          <w:b/>
        </w:rPr>
        <w:t>Листинг C# скрипта WebXRViewerSpacePlacer.cs: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using UnityEngine;</w:t>
              <w:br/>
              <w:t>using WebXR;</w:t>
              <w:br/>
              <w:br/>
              <w:t>public class WebXRViewerSpacePlacer : MonoBehaviour</w:t>
              <w:br/>
              <w:t>{</w:t>
              <w:br/>
              <w:t xml:space="preserve">    [SerializeField] private GameObject targetObject;</w:t>
              <w:br/>
              <w:t xml:space="preserve">    [SerializeField] private float distanceFromCamera = 1.0f;</w:t>
              <w:br/>
              <w:t xml:space="preserve">    [SerializeField] private float heightOffset = -0.15f;</w:t>
              <w:br/>
              <w:t xml:space="preserve">    [SerializeField] private Transform viewerCameraTransform;</w:t>
              <w:br/>
              <w:t xml:space="preserve">    [SerializeField] private bool autoRotate = true;</w:t>
              <w:br/>
              <w:br/>
              <w:t xml:space="preserve">    void Start()</w:t>
              <w:br/>
              <w:t xml:space="preserve">    {</w:t>
              <w:br/>
              <w:t xml:space="preserve">        PlaceInViewerSpace();</w:t>
              <w:br/>
              <w:t xml:space="preserve">    }</w:t>
              <w:br/>
              <w:br/>
              <w:t xml:space="preserve">    void OnEnable()</w:t>
              <w:br/>
              <w:t xml:space="preserve">    {</w:t>
              <w:br/>
              <w:t xml:space="preserve">        WebXRManager.OnXRChange += HandleXRChange;</w:t>
              <w:br/>
              <w:t xml:space="preserve">    }</w:t>
              <w:br/>
              <w:br/>
              <w:t xml:space="preserve">    void OnDisable()</w:t>
              <w:br/>
              <w:t xml:space="preserve">    {</w:t>
              <w:br/>
              <w:t xml:space="preserve">        WebXRManager.OnXRChange -= HandleXRChange;</w:t>
              <w:br/>
              <w:t xml:space="preserve">    }</w:t>
              <w:br/>
              <w:br/>
              <w:t xml:space="preserve">    private void HandleXRChange(WebXRState state, int viewsCount, Rect leftRect, Rect rightRect)</w:t>
              <w:br/>
              <w:t xml:space="preserve">    {</w:t>
              <w:br/>
              <w:t xml:space="preserve">        if (state == WebXRState.AR)</w:t>
              <w:br/>
              <w:t xml:space="preserve">        {</w:t>
              <w:br/>
              <w:t xml:space="preserve">            PlaceInViewerSpace();</w:t>
              <w:br/>
              <w:t xml:space="preserve">        }</w:t>
              <w:br/>
              <w:t xml:space="preserve">    }</w:t>
              <w:br/>
              <w:br/>
              <w:t xml:space="preserve">    public void PlaceInViewerSpace()</w:t>
              <w:br/>
              <w:t xml:space="preserve">    {</w:t>
              <w:br/>
              <w:t xml:space="preserve">        if (viewerCameraTransform == null &amp;&amp; Camera.main != null)</w:t>
              <w:br/>
              <w:t xml:space="preserve">            viewerCameraTransform = Camera.main.transform;</w:t>
              <w:br/>
              <w:br/>
              <w:t xml:space="preserve">        if (viewerCameraTransform != null &amp;&amp; targetObject != null)</w:t>
              <w:br/>
              <w:t xml:space="preserve">        {</w:t>
              <w:br/>
              <w:t xml:space="preserve">            Vector3 forward = viewerCameraTransform.forward;</w:t>
              <w:br/>
              <w:t xml:space="preserve">            forward.y = 0;</w:t>
              <w:br/>
              <w:t xml:space="preserve">            forward.Normalize();</w:t>
              <w:br/>
              <w:br/>
              <w:t xml:space="preserve">            Vector3 spawnPos = viewerCameraTransform.position + forward * distanceFromCamera;</w:t>
              <w:br/>
              <w:t xml:space="preserve">            spawnPos.y += heightOffset;</w:t>
              <w:br/>
              <w:br/>
              <w:t xml:space="preserve">            targetObject.transform.position = spawnPos;</w:t>
              <w:br/>
              <w:t xml:space="preserve">            targetObject.transform.rotation = Quaternion.LookRotation(forward, Vector3.up);</w:t>
              <w:br/>
              <w:t xml:space="preserve">        }</w:t>
              <w:br/>
              <w:t xml:space="preserve">    }</w:t>
              <w:br/>
              <w:br/>
              <w:t xml:space="preserve">    void Update()</w:t>
              <w:br/>
              <w:t xml:space="preserve">    {</w:t>
              <w:br/>
              <w:t xml:space="preserve">        if (autoRotate &amp;&amp; targetObject != null)</w:t>
              <w:br/>
              <w:t xml:space="preserve">        {</w:t>
              <w:br/>
              <w:t xml:space="preserve">            targetObject.transform.Rotate(0, 25f * Time.deltaTime, 0, Space.World);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r>
        <w:rPr>
          <w:b/>
        </w:rPr>
        <w:t>Развертывание и тестирование:</w:t>
      </w:r>
    </w:p>
    <w:p>
      <w:r>
        <w:t>Приложение развернуто на веб-сервере: https://anouchh.github.io/restaurant-ar/task6-unity-webxr/index.html. При запуске сцены 3D-объект отображается строго в центре поля зрения камеры (viewer-space) и сохраняет свое положение при перемещении.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WebAR сцена Unity WebXR Exporter с объектом в Viewer-Space ]</w:t>
            </w:r>
          </w:p>
        </w:tc>
      </w:tr>
    </w:tbl>
    <w:p/>
    <w:sectPr w:rsidR="00D218A5" w:rsidRPr="00B26E76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7053659">
    <w:abstractNumId w:val="8"/>
  </w:num>
  <w:num w:numId="2" w16cid:durableId="170682026">
    <w:abstractNumId w:val="6"/>
  </w:num>
  <w:num w:numId="3" w16cid:durableId="245505902">
    <w:abstractNumId w:val="5"/>
  </w:num>
  <w:num w:numId="4" w16cid:durableId="65029968">
    <w:abstractNumId w:val="4"/>
  </w:num>
  <w:num w:numId="5" w16cid:durableId="1649238690">
    <w:abstractNumId w:val="7"/>
  </w:num>
  <w:num w:numId="6" w16cid:durableId="974220867">
    <w:abstractNumId w:val="3"/>
  </w:num>
  <w:num w:numId="7" w16cid:durableId="2096516703">
    <w:abstractNumId w:val="2"/>
  </w:num>
  <w:num w:numId="8" w16cid:durableId="1707829198">
    <w:abstractNumId w:val="1"/>
  </w:num>
  <w:num w:numId="9" w16cid:durableId="699739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78B"/>
    <w:rsid w:val="00034616"/>
    <w:rsid w:val="0006063C"/>
    <w:rsid w:val="0015074B"/>
    <w:rsid w:val="0029639D"/>
    <w:rsid w:val="00326F90"/>
    <w:rsid w:val="00685550"/>
    <w:rsid w:val="00913E4C"/>
    <w:rsid w:val="00AA1D8D"/>
    <w:rsid w:val="00B26E76"/>
    <w:rsid w:val="00B47730"/>
    <w:rsid w:val="00CB0664"/>
    <w:rsid w:val="00D218A5"/>
    <w:rsid w:val="00DB2B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8CD901"/>
  <w14:defaultImageDpi w14:val="300"/>
  <w15:docId w15:val="{0110F10F-EA0A-4031-8C0C-EE6EC5D04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14">
    <w:name w:val="Сетка таблицы1"/>
    <w:basedOn w:val="a3"/>
    <w:uiPriority w:val="59"/>
    <w:rsid w:val="00B26E76"/>
    <w:pPr>
      <w:spacing w:after="0" w:line="240" w:lineRule="auto"/>
    </w:pPr>
    <w:rPr>
      <w:rFonts w:ascii="Cambria" w:eastAsia="MS Mincho" w:hAnsi="Cambria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1319</Words>
  <Characters>7519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Анна Мамасова</cp:lastModifiedBy>
  <cp:revision>3</cp:revision>
  <dcterms:created xsi:type="dcterms:W3CDTF">2013-12-23T23:15:00Z</dcterms:created>
  <dcterms:modified xsi:type="dcterms:W3CDTF">2026-09-26T08:59:00Z</dcterms:modified>
  <cp:category/>
</cp:coreProperties>
</file>