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highlightCs w:val="yellow"/>
        </w:rPr>
        <w:t xml:space="preserve">Luis Anunciacao, PhD</w:t>
      </w:r>
    </w:p>
    <w:p>
      <w:pPr>
        <w:spacing w:after="240"/>
        <w:jc w:val="center"/>
      </w:pPr>
      <w:r>
        <w:rPr>
          <w:rFonts w:ascii="Times New Roman" w:cs="Times New Roman" w:eastAsia="Times New Roman" w:hAnsi="Times New Roman"/>
          <w:sz w:val="24"/>
          <w:szCs w:val="24"/>
        </w:rPr>
        <w:t xml:space="preserve">2026-10-15 - 20:47</w:t>
      </w:r>
    </w:p>
    <w:p>
      <w:pPr>
        <w:spacing w:before="480" w:line="480"/>
        <w:jc w:val="center"/>
      </w:pPr>
      <w:r>
        <w:rPr>
          <w:rFonts w:ascii="Times New Roman" w:cs="Times New Roman" w:eastAsia="Times New Roman" w:hAnsi="Times New Roman"/>
          <w:b/>
          <w:bCs/>
          <w:sz w:val="24"/>
          <w:szCs w:val="24"/>
        </w:rPr>
        <w:t xml:space="preserve">Stability and Change in Psychosocial Risk Indicators Across Monitoring Waves in Two Brazilian Companies: A Repeated Cross Sectional Study</w:t>
      </w:r>
    </w:p>
    <w:p>
      <w:pPr>
        <w:spacing w:after="480" w:line="480"/>
        <w:jc w:val="center"/>
      </w:pPr>
      <w:r>
        <w:rPr>
          <w:rFonts w:ascii="Times New Roman" w:cs="Times New Roman" w:eastAsia="Times New Roman" w:hAnsi="Times New Roman"/>
          <w:sz w:val="24"/>
          <w:szCs w:val="24"/>
        </w:rPr>
        <w:t xml:space="preserve">[Authors and affiliations]</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identify and manage psychosocial risks, which implies assessing them repeatedly over time. This study describes the stability and change of psychosocial risk indicators across anonymous monitoring waves in two Brazilian companies. Leaders answered an inventory on the demands and resources of the leadership role at three waves between December 2025 and August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Employees answered an inventory of psychosocial work factors and mental health symptoms at two waves between December 2025 and April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Analyses were restricted to items worded identically across waves: 8 leader items and 38 employee items. Change across waves was estimated for each item with proportional odds models adjusted for company. No leader item changed across the three waves. Among employees, 36 of 38 items were stable. Freedom to organize one’s activities (odds ratio = 0.52) and encouragement to use creativity and knowledge (odds ratio = 0.54) decreased between waves. Two of 46 tests reached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close to the number expected by chance. Psychosocial risk indicators were largely stable over four to eight months. The repeated cross sectional design, the small leader samples and the unvalidated items limit inference.</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and their prevention depends on how work is organized and managed (Schulte et al., 2024; World Health Organization, 2022). In 2024, Brazil amended Regulatory Standard No. 1 (NR-1) to require employers to identify, evaluate and record psychosocial risk factors in the risk inventory of their occupational risk management program (Ministério do Trabalho e Emprego, 2024). The regulation does not specify how these factors should be assessed (Ministério do Trabalho e Emprego, 2024).</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and mental health symptoms are one possible consequence of exposure to them (International Organization for Standardization, 2021; Teixeira et al., 2025). In the Job Demands-Resources model, strain develops when job demands are high and job resources such as autonomy and supervisory support are insufficient (Bakker &amp; Demerouti, 2007; Demerouti et al., 2001). Low work autonomy has been associated with poorer mental health (Lu et al., 2023), and poor quality of leadership has predicted later mental distress (Burr et al., 2025; Fløvik et al., 2020).</w:t>
      </w:r>
    </w:p>
    <w:p>
      <w:pPr>
        <w:spacing w:after="0" w:line="480"/>
        <w:ind w:firstLine="720"/>
      </w:pPr>
      <w:r>
        <w:rPr>
          <w:rFonts w:ascii="Times New Roman" w:cs="Times New Roman" w:eastAsia="Times New Roman" w:hAnsi="Times New Roman"/>
          <w:sz w:val="24"/>
          <w:szCs w:val="24"/>
        </w:rPr>
        <w:t xml:space="preserve">Guidance on psychosocial risk management describes assessment as part of a continuing cycle of identification, action and review (International Organization for Standardization, 2021). Monitoring therefore requires that the same indicators be measured at successive points in time. Anonymous workforce surveys protect employees, but their responses cannot be linked over time, so successive waves describe the workforce rather than individuals ([Authors], under review). A recent review identified 66 mental health and well being assessments with utility for employers (Imboden et al., 2024). To our knowledge, few studies describe how psychosocial risk indicators evolve across monitoring waves in Brazilian companies.</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or change between assessments. The goal of this study is to describe the evolution of psychosocial risk indicators across repeated anonymous monitoring waves among leaders, assessed at three waves, and employees, assessed at two waves, in two Brazilian companies. The analysis is exploratory, and no directional hypotheses were specified.</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w:t>
      </w:r>
    </w:p>
    <w:p>
      <w:pPr>
        <w:spacing w:after="0" w:line="480"/>
        <w:ind w:firstLine="720"/>
      </w:pPr>
      <w:r>
        <w:rPr>
          <w:rFonts w:ascii="Times New Roman" w:cs="Times New Roman" w:eastAsia="Times New Roman" w:hAnsi="Times New Roman"/>
          <w:sz w:val="24"/>
          <w:szCs w:val="24"/>
        </w:rPr>
        <w:t xml:space="preserve">This is a repeated cross sectional study based on secondary analysis of anonymous data from psychosocial risk monitoring conducted during the evaluation of a workplace emotion management program (Academia de Gestão da Emoção para Empresas, AGEM). The program was delivered between waves. The study does not estimate program effects. Reporting follows the STROBE guidelines for cross sectional studies (von Elm et al., 2007).</w:t>
      </w:r>
    </w:p>
    <w:p>
      <w:pPr>
        <w:keepNext/>
        <w:spacing w:line="480"/>
      </w:pPr>
      <w:r>
        <w:rPr>
          <w:rFonts w:ascii="Times New Roman" w:cs="Times New Roman" w:eastAsia="Times New Roman" w:hAnsi="Times New Roman"/>
          <w:b/>
          <w:bCs/>
          <w:sz w:val="24"/>
          <w:szCs w:val="24"/>
        </w:rPr>
        <w:t xml:space="preserve">Setting and Participants</w:t>
      </w:r>
    </w:p>
    <w:p>
      <w:pPr>
        <w:spacing w:after="0" w:line="480"/>
        <w:ind w:firstLine="720"/>
      </w:pPr>
      <w:r>
        <w:rPr>
          <w:rFonts w:ascii="Times New Roman" w:cs="Times New Roman" w:eastAsia="Times New Roman" w:hAnsi="Times New Roman"/>
          <w:sz w:val="24"/>
          <w:szCs w:val="24"/>
        </w:rPr>
        <w:t xml:space="preserve">Participants were leaders and employees of two Brazilian companies. Company A is a business technology company that sells consortium plans and related financial products, and Company B is an energy trading company ([Authors], under review). [Describe each company: workforce size, work organization, role of leaders, organizational values.] Because the research question concerns the evolution of risk in the workforce rather than differences between companies, the two companies were analyzed together, with company included as a covariate.</w:t>
      </w:r>
    </w:p>
    <w:p>
      <w:pPr>
        <w:spacing w:after="0" w:line="480"/>
        <w:ind w:firstLine="720"/>
      </w:pPr>
      <w:r>
        <w:rPr>
          <w:rFonts w:ascii="Times New Roman" w:cs="Times New Roman" w:eastAsia="Times New Roman" w:hAnsi="Times New Roman"/>
          <w:sz w:val="24"/>
          <w:szCs w:val="24"/>
        </w:rPr>
        <w:t xml:space="preserve">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Company A contributed 15, 16 and 15 leaders and Company B 6, 6 and 3.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86 employees at each wave and Company B 25 and 19. The share of employees with less than one year in their company was 61.8% at T1 and 69.0% at T2.</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Twenty items covered the demands and resources of the leadership role, including decision responsibility, clarity of authority, working hours, pressure for results, conflict management, team dependence and competence, autonomy, support from senior management, emotional exposure and preparedness for situations involving team members’ mental health. Items were rated from 1 (strongly disagree) to 5 (strongly agree). An example item is “I often need to intervene in conflicts that wear down my work routine.” For the eight stable items, with positively worded items reversed,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.62 at T1, .78 at T2 and .32 at T3. Because the items cover different demands and resources, they were analyzed individually and no total score was computed.</w:t>
      </w:r>
    </w:p>
    <w:p>
      <w:pPr>
        <w:spacing w:after="0" w:line="480"/>
        <w:ind w:firstLine="720"/>
      </w:pP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The employee inventory included 16 psychosocial work factor items covering autonomy, relationships, organizational climate and leadership support, a checklist of mental health symptoms and additional items, all rated from 1 (never) to 5 (always) ([Authors], under review). An example item is “Are you free to organize your activities?” Tenure in the company was recorded in six categories at both waves. Among the stable items,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at T1 and .90 at T2 for the 23 symptom and emotional regulation items, with positively worded items reversed, and .88 and .91 for the 14 work factor items. Both item sets were written to cover the hazard categories named in NR-1, and their validity has not been examined ([Authors], under review).</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leader items met this criterion. Leader items 2, 4, 5, 6, 11, 13, 15 to 18 and 20 were reworded or negated at T2, item 10 was not asked at T2, and items present at a single wave were excluded. Thirty eight employee items met the criterion: 23 on emotional regulation and mental health symptoms, 14 on psychosocial work factors and 1 on satisfaction with oneself. Employee items 9, 39, 41, 48 and 49 were reworded at T2, and items present at a single wave were excluded. Items whose higher agreement or frequency indicates higher risk were flagged as risk items. Items were administered in Portuguese and are reported here in English translation.</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A meeting with employees presented the purpose and stages of the assessment and stated that participation was voluntary and anonymous. Participants then answered an online survey. No names, email addresses, job titles or work units were recorded, and results were returned to each company only in aggregate ([Authors], under review). [Confirm that the same procedure was used at T2 and T3.] The study was registered on Plataforma Brasil and approved by the Research Ethics Committee of the Instituto Nacional de Educação de Surdos (CAAE 96841525.4.0000.8137; approval number 8.651.901). Procedures followed the ethical guidelines for research in the Human and Social Sciences (Conselho Nacional de Saúde, 2016). [Consent statement.]</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For leaders,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were estimated from the same model. Tests were two sided and were not adjusted for multiplicity because the analysis is exploratory. For presentation, responses were grouped into three categories (1 to 2, 3 and 4 to 5). Internal consistency was estimated with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Analyses were conducted in R 4.3.3 with the packages ordinal 2023.12.4, emmeans 1.10.0, psych 2.4.1 and tidyverse 2.0.0.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Figure 1 shows the percentage of leaders agreeing with each item.</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of Leaders to the Stable Items by Wave</w:t>
      </w:r>
    </w:p>
    <w:tbl>
      <w:tblPr>
        <w:tblW w:type="dxa" w:w="1385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400"/>
        <w:gridCol w:w="1250"/>
        <w:gridCol w:w="1250"/>
        <w:gridCol w:w="1250"/>
        <w:gridCol w:w="700"/>
        <w:gridCol w:w="1900"/>
        <w:gridCol w:w="1900"/>
        <w:gridCol w:w="900"/>
      </w:tblGrid>
      <w:tr>
        <w:trPr>
          <w:tblHeader/>
        </w:trPr>
        <w:tc>
          <w:tcPr>
            <w:tcW w:type="dxa" w:w="33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14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1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I often need to intervene in conflicts that wear down my work routine. †</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.192</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0.67 [0.23, 2.01]</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2.01 [0.64, 6.30]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My work requires constant decisions that affect the safety, well being or performance of other people (e.g., reallocating people, giving difficult feedback, setting priorities). †</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.250</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0.40 [0.13, 1.27]</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0.86 [0.28, 2.68]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9. I am satisfied with my team's overall performance.</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.290</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1.39 [0.46, 4.22]</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2.61 [0.77, 8.88]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I feel that the burden of responsibility for decisions is high. †</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.521</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1.45 [0.51, 4.19]</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1.94 [0.61, 6.16]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My responsibilities and limits of authority are clear (e.g., I know how far I can decide alone and when I need to escalate).</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.587</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1.59 [0.50, 5.04]</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1.76 [0.54, 5.75]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12. The team's lack of technical or behavioral preparation increases my stress level. †</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.677</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0.66 [0.21, 2.05]</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0.62 [0.20, 1.98]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8. I feel that my team depends excessively on me to solve simple problems (e.g., recurring questions that could be solved without direct supervision). †</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7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.812</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1.43 [0.48, 4.26]</w:t>
            </w:r>
          </w:p>
        </w:tc>
        <w:tc>
          <w:tcPr>
            <w:tcW w:type="dxa" w:w="1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1.27 [0.38, 4.30]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33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14. I receive feedback and support from senior management when needed.</w:t>
            </w:r>
          </w:p>
        </w:tc>
        <w:tc>
          <w:tcPr>
            <w:tcW w:type="dxa" w:w="14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disagree</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7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.822</w:t>
            </w:r>
          </w:p>
        </w:tc>
        <w:tc>
          <w:tcPr>
            <w:tcW w:type="dxa" w:w="1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1.19 [0.38, 3.72]</w:t>
            </w:r>
          </w:p>
        </w:tc>
        <w:tc>
          <w:tcPr>
            <w:tcW w:type="dxa" w:w="1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1.45 [0.45, 4.70]</w:t>
            </w:r>
          </w:p>
        </w:tc>
        <w:tc>
          <w:tcPr>
            <w:tcW w:type="dxa" w:w="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neutral</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14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Companies A and B combined. Responses were grouped for display as disagree (1 to 2), neutral (3) and agree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likelihood ratio tests of wave in a proportional odds model of the original five point agreement responses with company as a covariate, without adjustment for multiplicity.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is the odds of a higher response at the wave relative to T1 (values below 1 indicate lower agreement). Post hoc contrasts were estimated only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Items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p>
    <w:p>
      <w:pPr>
        <w:spacing w:after="120" w:before="0"/>
      </w:pPr>
      <w:r>
        <w:rPr>
          <w:rFonts w:ascii="Times New Roman" w:cs="Times New Roman" w:eastAsia="Times New Roman" w:hAnsi="Times New Roman"/>
          <w:sz w:val="24"/>
          <w:szCs w:val="24"/>
        </w:rPr>
        <w:t xml:space="preserve">† Risk item: higher agreement indicates higher risk.</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Leaders Agreeing With Each Stable Item by Wave</w:t>
      </w:r>
    </w:p>
    <w:p>
      <w:pPr>
        <w:spacing w:after="120" w:before="120"/>
        <w:jc w:val="center"/>
      </w:pPr>
      <w:r>
        <w:drawing>
          <wp:inline distT="0" distB="0" distL="0" distR="0">
            <wp:extent cx="82867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86750" cy="4143375"/>
                    </a:xfrm>
                    <a:prstGeom prst="rect">
                      <a:avLst/>
                    </a:prstGeom>
                  </pic:spPr>
                </pic:pic>
              </a:graphicData>
            </a:graphic>
          </wp:inline>
        </w:drawing>
      </w:r>
    </w:p>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Agreement combines partly agree and strongly agree. Companies A and B combined.</w:t>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Two of the 38 employee items changed between waves (Table 2).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Figure 2 shows the percentage answering often or always to each item.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ectPr>
          <w:headerReference w:type="default" r:id="rId9"/>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2</w:t>
      </w:r>
    </w:p>
    <w:p>
      <w:pPr>
        <w:keepNext/>
        <w:spacing w:after="120"/>
      </w:pPr>
      <w:r>
        <w:rPr>
          <w:rFonts w:ascii="Times New Roman" w:cs="Times New Roman" w:eastAsia="Times New Roman" w:hAnsi="Times New Roman"/>
          <w:i/>
          <w:iCs/>
          <w:sz w:val="24"/>
          <w:szCs w:val="24"/>
        </w:rPr>
        <w:t xml:space="preserve">Responses of Employees to the Stable Items by Wave</w:t>
      </w:r>
    </w:p>
    <w:tbl>
      <w:tblPr>
        <w:tblW w:type="dxa" w:w="13900"/>
        <w:tblBorders>
          <w:top w:val="single" w:color="000000" w:sz="4"/>
          <w:left w:val="none" w:color="FFFFFF" w:sz="0"/>
          <w:bottom w:val="single" w:color="000000" w:sz="4"/>
          <w:right w:val="none" w:color="FFFFFF" w:sz="0"/>
          <w:insideH w:val="none" w:color="FFFFFF" w:sz="0"/>
          <w:insideV w:val="none" w:color="FFFFFF" w:sz="0"/>
        </w:tblBorders>
      </w:tblPr>
      <w:tblGrid>
        <w:gridCol w:w="4900"/>
        <w:gridCol w:w="2100"/>
        <w:gridCol w:w="1450"/>
        <w:gridCol w:w="1450"/>
        <w:gridCol w:w="750"/>
        <w:gridCol w:w="2000"/>
        <w:gridCol w:w="1250"/>
      </w:tblGrid>
      <w:tr>
        <w:trPr>
          <w:tblHeader/>
        </w:trPr>
        <w:tc>
          <w:tcPr>
            <w:tcW w:type="dxa" w:w="4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21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4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w:t>
            </w:r>
          </w:p>
        </w:tc>
        <w:tc>
          <w:tcPr>
            <w:tcW w:type="dxa" w:w="14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w:t>
            </w:r>
          </w:p>
        </w:tc>
        <w:tc>
          <w:tcPr>
            <w:tcW w:type="dxa" w:w="7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0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34. Are you free to organize your activities? (e.g., choosing the order of tasks)</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.012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0.52 [0.31, 0.87]</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T1 &gt; T2</w:t>
            </w: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35. Are you encouraged to use your creativity and knowledge? (e.g., suggesting improvements or new ideas)</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.017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0.54 [0.33, 0.90]</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T1 &gt; T2</w:t>
            </w: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31. Are you satisfied with yourself and your choices? (e.g., believing you are on the right path)</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0.62 [0.37, 1.03]</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Do you demand too much of yourself? (e.g., feeling that you have never done enough)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0.63 [0.39, 1.04]</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Do you cope well with frustrations and unexpected events? (e.g., staying calm even when you miss a deadline)</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1.53 [0.92, 2.55]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45. Do you receive feedback to improve your performance? (e.g., clear and useful guidance)</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0.66 [0.40, 1.09]</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37. Do you feel you belong to the team and the company? (e.g., feeling part of the group)</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0.65 [0.39, 1.09]</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21. Have you been forgetful or had memory lapses? (e.g., forgetting appointments or names)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0.69 [0.43, 1.12]</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Do you keep your self control in situations of stress or conflict? (e.g., not losing your temper in arguments)</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0.68 [0.41, 1.13]</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32. Are you satisfied with your current role? (e.g., feeling that your role suits you)</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0.69 [0.42, 1.13]</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33. Does the company trust your ability to make decisions? (e.g., solving problems without asking permission for everything)</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0.69 [0.42, 1.14]</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17. Do you have difficulty sleeping?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50</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0.71 [0.44, 1.15]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Can you be assertive without raising your voice or being aggressive? (e.g., saying what you need to say without shouting)</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0.69 [0.41, 1.16]</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47. Does your leader show concern for your well being? (e.g., asking how you are and offering support)</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0.72 [0.44, 1.19]</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44. Do you feel comfortable talking to your leader? (e.g., expressing expectations and conflicts without fear)</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0.73 [0.44, 1.21]</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25. Do you have a lack or excess of appetite? (e.g., raiding the fridge at night or skipping meals)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.256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0.76 [0.47, 1.22]</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15. Do you have headaches or muscle pain?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38</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0.78 [0.48, 1.25]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10. Do you consider yourself shy or insecure?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57</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1.29 [0.80, 2.08]</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6. Do you suffer in anticipation? (e.g., worrying about something that has not happened yet)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0.78 [0.48, 1.26]</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22. Do you have stomach aches or bowel problems?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67</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1.25 [0.78, 2.03]</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30. Do you feel like giving up on living? (e.g., thoughts about death or not going on)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87</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0.80 [0.46, 1.38]</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26. Do you often feel anxiety or distress? (e.g., tightness in the chest for no clear reason)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37</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.467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0.84 [0.52, 1.35]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23. Do you have feelings of inferiority? (e.g., believing you are not good enough)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.501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1.18 [0.73, 1.90]</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36. Do employees respect and care about one another? (e.g., absence of humiliation or toxic competition)</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.536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0.85 [0.52, 1.41]</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24. Do you notice decreased libido? (e.g., loss of sexual interest)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59</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52</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.565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1.15 [0.71, 1.86]</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46. Do you receive adequate training? (e.g., learning what is needed to do your job)</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.699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1.10 [0.67, 1.82]</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42. Is everyone treated well regardless of personal differences? (e.g., absence of prejudice based on age, gender or ethnicity)</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.716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1.11 [0.64, 1.89]</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Do you perceive yourself as sad or in a depressed mood? (e.g., lack of pleasure in daily activities)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57</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53</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.774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0.93 [0.57, 1.51]</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38. Is there a sense of teamwork? (e.g., collaboration among professionals)</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.788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1.07 [0.64, 1.79]</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Do you dwell on past situations? (e.g., often recalling old hurts)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.831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0.95 [0.59, 1.53]</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27. Do you have hair loss with no apparent cause?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59</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.834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0.95 [0.59, 1.54]</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40. Do employees have the same opportunities? (e.g., promotions without favoritism)</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.838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0.95 [0.58, 1.55]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65</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28. Do you have disturbing thoughts? (e.g., imagining negative scenarios or distressing thoughts)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55</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54</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.856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0.96 [0.59, 1.55]</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18. Do you feel unmotivated or discouraged? (e.g., no desire to start simple tasks)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43</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37</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.872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1.04 [0.64, 1.70]</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29. Have you been crying more lately? (e.g., crying over small things)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66</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72</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.893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0.97 [0.59, 1.57]</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16. Do you often feel tired? (e.g., waking up without energy even after sleeping)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.904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0.97 [0.60, 1.57]</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58</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20. Do you often have difficulty concentrating? (e.g., starting tasks and not finishing them) †</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48</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45</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.915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1.03 [0.63, 1.68]</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43. Do you have access to adequate equipment and materials to do your tasks?</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never or rarely</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7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.934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1.03 [0.55, 1.92]</w:t>
            </w:r>
          </w:p>
        </w:tc>
        <w:tc>
          <w:tcPr>
            <w:tcW w:type="dxa" w:w="125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sometimes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100</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57. How long have you been working at this company?</w:t>
            </w:r>
          </w:p>
        </w:tc>
        <w:tc>
          <w:tcPr>
            <w:tcW w:type="dxa" w:w="21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up to 6 months</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47</w:t>
            </w:r>
          </w:p>
        </w:tc>
        <w:tc>
          <w:tcPr>
            <w:tcW w:type="dxa" w:w="14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w:t>
            </w:r>
          </w:p>
        </w:tc>
        <w:tc>
          <w:tcPr>
            <w:tcW w:type="dxa" w:w="75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w:t>
            </w:r>
          </w:p>
        </w:tc>
        <w:tc>
          <w:tcPr>
            <w:tcW w:type="dxa" w:w="20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w:t>
            </w:r>
          </w:p>
        </w:tc>
        <w:tc>
          <w:tcPr>
            <w:tcW w:type="dxa" w:w="125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6 months to 1 year</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1 to 2 years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2 to 4 years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 4 to 6 years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1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(6) more than 6 years</w:t>
            </w:r>
          </w:p>
        </w:tc>
        <w:tc>
          <w:tcPr>
            <w:tcW w:type="dxa" w:w="14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4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Companies A and B combined. Responses were grouped for display as never or rarely (1 to 2), sometimes (3) and often or always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likelihood ratio tests of wave in a proportional odds model of the original five point frequency responses with company as a covariate, without adjustment for multiplicity.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is the odds of a higher response at the wave relative to T1 (values below 1 indicate lower frequency). Post hoc gives the direction of change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 57 (tenure) is descriptive. Items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p>
    <w:p>
      <w:pPr>
        <w:spacing w:after="120" w:before="0"/>
      </w:pPr>
      <w:r>
        <w:rPr>
          <w:rFonts w:ascii="Times New Roman" w:cs="Times New Roman" w:eastAsia="Times New Roman" w:hAnsi="Times New Roman"/>
          <w:sz w:val="24"/>
          <w:szCs w:val="24"/>
        </w:rPr>
        <w:t xml:space="preserve">† Risk item: higher frequency indicates higher risk.</w:t>
      </w:r>
    </w:p>
    <w:p>
      <w:pPr>
        <w:sectPr>
          <w:headerReference w:type="default" r:id="rId10"/>
          <w:pgSz w:w="16838" w:h="11906" w:orient="landscape"/>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Figure 2</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w:t>
      </w:r>
    </w:p>
    <w:p>
      <w:pPr>
        <w:spacing w:after="120" w:before="120"/>
        <w:jc w:val="center"/>
      </w:pPr>
      <w:r>
        <w:drawing>
          <wp:inline distT="0" distB="0" distL="0" distR="0">
            <wp:extent cx="53340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6667500"/>
                    </a:xfrm>
                    <a:prstGeom prst="rect">
                      <a:avLst/>
                    </a:prstGeom>
                  </pic:spPr>
                </pic:pic>
              </a:graphicData>
            </a:graphic>
          </wp:inline>
        </w:drawing>
      </w:r>
    </w:p>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Companies A and B combined. Items are grouped into symptoms and emotional regulation (items 1 to 30), satisfaction with oneself (item 31) and psychosocial work factors (items 32 to 47).</w:t>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study described the evolution of these indicators across anonymous monitoring waves among leaders and employees of two Brazilian companies. Most indicators were stable. No leader item changed over three waves, and 36 of 38 employee items did not change between two waves. The two changes concerned job resources: freedom to organize one’s activities and encouragement to use creativity and knowledge decreased among employees.</w:t>
      </w:r>
    </w:p>
    <w:p>
      <w:pPr>
        <w:spacing w:after="0" w:line="480"/>
        <w:ind w:firstLine="720"/>
      </w:pPr>
      <w:r>
        <w:rPr>
          <w:rFonts w:ascii="Times New Roman" w:cs="Times New Roman" w:eastAsia="Times New Roman" w:hAnsi="Times New Roman"/>
          <w:sz w:val="24"/>
          <w:szCs w:val="24"/>
        </w:rPr>
        <w:t xml:space="preserve">The predominance of stability is consistent with the view of psychosocial risk factors as conditions of work design, organization and management (International Organization for Standardization, 2021; Teixeira et al., 2025), which may change slowly over a few months. [Cite studies reporting the stability of psychosocial work factor measures over repeated assessments.]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so the overall pattern is better described as stability than as change.</w:t>
      </w:r>
    </w:p>
    <w:p>
      <w:pPr>
        <w:spacing w:after="0" w:line="480"/>
        <w:ind w:firstLine="720"/>
      </w:pPr>
      <w:r>
        <w:rPr>
          <w:rFonts w:ascii="Times New Roman" w:cs="Times New Roman" w:eastAsia="Times New Roman" w:hAnsi="Times New Roman"/>
          <w:sz w:val="24"/>
          <w:szCs w:val="24"/>
        </w:rPr>
        <w:t xml:space="preserve">Both items that changed describe autonomy, a job resource in the Job Demands-Resources model (Bakker &amp; Demerouti, 2007; Demerouti et al., 2001). Low work autonomy has been associated with poorer mental health (Lu et al., 2023). In the present data, the decrease in autonomy items was not accompanied by changes in the symptom items. This pattern may indicate that a reduction in resources had not yet been reflected in symptoms, that the change was too small to affect them or that the two results are chance findings. [Cite longitudinal evidence on the time lag between changes in job resources and mental health.]</w:t>
      </w:r>
    </w:p>
    <w:p>
      <w:pPr>
        <w:spacing w:after="0" w:line="480"/>
        <w:ind w:firstLine="720"/>
      </w:pPr>
      <w:r>
        <w:rPr>
          <w:rFonts w:ascii="Times New Roman" w:cs="Times New Roman" w:eastAsia="Times New Roman" w:hAnsi="Times New Roman"/>
          <w:sz w:val="24"/>
          <w:szCs w:val="24"/>
        </w:rPr>
        <w:t xml:space="preserve">The absence of change among leaders should be read in light of the sample sizes. With about 20 leaders per wave, the confidence intervals of the odds ratios were wide, and only large shifts could be detected. The internal consistency of the leader items was also low and unstable across waves, which supports their analysis as separate indicators. Leadership quality has predicted later mental distress among employees (Burr et al., 2025; Fløvik et al., 2020), so monitoring the demands placed on leaders remains relevant even when small samples limit statistical inference.</w:t>
      </w:r>
    </w:p>
    <w:p>
      <w:pPr>
        <w:spacing w:after="0" w:line="480"/>
        <w:ind w:firstLine="720"/>
      </w:pPr>
      <w:r>
        <w:rPr>
          <w:rFonts w:ascii="Times New Roman" w:cs="Times New Roman" w:eastAsia="Times New Roman" w:hAnsi="Times New Roman"/>
          <w:sz w:val="24"/>
          <w:szCs w:val="24"/>
        </w:rPr>
        <w:t xml:space="preserve">The item selection step removed 12 of the 20 leader items and 5 of the 43 employee items asked at both waves, because their wording changed between waves. This loss illustrates a practical requirement for monitoring under NR-1: item wording should be fixed before the first wave and kept unchanged, so that later waves can be compared with the first.</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The design was repeated cross sectional. Responses could not be linked across waves, so changes in the composition of the respondents cannot be separated from changes within individuals. Adjusting for company addresses differences between companies but not turnover within them; the share of employees with less than one year in their company rose from 61.8% to 69.0%. The leader samples were small, with 18 to 22 respondents per wave. The proportional odds assumption was not tested. The items have not been validated ([Authors], under review). The program delivered between waves and the absence of a comparison group prevent any causal interpretation of change or stability. All data were self reported, which exposes the comparisons to common method bias (Podsakoff et al., 2003).</w:t>
      </w:r>
    </w:p>
    <w:p>
      <w:pPr>
        <w:keepNext/>
        <w:spacing w:line="480"/>
      </w:pPr>
      <w:r>
        <w:rPr>
          <w:rFonts w:ascii="Times New Roman" w:cs="Times New Roman" w:eastAsia="Times New Roman" w:hAnsi="Times New Roman"/>
          <w:b/>
          <w:bCs/>
          <w:sz w:val="24"/>
          <w:szCs w:val="24"/>
        </w:rPr>
        <w:t xml:space="preserve">Future Directions</w:t>
      </w:r>
    </w:p>
    <w:p>
      <w:pPr>
        <w:spacing w:after="0" w:line="480"/>
        <w:ind w:firstLine="720"/>
      </w:pPr>
      <w:r>
        <w:rPr>
          <w:rFonts w:ascii="Times New Roman" w:cs="Times New Roman" w:eastAsia="Times New Roman" w:hAnsi="Times New Roman"/>
          <w:sz w:val="24"/>
          <w:szCs w:val="24"/>
        </w:rPr>
        <w:t xml:space="preserve">Future monitoring should fix item wording across waves, use anonymous linking codes that allow responses to be matched over time, and include more waves to describe trajectories rather than pairwise differences. Validated scale scores would allow change to be estimated on constructs rather than single items.</w:t>
      </w:r>
    </w:p>
    <w:p>
      <w:pPr>
        <w:keepNext/>
        <w:spacing w:line="480"/>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Across four to eight months, psychosocial risk indicators among leaders and employees of two Brazilian companies were largely stable. The only changes were decreases in two job resource items among employees.</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[Authors]. (under review). </w:t>
      </w:r>
      <w:r>
        <w:rPr>
          <w:rFonts w:ascii="Times New Roman" w:cs="Times New Roman" w:eastAsia="Times New Roman" w:hAnsi="Times New Roman"/>
          <w:i/>
          <w:iCs/>
          <w:sz w:val="24"/>
          <w:szCs w:val="24"/>
        </w:rPr>
        <w:t xml:space="preserve">Psychosocial work factors and mental health symptoms under NR-1: A feasibility study.</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Imboden, M. T., Wolfe, E., Evers, K., Ferrão, A., Mochari-Greenberger, H., Johnson, S., Kirsten, W., &amp; Seaverson, E. L. D. (2024). Evaluating workforce mental health and well-being: A review of assessments. </w:t>
      </w:r>
      <w:r>
        <w:rPr>
          <w:rFonts w:ascii="Times New Roman" w:cs="Times New Roman" w:eastAsia="Times New Roman" w:hAnsi="Times New Roman"/>
          <w:i/>
          <w:iCs/>
          <w:sz w:val="24"/>
          <w:szCs w:val="24"/>
        </w:rPr>
        <w:t xml:space="preserve">American Journal of Health Promotion, 38</w:t>
      </w:r>
      <w:r>
        <w:rPr>
          <w:rFonts w:ascii="Times New Roman" w:cs="Times New Roman" w:eastAsia="Times New Roman" w:hAnsi="Times New Roman"/>
          <w:sz w:val="24"/>
          <w:szCs w:val="24"/>
        </w:rPr>
        <w:t xml:space="preserve">(4), 540–559. https://doi.org/10.1177/08901171231223786</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Lu, Z., Wang, S., Li, Y., Liu, X., &amp; Olsen, W. (2023). Who gains mental health benefits from work autonomy? The roles of gender and occupational class. </w:t>
      </w:r>
      <w:r>
        <w:rPr>
          <w:rFonts w:ascii="Times New Roman" w:cs="Times New Roman" w:eastAsia="Times New Roman" w:hAnsi="Times New Roman"/>
          <w:i/>
          <w:iCs/>
          <w:sz w:val="24"/>
          <w:szCs w:val="24"/>
        </w:rPr>
        <w:t xml:space="preserve">Applied Research in Quality of Life</w:t>
      </w:r>
      <w:r>
        <w:rPr>
          <w:rFonts w:ascii="Times New Roman" w:cs="Times New Roman" w:eastAsia="Times New Roman" w:hAnsi="Times New Roman"/>
          <w:sz w:val="24"/>
          <w:szCs w:val="24"/>
        </w:rPr>
        <w:t xml:space="preserve">, 1–23. https://doi.org/10.1007/s11482-023-10161-4</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sectPr>
      <w:head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image" Target="media/cf86d261f2b4bb6ef5751a3eae46b990c3fe9ba6.png"/><Relationship Id="rId13" Type="http://schemas.openxmlformats.org/officeDocument/2006/relationships/image" Target="media/de0ab34f112e690757a6a1beb7dc4ceda67b9fd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2026-10-15T23:47:32.254Z</dcterms:created>
  <dcterms:modified xsi:type="dcterms:W3CDTF">2026-10-15T23:47:32.254Z</dcterms:modified>
</cp:coreProperties>
</file>

<file path=docProps/custom.xml><?xml version="1.0" encoding="utf-8"?>
<Properties xmlns="http://schemas.openxmlformats.org/officeDocument/2006/custom-properties" xmlns:vt="http://schemas.openxmlformats.org/officeDocument/2006/docPropsVTypes"/>
</file>