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color w:val="00B050"/>
          <w:sz w:val="24"/>
          <w:szCs w:val="24"/>
          <w:highlight w:val="yellow"/>
        </w:rPr>
        <w:t xml:space="preserve">Luis Anunciacao, PhD</w:t>
      </w:r>
    </w:p>
    <w:p>
      <w:pPr>
        <w:spacing w:after="240"/>
        <w:jc w:val="center"/>
      </w:pPr>
      <w:r>
        <w:rPr>
          <w:rFonts w:ascii="Times New Roman" w:cs="Times New Roman" w:eastAsia="Times New Roman" w:hAnsi="Times New Roman"/>
          <w:sz w:val="24"/>
          <w:szCs w:val="24"/>
        </w:rPr>
        <w:t xml:space="preserve">2026-10-17 - 11:07</w:t>
      </w:r>
    </w:p>
    <w:p>
      <w:pPr>
        <w:spacing w:before="480" w:line="480"/>
        <w:jc w:val="center"/>
      </w:pPr>
      <w:r>
        <w:rPr>
          <w:rFonts w:ascii="Times New Roman" w:cs="Times New Roman" w:eastAsia="Times New Roman" w:hAnsi="Times New Roman"/>
          <w:b/>
          <w:bCs/>
          <w:sz w:val="24"/>
          <w:szCs w:val="24"/>
        </w:rPr>
        <w:t xml:space="preserve">Stability of Psychosocial Risk Indicators Across Anonymous Monitoring Waves in Two Brazilian Companies: A Brief Report</w:t>
      </w:r>
    </w:p>
    <w:p>
      <w:pPr>
        <w:spacing w:line="480"/>
        <w:jc w:val="center"/>
      </w:pPr>
      <w:r>
        <w:rPr>
          <w:rFonts w:ascii="Times New Roman" w:cs="Times New Roman" w:eastAsia="Times New Roman" w:hAnsi="Times New Roman"/>
          <w:sz w:val="24"/>
          <w:szCs w:val="24"/>
        </w:rPr>
        <w:t xml:space="preserve">Adriana Tomaz Lima, Diego Haas, Stella Torreão, Hanni Schiffer, and Luis Anunciação</w:t>
      </w:r>
    </w:p>
    <w:p>
      <w:pPr>
        <w:spacing w:after="480" w:line="480"/>
        <w:jc w:val="center"/>
      </w:pPr>
      <w:r>
        <w:rPr>
          <w:rFonts w:ascii="Times New Roman" w:cs="Times New Roman" w:eastAsia="Times New Roman" w:hAnsi="Times New Roman"/>
          <w:sz w:val="24"/>
          <w:szCs w:val="24"/>
        </w:rPr>
        <w:t xml:space="preserve">Pontifícia Universidade Católica do Rio de Janeiro (PUC-Rio), Rio de Janeiro, Brazil</w:t>
      </w:r>
    </w:p>
    <w:p>
      <w:pPr>
        <w:keepNext/>
        <w:spacing w:before="240" w:line="480"/>
        <w:jc w:val="center"/>
      </w:pPr>
      <w:r>
        <w:rPr>
          <w:rFonts w:ascii="Times New Roman" w:cs="Times New Roman" w:eastAsia="Times New Roman" w:hAnsi="Times New Roman"/>
          <w:b/>
          <w:bCs/>
          <w:sz w:val="24"/>
          <w:szCs w:val="24"/>
        </w:rPr>
        <w:t xml:space="preserve">Abstract</w:t>
      </w:r>
    </w:p>
    <w:p>
      <w:pPr>
        <w:spacing w:after="0" w:line="480"/>
      </w:pPr>
      <w:r>
        <w:rPr>
          <w:rFonts w:ascii="Times New Roman" w:cs="Times New Roman" w:eastAsia="Times New Roman" w:hAnsi="Times New Roman"/>
          <w:sz w:val="24"/>
          <w:szCs w:val="24"/>
        </w:rPr>
        <w:t xml:space="preserve">Brazil’s amended Regulatory Standard No. 1 (NR-1) requires employers to manage psychosocial risks, which implies repeated assessment. This brief report describes the stability of psychosocial risk indicators across anonymous monitoring waves in two Brazilian companies. Leaders answered 8 items at three waves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21, 22 and 18), and employees answered 38 items at two waves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111 and 105), between December 2025 and August 2026. Only items worded identically across waves were analyzed, and change was estimated with proportional odds models adjusted for company. Given the short interval, stability was expected. No leader item changed. Two of 38 employee items decreased: freedom to organize one’s activities (odds ratio = 0.52) and encouragement to use creativity and knowledge (odds ratio = 0.54). Across 46 tests, this is close to the number expected by chance. Changes between survey forms removed 12 of 20 leader items and 5 of 43 employee items. These preliminary findings indicate that monitoring under NR-1 requires fixed item wording, linkable anonymous responses and larger samples of leaders.</w:t>
      </w:r>
    </w:p>
    <w:p>
      <w:pPr>
        <w:spacing w:after="0" w:line="480"/>
      </w:pPr>
      <w:r>
        <w:rPr>
          <w:rFonts w:ascii="Times New Roman" w:cs="Times New Roman" w:eastAsia="Times New Roman" w:hAnsi="Times New Roman"/>
          <w:i/>
          <w:iCs/>
          <w:sz w:val="24"/>
          <w:szCs w:val="24"/>
        </w:rPr>
        <w:t xml:space="preserve">Keywords:</w:t>
      </w:r>
      <w:r>
        <w:rPr>
          <w:rFonts w:ascii="Times New Roman" w:cs="Times New Roman" w:eastAsia="Times New Roman" w:hAnsi="Times New Roman"/>
          <w:sz w:val="24"/>
          <w:szCs w:val="24"/>
        </w:rPr>
        <w:t xml:space="preserve"> psychosocial risk; occupational health; mental health; repeated cross sectional study; NR-1</w:t>
      </w:r>
    </w:p>
    <w:p>
      <w:pPr>
        <w:keepNext/>
        <w:spacing w:before="240" w:line="480"/>
        <w:jc w:val="center"/>
      </w:pPr>
      <w:r>
        <w:rPr>
          <w:rFonts w:ascii="Times New Roman" w:cs="Times New Roman" w:eastAsia="Times New Roman" w:hAnsi="Times New Roman"/>
          <w:b/>
          <w:bCs/>
          <w:sz w:val="24"/>
          <w:szCs w:val="24"/>
        </w:rPr>
        <w:t xml:space="preserve">Introduction</w:t>
      </w:r>
    </w:p>
    <w:p>
      <w:pPr>
        <w:spacing w:after="0" w:line="480"/>
        <w:ind w:firstLine="720"/>
      </w:pPr>
      <w:r>
        <w:rPr>
          <w:rFonts w:ascii="Times New Roman" w:cs="Times New Roman" w:eastAsia="Times New Roman" w:hAnsi="Times New Roman"/>
          <w:sz w:val="24"/>
          <w:szCs w:val="24"/>
        </w:rPr>
        <w:t xml:space="preserve">Psychosocial hazards at work are associated with ill health, injury and losses in productivity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"AGEM1", "properties": {"formattedCitation": "(Schulte et al., 2024; World Health Organization, 2022)", "plainCitation": "(Schulte et al., 2024; World Health Organization, 2022)", "noteIndex": 0}, "citationItems": [{"id": "schulte", "uris": ["http://zotero.org/users/local/agemts/items/SCHULTE"], "itemData": {"id": "schulte", "type": "article-journal", "author": [{"family": "Schulte", "given": "PA"}, {"family": "Sauter", "given": "SL"}, {"family": "Pandalai", "given": "SP"}, {"family": "Tiesman", "given": "HM"}, {"family": "Chosewood", "given": "LC"}, {"family": "Cunningham", "given": "TR"}, {"family": "Wurzelbacher", "given": "SJ"}, {"family": "Pana-Cryan", "given": "R"}, {"family": "Swanson", "given": "NG"}, {"family": "Chang", "given": "CC"}, {"family": "Nigam", "given": "JAS"}, {"family": "Reissman", "given": "DB"}, {"family": "Ray", "given": "TK"}, {"family": "Howard", "given": "J"}], "title": "An urgent call to address work-related psychosocial hazards and improve worker well-being", "container-title": "American Journal of Industrial Medicine", "container-title-short": "Am J Ind Med", "issued": {"date-parts": [[2024]]}, "volume": "67", "issue": "6", "page": "499-514", "DOI": "10.1002/ajim.23583"}}, {"id": "who", "uris": ["http://zotero.org/users/local/agemts/items/WHO"], "itemData": {"id": "who", "type": "report", "author": [{"literal": "World Health Organization"}], "title": "WHO guidelines on mental health at work", "publisher": "World Health Organization", "publisher-place": "Geneva", "issued": {"date-parts": [[2022]]}, "URL": "https://www.who.int/publications/i/item/9789240053052"}}],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(Schulte et al., 2024; World Health Organization, 2022)</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In a meta-review of 72 reviews with meta-analyses, job strain and long working hours were associated with depression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"AGEM2", "properties": {"formattedCitation": "(Niedhammer et al., 2021)", "plainCitation": "(Niedhammer et al., 2021)", "noteIndex": 0}, "citationItems": [{"id": "niedhammer2021", "uris": ["http://zotero.org/users/local/agemts/items/NIEDHAMMER2021"], "itemData": {"type": "article-journal", "author": [{"family": "Niedhammer", "given": "I"}, {"family": "Bertrais", "given": "S"}, {"family": "Witt", "given": "K"}], "title": "Psychosocial work exposures and health outcomes: a meta-review of 72 literature reviews with meta-analysis", "container-title": "Scandinavian Journal of Work, Environment &amp; Health", "issued": {"date-parts": [[2021]]}, "volume": "47", "issue": "7", "page": "489-508", "DOI": "10.5271/sjweh.3968", "PMID": "34042163", "id": "niedhammer2021"}}],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(Niedhammer et al., 2021)</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and exposure to some working conditions increases the risk of the onset of depressive disorders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"AGEM3", "properties": {"formattedCitation": "(Rugulies et al., 2023)", "plainCitation": "(Rugulies et al., 2023)", "noteIndex": 0}, "citationItems": [{"id": "rugulies", "uris": ["http://zotero.org/users/local/agemts/items/RUGULIES"], "itemData": {"type": "article-journal", "author": [{"family": "Rugulies", "given": "R"}, {"family": "Aust", "given": "B"}, {"family": "Greiner", "given": "BA"}, {"family": "Arensman", "given": "E"}, {"family": "Kawakami", "given": "N"}, {"family": "LaMontagne", "given": "AD"}, {"family": "Madsen", "given": "IEH"}], "title": "Work-related causes of mental health conditions and interventions for their improvement in workplaces", "container-title": "The Lancet", "issued": {"date-parts": [[2023]]}, "volume": "402", "issue": "10410", "page": "1368-1381", "DOI": "10.1016/S0140-6736(23)00869-3", "PMID": "37838442", "id": "rugulies"}}],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(Rugulies et al., 2023)</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In Brazil, mental and behavioral disorders are among the main causes of absence from work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"AGEM4", "properties": {"formattedCitation": "(Bouzada et al., 2023)", "plainCitation": "(Bouzada et al., 2023)", "noteIndex": 0}, "citationItems": [{"id": "bouzada", "uris": ["http://zotero.org/users/local/agemts/items/BOUZADA"], "itemData": {"type": "article-journal", "author": [{"family": "Bouzada", "given": "DF"}, {"family": "Sol", "given": "NAA"}, {"family": "da Silva", "given": "CAM"}], "title": "Absenteeism due to mental and behavioral disorder in employees of a federal university", "container-title": "Revista Brasileira de Medicina do Trabalho", "issued": {"date-parts": [[2023]]}, "volume": "20", "issue": "4", "page": "515-523", "DOI": "10.47626/1679-4435-2022-763", "PMID": "37101449", "id": "bouzada"}}],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(Bouzada et al., 2023)</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In 2024, Brazil amended Regulatory Standard No. 1 (NR-1) to require employers to identify, evaluate and record psychosocial risk factors in their occupational risk management program, without specifying how these factors should be assessed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"AGEM5", "properties": {"formattedCitation": "(Ministério do Trabalho e Emprego, 2024)", "plainCitation": "(Ministério do Trabalho e Emprego, 2024)", "noteIndex": 0}, "citationItems": [{"id": "portaria", "uris": ["http://zotero.org/users/local/agemts/items/PORTARIA"], "itemData": {"id": "portaria", "type": "legislation", "author": [{"literal": "Ministério do Trabalho e Emprego"}], "title": "Portaria MTE nº 1.419, de 27 de agosto de 2024. Aprova a nova redação do capítulo 1.5 \"Gerenciamento de Riscos Ocupacionais\" e altera o Anexo I \"Termos e Definições\" da Norma Regulamentadora nº 1", "container-title": "Diário Oficial da União", "publisher-place": "Brasília", "issued": {"date-parts": [[2024, 8, 27]]}, "URL": "https://www.gov.br/trabalho-e-emprego/pt-br/assuntos/inspecao-do-trabalho/seguranca-e-saude-no-trabalho/sst-portarias/2024/portaria-mte-no-1-419-nr-01-gro-nova-redacao.pdf"}}],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(Ministério do Trabalho e Emprego, 2024)</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Psychosocial factors at work have been described as insufficiently addressed in Brazil despite this change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"AGEM6", "properties": {"formattedCitation": "(de Lucca et al., 2025)", "plainCitation": "(de Lucca et al., 2025)", "noteIndex": 0}, "citationItems": [{"id": "delucca", "uris": ["http://zotero.org/users/local/agemts/items/DELUCCA"], "itemData": {"type": "article-journal", "author": [{"family": "de Lucca", "given": "SR"}, {"family": "Silva Junior", "given": "JS"}, {"family": "Bandini", "given": "M"}], "title": "Critical analysis of psychosocial factors at work within the Risk Management Program of Regulatory Standard-1", "container-title": "Revista Brasileira de Medicina do Trabalho", "issued": {"date-parts": [[2025]]}, "volume": "23", "issue": "1", "page": "e20251425", "DOI": "10.47626/1679-4435-2025-1425", "PMID": "40861191", "id": "delucca"}}],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(de Lucca et al., 2025)</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w:t>
      </w:r>
    </w:p>
    <w:p>
      <w:pPr>
        <w:spacing w:after="0" w:line="480"/>
        <w:ind w:firstLine="720"/>
      </w:pPr>
      <w:r>
        <w:rPr>
          <w:rFonts w:ascii="Times New Roman" w:cs="Times New Roman" w:eastAsia="Times New Roman" w:hAnsi="Times New Roman"/>
          <w:sz w:val="24"/>
          <w:szCs w:val="24"/>
        </w:rPr>
        <w:t xml:space="preserve">Psychosocial risk factors are conditions of work design, organization and management that can cause harm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"AGEM7", "properties": {"formattedCitation": "(International Organization for Standardization, 2021; Teixeira et al., 2025)", "plainCitation": "(International Organization for Standardization, 2021; Teixeira et al., 2025)", "noteIndex": 0}, "citationItems": [{"id": "iso", "uris": ["http://zotero.org/users/local/agemts/items/ISO"], "itemData": {"id": "iso", "type": "standard", "author": [{"literal": "International Organization for Standardization"}], "title": "Occupational health and safety management: Psychological health and safety at work: Guidelines for managing psychosocial risks (ISO Standard No. 45003:2021)", "publisher": "ISO", "publisher-place": "Geneva", "issued": {"date-parts": [[2021]]}, "URL": "https://www.iso.org/standard/64283.html"}}, {"id": "teixeira", "uris": ["http://zotero.org/users/local/agemts/items/TEIXEIRA"], "itemData": {"id": "teixeira", "type": "article-journal", "author": [{"family": "Teixeira", "given": "IDN"}, {"family": "Silva", "given": "IS"}, {"family": "Cadime", "given": "IMD"}], "title": "Psychosocial risks at work: integrative review and conceptual perspectives", "container-title": "Revista Brasileira de Medicina do Trabalho", "container-title-short": "Rev Bras Med Trab", "issued": {"date-parts": [[2025]]}, "volume": "23", "issue": "2", "page": "e20251464", "DOI": "10.47626/1679-4435-2025-1464"}}],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(International Organization for Standardization, 2021; Teixeira et al., 2025)</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In the Job Demands-Resources model, strain develops when job demands are high and job resources such as autonomy and supervisory support are insufficient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"AGEM8", "properties": {"formattedCitation": "(Bakker &amp; Demerouti, 2007; Demerouti et al., 2001)", "plainCitation": "(Bakker &amp; Demerouti, 2007; Demerouti et al., 2001)", "noteIndex": 0}, "citationItems": [{"id": "bakker", "uris": ["http://zotero.org/users/local/agemts/items/BAKKER"], "itemData": {"id": "bakker", "type": "article-journal", "author": [{"family": "Bakker", "given": "AB"}, {"family": "Demerouti", "given": "E"}], "title": "The Job Demands-Resources model: state of the art", "container-title": "Journal of Managerial Psychology", "container-title-short": "J Manag Psychol", "issued": {"date-parts": [[2007]]}, "volume": "22", "issue": "3", "page": "309-328", "DOI": "10.1108/02683940710733115"}}, {"id": "demerouti", "uris": ["http://zotero.org/users/local/agemts/items/DEMEROUTI"], "itemData": {"id": "demerouti", "type": "article-journal", "author": [{"family": "Demerouti", "given": "E"}, {"family": "Bakker", "given": "AB"}, {"family": "Nachreiner", "given": "F"}, {"family": "Schaufeli", "given": "WB"}], "title": "The job demands-resources model of burnout", "container-title": "Journal of Applied Psychology", "container-title-short": "J Appl Psychol", "issued": {"date-parts": [[2001]]}, "volume": "86", "issue": "3", "page": "499-512", "DOI": "10.1037/0021-9010.86.3.499"}}],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(Bakker &amp; Demerouti, 2007; Demerouti et al., 2001)</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Persistent low job control has predicted later major depression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"AGEM9", "properties": {"formattedCitation": "(Taouk et al., 2024)", "plainCitation": "(Taouk et al., 2024)", "noteIndex": 0}, "citationItems": [{"id": "taouk", "uris": ["http://zotero.org/users/local/agemts/items/TAOUK"], "itemData": {"type": "article-journal", "author": [{"family": "Taouk", "given": "Y"}, {"family": "Aitken", "given": "Z"}, {"family": "LaMontagne", "given": "AD"}, {"family": "King", "given": "T"}], "title": "Persistent low job control and subsequent major depression: a prospective cohort study of Australian working males", "container-title": "Social Science &amp; Medicine", "issued": {"date-parts": [[2024]]}, "volume": "359", "page": "117283", "DOI": "10.1016/j.socscimed.2024.117283", "PMID": "39232379", "id": "taouk"}}],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(Taouk et al., 2024)</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and poor quality of leadership has predicted later mental distress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"AGEM10", "properties": {"formattedCitation": "(Burr et al., 2025; Fløvik et al., 2020)", "plainCitation": "(Burr et al., 2025; Fløvik et al., 2020)", "noteIndex": 0}, "citationItems": [{"id": "burr", "uris": ["http://zotero.org/users/local/agemts/items/BURR"], "itemData": {"id": "burr", "type": "article-journal", "author": [{"family": "Burr", "given": "H"}, {"family": "Kersten", "given": "N"}, {"family": "Sørensen", "given": "K"}, {"family": "Sørensen", "given": "JK"}, {"family": "Dalsager", "given": "L"}, {"family": "Madsen", "given": "IEH"}, {"family": "Schöllgen", "given": "I"}, {"family": "d'Errico", "given": "A"}, {"family": "Rose", "given": "U"}, {"family": "Rugulies", "given": "R"}], "title": "A comparison among employees in Germany and Denmark of associations between quality of leadership and subsequent 5-year development of mental distress", "container-title": "Scientific Reports", "container-title-short": "Sci Rep", "issued": {"date-parts": [[2025]]}, "volume": "15", "issue": "1", "page": "7802", "DOI": "10.1038/s41598-025-92650-0"}}, {"id": "flovik", "uris": ["http://zotero.org/users/local/agemts/items/FLOVIK"], "itemData": {"id": "flovik", "type": "article-journal", "author": [{"family": "Fløvik", "given": "L"}, {"family": "Knardahl", "given": "S"}, {"family": "Christensen", "given": "JO"}], "title": "How leadership behaviors influence the effects of job predictability and perceived employability on employee mental health – a multilevel, prospective study", "container-title": "Scandinavian Journal of Work, Environment &amp; Health", "container-title-short": "Scand J Work Environ Health", "issued": {"date-parts": [[2020]]}, "volume": "46", "issue": "4", "page": "392-401", "DOI": "10.5271/sjweh.3880"}}],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(Burr et al., 2025; Fløvik et al., 2020)</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Organizational level interventions can improve the psychosocial work environment and the health of employees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"AGEM11", "properties": {"formattedCitation": "(Aust et al., 2023; Rugulies et al., 2023)", "plainCitation": "(Aust et al., 2023; Rugulies et al., 2023)", "noteIndex": 0}, "citationItems": [{"id": "aust", "uris": ["http://zotero.org/users/local/agemts/items/AUST"], "itemData": {"type": "article-journal", "author": [{"family": "Aust", "given": "B"}, {"family": "Møller", "given": "JL"}, {"family": "Nordentoft", "given": "M"}, {"family": "Frydendall", "given": "KB"}, {"family": "Bengtsen", "given": "E"}, {"family": "Jensen", "given": "AB"}, {"family": "Garde", "given": "AH"}, {"family": "Kompier", "given": "M"}, {"family": "Semmer", "given": "N"}, {"family": "Rugulies", "given": "R"}, {"family": "Jaspers", "given": "SØ"}], "title": "How effective are organizational-level interventions in improving the psychosocial work environment, health, and retention of workers? A systematic overview of systematic reviews", "container-title": "Scandinavian Journal of Work, Environment &amp; Health", "issued": {"date-parts": [[2023]]}, "volume": "49", "issue": "5", "page": "315-329", "DOI": "10.5271/sjweh.4097", "PMID": "37158211", "id": "aust"}}, {"id": "rugulies", "uris": ["http://zotero.org/users/local/agemts/items/RUGULIES"], "itemData": {"type": "article-journal", "author": [{"family": "Rugulies", "given": "R"}, {"family": "Aust", "given": "B"}, {"family": "Greiner", "given": "BA"}, {"family": "Arensman", "given": "E"}, {"family": "Kawakami", "given": "N"}, {"family": "LaMontagne", "given": "AD"}, {"family": "Madsen", "given": "IEH"}], "title": "Work-related causes of mental health conditions and interventions for their improvement in workplaces", "container-title": "The Lancet", "issued": {"date-parts": [[2023]]}, "volume": "402", "issue": "10410", "page": "1368-1381", "DOI": "10.1016/S0140-6736(23)00869-3", "PMID": "37838442", "id": "rugulies"}}],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(Aust et al., 2023; Rugulies et al., 2023)</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and national legislation on psychosocial risks in Europe has been associated with more enterprises having action plans for work related stress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"AGEM12", "properties": {"formattedCitation": "(Jain et al., 2022)", "plainCitation": "(Jain et al., 2022)", "noteIndex": 0}, "citationItems": [{"id": "jain", "uris": ["http://zotero.org/users/local/agemts/items/JAIN"], "itemData": {"type": "article-journal", "author": [{"family": "Jain", "given": "A"}, {"family": "Torres", "given": "LD"}, {"family": "Teoh", "given": "K"}, {"family": "Leka", "given": "S"}], "title": "The impact of national legislation on psychosocial risks on organisational action plans, psychosocial working conditions, and employee work-related stress in Europe", "container-title": "Social Science &amp; Medicine", "issued": {"date-parts": [[2022]]}, "volume": "302", "page": "114987", "DOI": "10.1016/j.socscimed.2022.114987", "PMID": "35500313", "id": "jain"}}],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(Jain et al., 2022)</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Risk management guidance describes assessment as a continuing cycle of identification, action and review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"AGEM13", "properties": {"formattedCitation": "(International Organization for Standardization, 2021)", "plainCitation": "(International Organization for Standardization, 2021)", "noteIndex": 0}, "citationItems": [{"id": "iso", "uris": ["http://zotero.org/users/local/agemts/items/ISO"], "itemData": {"id": "iso", "type": "standard", "author": [{"literal": "International Organization for Standardization"}], "title": "Occupational health and safety management: Psychological health and safety at work: Guidelines for managing psychosocial risks (ISO Standard No. 45003:2021)", "publisher": "ISO", "publisher-place": "Geneva", "issued": {"date-parts": [[2021]]}, "URL": "https://www.iso.org/standard/64283.html"}}],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(International Organization for Standardization, 2021)</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which requires the same indicators to be measured repeatedly. Anonymous workforce surveys protect employees, but their responses cannot be linked over time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"AGEM14", "properties": {"formattedCitation": "(Lima et al., 2026)", "plainCitation": "(Lima et al., 2026)", "noteIndex": 0}, "citationItems": [{"id": "lima", "uris": ["http://zotero.org/users/local/agemts/items/LIMA"], "itemData": {"type": "manuscript", "author": [{"family": "Lima", "given": "AT"}, {"family": "Haas", "given": "D"}, {"family": "Torreão", "given": "S"}, {"family": "Schiffer", "given": "H"}, {"family": "Anunciação", "given": "L"}], "title": "Psychosocial work factors and mental health symptoms under NR-1: a feasibility study", "genre": "Manuscript submitted for publication", "publisher": "Departamento de Psicologia, Pontifícia Universidade Católica do Rio de Janeiro", "issued": {"date-parts": [[2026]]}, "id": "lima"}}],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(Lima et al., 2026)</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w:t>
      </w:r>
    </w:p>
    <w:p>
      <w:pPr>
        <w:keepNext/>
        <w:spacing w:line="480"/>
      </w:pPr>
      <w:r>
        <w:rPr>
          <w:rFonts w:ascii="Times New Roman" w:cs="Times New Roman" w:eastAsia="Times New Roman" w:hAnsi="Times New Roman"/>
          <w:b/>
          <w:bCs/>
          <w:sz w:val="24"/>
          <w:szCs w:val="24"/>
        </w:rPr>
        <w:t xml:space="preserve">The Current Study</w:t>
      </w:r>
    </w:p>
    <w:p>
      <w:pPr>
        <w:spacing w:after="0" w:line="480"/>
        <w:ind w:firstLine="720"/>
      </w:pPr>
      <w:r>
        <w:rPr>
          <w:rFonts w:ascii="Times New Roman" w:cs="Times New Roman" w:eastAsia="Times New Roman" w:hAnsi="Times New Roman"/>
          <w:sz w:val="24"/>
          <w:szCs w:val="24"/>
        </w:rPr>
        <w:t xml:space="preserve">Companies subject to NR-1 need evidence on whether the indicators they collect remain stable between assessments. The goal of this brief report is to describe the stability of psychosocial risk indicators across repeated anonymous monitoring waves among leaders and employees of two Brazilian companies. Because psychosocial risk factors reflect conditions of work design and organization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"AGEM15", "properties": {"formattedCitation": "(International Organization for Standardization, 2021)", "plainCitation": "(International Organization for Standardization, 2021)", "noteIndex": 0}, "citationItems": [{"id": "iso", "uris": ["http://zotero.org/users/local/agemts/items/ISO"], "itemData": {"id": "iso", "type": "standard", "author": [{"literal": "International Organization for Standardization"}], "title": "Occupational health and safety management: Psychological health and safety at work: Guidelines for managing psychosocial risks (ISO Standard No. 45003:2021)", "publisher": "ISO", "publisher-place": "Geneva", "issued": {"date-parts": [[2021]]}, "URL": "https://www.iso.org/standard/64283.html"}}],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(International Organization for Standardization, 2021)</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and the interval between waves was short, we expected most indicators to remain stable. The analysis is exploratory, and its results are preliminary.</w:t>
      </w:r>
    </w:p>
    <w:p>
      <w:pPr>
        <w:keepNext/>
        <w:spacing w:before="240" w:line="480"/>
        <w:jc w:val="center"/>
      </w:pPr>
      <w:r>
        <w:rPr>
          <w:rFonts w:ascii="Times New Roman" w:cs="Times New Roman" w:eastAsia="Times New Roman" w:hAnsi="Times New Roman"/>
          <w:b/>
          <w:bCs/>
          <w:sz w:val="24"/>
          <w:szCs w:val="24"/>
        </w:rPr>
        <w:t xml:space="preserve">Method</w:t>
      </w:r>
    </w:p>
    <w:p>
      <w:pPr>
        <w:keepNext/>
        <w:spacing w:line="480"/>
      </w:pPr>
      <w:r>
        <w:rPr>
          <w:rFonts w:ascii="Times New Roman" w:cs="Times New Roman" w:eastAsia="Times New Roman" w:hAnsi="Times New Roman"/>
          <w:b/>
          <w:bCs/>
          <w:sz w:val="24"/>
          <w:szCs w:val="24"/>
        </w:rPr>
        <w:t xml:space="preserve">Design and Participants</w:t>
      </w:r>
    </w:p>
    <w:p>
      <w:pPr>
        <w:spacing w:after="0" w:line="480"/>
        <w:ind w:firstLine="720"/>
      </w:pPr>
      <w:r>
        <w:rPr>
          <w:rFonts w:ascii="Times New Roman" w:cs="Times New Roman" w:eastAsia="Times New Roman" w:hAnsi="Times New Roman"/>
          <w:sz w:val="24"/>
          <w:szCs w:val="24"/>
        </w:rPr>
        <w:t xml:space="preserve">This repeated cross sectional study is a secondary analysis of anonymous data from psychosocial risk monitoring conducted during the evaluation of a workplace emotion management program, which was delivered between waves. The study does not estimate program effects. Reporting follows the STROBE guidelines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"AGEM16", "properties": {"formattedCitation": "(von Elm et al., 2007)", "plainCitation": "(von Elm et al., 2007)", "noteIndex": 0}, "citationItems": [{"id": "strobe", "uris": ["http://zotero.org/users/local/agemts/items/STROBE"], "itemData": {"id": "strobe", "type": "article-journal", "author": [{"family": "von Elm", "given": "E"}, {"family": "Altman", "given": "DG"}, {"family": "Egger", "given": "M"}, {"family": "Pocock", "given": "SJ"}, {"family": "Gøtzsche", "given": "PC"}, {"family": "Vandenbroucke", "given": "JP"}], "title": "The Strengthening the Reporting of Observational Studies in Epidemiology (STROBE) statement: guidelines for reporting observational studies", "container-title": "The Lancet", "container-title-short": "Lancet", "issued": {"date-parts": [[2007]]}, "volume": "370", "issue": "9596", "page": "1453-1457", "DOI": "10.1016/S0140-6736(07)61602-X"}}],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(von Elm et al., 2007)</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Participants were leaders and employees of two Brazilian companies: a business technology company that sells consortium plans and related financial products (Company A) and an energy trading company (Company B). Leaders answered at three waves: from December 2025 to January 2026 (T1;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21), in June 2026 (T2;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22) and in August 2026 (T3;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18). Employees answered at two waves: from December 2025 to January 2026 (T1;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111) and in April 2026 (T2;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105). Company A contributed 15, 16 and 15 leaders and 86 employees at each wave, and Company B contributed 6, 6 and 3 leaders and 25 and 19 employees. The T1 employee data were analyzed in a cross sectional feasibility study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"AGEM17", "properties": {"formattedCitation": "(Lima et al., 2026)", "plainCitation": "(Lima et al., 2026)", "noteIndex": 0}, "citationItems": [{"id": "lima", "uris": ["http://zotero.org/users/local/agemts/items/LIMA"], "itemData": {"type": "manuscript", "author": [{"family": "Lima", "given": "AT"}, {"family": "Haas", "given": "D"}, {"family": "Torreão", "given": "S"}, {"family": "Schiffer", "given": "H"}, {"family": "Anunciação", "given": "L"}], "title": "Psychosocial work factors and mental health symptoms under NR-1: a feasibility study", "genre": "Manuscript submitted for publication", "publisher": "Departamento de Psicologia, Pontifícia Universidade Católica do Rio de Janeiro", "issued": {"date-parts": [[2026]]}, "id": "lima"}}],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(Lima et al., 2026)</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The present report adds the leader data and the later waves.</w:t>
      </w:r>
    </w:p>
    <w:p>
      <w:pPr>
        <w:keepNext/>
        <w:spacing w:line="480"/>
      </w:pPr>
      <w:r>
        <w:rPr>
          <w:rFonts w:ascii="Times New Roman" w:cs="Times New Roman" w:eastAsia="Times New Roman" w:hAnsi="Times New Roman"/>
          <w:b/>
          <w:bCs/>
          <w:sz w:val="24"/>
          <w:szCs w:val="24"/>
        </w:rPr>
        <w:t xml:space="preserve">Measures</w:t>
      </w:r>
    </w:p>
    <w:p>
      <w:pPr>
        <w:spacing w:after="0" w:line="480"/>
        <w:ind w:firstLine="720"/>
      </w:pPr>
      <w:r>
        <w:rPr>
          <w:rFonts w:ascii="Times New Roman" w:cs="Times New Roman" w:eastAsia="Times New Roman" w:hAnsi="Times New Roman"/>
          <w:i/>
          <w:iCs/>
          <w:sz w:val="24"/>
          <w:szCs w:val="24"/>
        </w:rPr>
        <w:t xml:space="preserve">Leader inventory.</w:t>
      </w:r>
      <w:r>
        <w:rPr>
          <w:rFonts w:ascii="Times New Roman" w:cs="Times New Roman" w:eastAsia="Times New Roman" w:hAnsi="Times New Roman"/>
          <w:sz w:val="24"/>
          <w:szCs w:val="24"/>
        </w:rPr>
        <w:t xml:space="preserve"> Items covered the demands and resources of the leadership role and were rated from 1 (strongly disagree) to 5 (strongly agree). An example item is “I often need to intervene in conflicts that wear down my work routine.” </w:t>
      </w:r>
      <w:r>
        <w:rPr>
          <w:rFonts w:ascii="Times New Roman" w:cs="Times New Roman" w:eastAsia="Times New Roman" w:hAnsi="Times New Roman"/>
          <w:i/>
          <w:iCs/>
          <w:sz w:val="24"/>
          <w:szCs w:val="24"/>
        </w:rPr>
        <w:t xml:space="preserve">Employee inventory.</w:t>
      </w:r>
      <w:r>
        <w:rPr>
          <w:rFonts w:ascii="Times New Roman" w:cs="Times New Roman" w:eastAsia="Times New Roman" w:hAnsi="Times New Roman"/>
          <w:sz w:val="24"/>
          <w:szCs w:val="24"/>
        </w:rPr>
        <w:t xml:space="preserve"> Items covered psychosocial work factors and mental health symptoms and were rated from 1 (never) to 5 (always)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"AGEM18", "properties": {"formattedCitation": "(Lima et al., 2026)", "plainCitation": "(Lima et al., 2026)", "noteIndex": 0}, "citationItems": [{"id": "lima", "uris": ["http://zotero.org/users/local/agemts/items/LIMA"], "itemData": {"type": "manuscript", "author": [{"family": "Lima", "given": "AT"}, {"family": "Haas", "given": "D"}, {"family": "Torreão", "given": "S"}, {"family": "Schiffer", "given": "H"}, {"family": "Anunciação", "given": "L"}], "title": "Psychosocial work factors and mental health symptoms under NR-1: a feasibility study", "genre": "Manuscript submitted for publication", "publisher": "Departamento de Psicologia, Pontifícia Universidade Católica do Rio de Janeiro", "issued": {"date-parts": [[2026]]}, "id": "lima"}}],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(Lima et al., 2026)</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An example item is “Are you free to organize your activities?” Both inventories were written to cover the hazard categories named in NR-1, and their validity has not been examined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"AGEM19", "properties": {"formattedCitation": "(Lima et al., 2026)", "plainCitation": "(Lima et al., 2026)", "noteIndex": 0}, "citationItems": [{"id": "lima", "uris": ["http://zotero.org/users/local/agemts/items/LIMA"], "itemData": {"type": "manuscript", "author": [{"family": "Lima", "given": "AT"}, {"family": "Haas", "given": "D"}, {"family": "Torreão", "given": "S"}, {"family": "Schiffer", "given": "H"}, {"family": "Anunciação", "given": "L"}], "title": "Psychosocial work factors and mental health symptoms under NR-1: a feasibility study", "genre": "Manuscript submitted for publication", "publisher": "Departamento de Psicologia, Pontifícia Universidade Católica do Rio de Janeiro", "issued": {"date-parts": [[2026]]}, "id": "lima"}}],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(Lima et al., 2026)</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Items whose higher agreement or frequency indicates higher risk were flagged as risk items. Items were administered in Portuguese and are reported in English translation.</w:t>
      </w:r>
    </w:p>
    <w:p>
      <w:pPr>
        <w:spacing w:after="0" w:line="480"/>
        <w:ind w:firstLine="720"/>
      </w:pPr>
      <w:r>
        <w:rPr>
          <w:rFonts w:ascii="Times New Roman" w:cs="Times New Roman" w:eastAsia="Times New Roman" w:hAnsi="Times New Roman"/>
          <w:i/>
          <w:iCs/>
          <w:sz w:val="24"/>
          <w:szCs w:val="24"/>
        </w:rPr>
        <w:t xml:space="preserve">Item selection.</w:t>
      </w:r>
      <w:r>
        <w:rPr>
          <w:rFonts w:ascii="Times New Roman" w:cs="Times New Roman" w:eastAsia="Times New Roman" w:hAnsi="Times New Roman"/>
          <w:sz w:val="24"/>
          <w:szCs w:val="24"/>
        </w:rPr>
        <w:t xml:space="preserve"> The wording of every item was compared across the online forms used at each wave, and only items worded identically at all waves were analyzed. Eight of 20 leader items met this criterion; 11 were reworded or negated at T2, and 1 was not asked at T2. Thirty eight of 43 employee items met it: 23 on emotional regulation and mental health symptoms, 14 on psychosocial work factors and 1 on satisfaction with oneself.</w:t>
      </w:r>
    </w:p>
    <w:p>
      <w:pPr>
        <w:spacing w:after="0" w:line="480"/>
        <w:ind w:firstLine="720"/>
      </w:pPr>
      <w:r>
        <w:rPr>
          <w:rFonts w:ascii="Times New Roman" w:cs="Times New Roman" w:eastAsia="Times New Roman" w:hAnsi="Times New Roman"/>
          <w:i/>
          <w:iCs/>
          <w:sz w:val="24"/>
          <w:szCs w:val="24"/>
        </w:rPr>
        <w:t xml:space="preserve">Reliability.</w:t>
      </w:r>
      <w:r>
        <w:rPr>
          <w:rFonts w:ascii="Times New Roman" w:cs="Times New Roman" w:eastAsia="Times New Roman" w:hAnsi="Times New Roman"/>
          <w:sz w:val="24"/>
          <w:szCs w:val="24"/>
        </w:rPr>
        <w:t xml:space="preserve"> Cronbach’s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with ordinal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based on polychoric correlations in parentheses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"AGEM20", "properties": {"formattedCitation": "(Zumbo et al., 2007)", "plainCitation": "(Zumbo et al., 2007)", "noteIndex": 0}, "citationItems": [{"id": "zumbo", "uris": ["http://zotero.org/users/local/agemts/items/ZUMBO"], "itemData": {"type": "article-journal", "author": [{"family": "Zumbo", "given": "BD"}, {"family": "Gadermann", "given": "AM"}, {"family": "Zeisser", "given": "C"}], "title": "Ordinal versions of coefficients alpha and theta for Likert rating scales", "container-title": "Journal of Modern Applied Statistical Methods", "issued": {"date-parts": [[2007]]}, "volume": "6", "issue": "1", "page": "21-29", "DOI": "10.22237/jmasm/1177992180", "id": "zumbo"}}],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(Zumbo et al., 2007)</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was .62 (.69) at T1, .78 (.82) at T2 and .32 (.36) at T3 for the eight leader items. Because these items cover different demands and resources, they were analyzed individually. For employees,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was .92 (.93) at T1 and .90 (.91) at T2 for the 23 symptom items, and .88 (.91) and .91 (.93) for the 14 work factor items. Positively worded items were reversed before these estimates.</w:t>
      </w:r>
    </w:p>
    <w:p>
      <w:pPr>
        <w:keepNext/>
        <w:spacing w:line="480"/>
      </w:pPr>
      <w:r>
        <w:rPr>
          <w:rFonts w:ascii="Times New Roman" w:cs="Times New Roman" w:eastAsia="Times New Roman" w:hAnsi="Times New Roman"/>
          <w:b/>
          <w:bCs/>
          <w:sz w:val="24"/>
          <w:szCs w:val="24"/>
        </w:rPr>
        <w:t xml:space="preserve">Procedure</w:t>
      </w:r>
    </w:p>
    <w:p>
      <w:pPr>
        <w:spacing w:after="0" w:line="480"/>
        <w:ind w:firstLine="720"/>
      </w:pPr>
      <w:r>
        <w:rPr>
          <w:rFonts w:ascii="Times New Roman" w:cs="Times New Roman" w:eastAsia="Times New Roman" w:hAnsi="Times New Roman"/>
          <w:sz w:val="24"/>
          <w:szCs w:val="24"/>
        </w:rPr>
        <w:t xml:space="preserve">Before the first wave, a meeting with employees presented the purpose and stages of the assessment and stated that participation was voluntary and anonymous. At each wave, participants answered an anonymous online survey on SurveyMonkey. No names, email addresses, job titles or work units were recorded, and results were returned to each company only in aggregate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"AGEM21", "properties": {"formattedCitation": "(Lima et al., 2026)", "plainCitation": "(Lima et al., 2026)", "noteIndex": 0}, "citationItems": [{"id": "lima", "uris": ["http://zotero.org/users/local/agemts/items/LIMA"], "itemData": {"type": "manuscript", "author": [{"family": "Lima", "given": "AT"}, {"family": "Haas", "given": "D"}, {"family": "Torreão", "given": "S"}, {"family": "Schiffer", "given": "H"}, {"family": "Anunciação", "given": "L"}], "title": "Psychosocial work factors and mental health symptoms under NR-1: a feasibility study", "genre": "Manuscript submitted for publication", "publisher": "Departamento de Psicologia, Pontifícia Universidade Católica do Rio de Janeiro", "issued": {"date-parts": [[2026]]}, "id": "lima"}}],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(Lima et al., 2026)</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The study was approved by the Research Ethics Committee of the Instituto Nacional de Educação de Surdos (CAAE 96841525.4.0000.8137; approval number 8.651.901). The committee approved the informed consent form, which described the risks of participation as minimal and stated that workers could decline to participate without constraint or harm. Procedures followed the ethical guidelines for research in the Human and Social Sciences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"AGEM22", "properties": {"formattedCitation": "(Conselho Nacional de Saúde, 2016)", "plainCitation": "(Conselho Nacional de Saúde, 2016)", "noteIndex": 0}, "citationItems": [{"id": "cns510", "uris": ["http://zotero.org/users/local/agemts/items/CNS510"], "itemData": {"id": "cns510", "type": "legislation", "author": [{"literal": "Conselho Nacional de Saúde"}], "title": "Resolução nº 510, de 7 de abril de 2016. Dispõe sobre as normas aplicáveis a pesquisas em Ciências Humanas e Sociais", "container-title": "Diário Oficial da União", "publisher-place": "Brasília", "issued": {"date-parts": [[2016, 4, 7]]}, "URL": "https://bvsms.saude.gov.br/bvs/saudelegis/cns/2016/res0510_07_04_2016.html"}}],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(Conselho Nacional de Saúde, 2016)</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w:t>
      </w:r>
    </w:p>
    <w:p>
      <w:pPr>
        <w:keepNext/>
        <w:spacing w:line="480"/>
      </w:pPr>
      <w:r>
        <w:rPr>
          <w:rFonts w:ascii="Times New Roman" w:cs="Times New Roman" w:eastAsia="Times New Roman" w:hAnsi="Times New Roman"/>
          <w:b/>
          <w:bCs/>
          <w:sz w:val="24"/>
          <w:szCs w:val="24"/>
        </w:rPr>
        <w:t xml:space="preserve">Data Analysis</w:t>
      </w:r>
    </w:p>
    <w:p>
      <w:pPr>
        <w:spacing w:after="0" w:line="480"/>
        <w:ind w:firstLine="720"/>
      </w:pPr>
      <w:r>
        <w:rPr>
          <w:rFonts w:ascii="Times New Roman" w:cs="Times New Roman" w:eastAsia="Times New Roman" w:hAnsi="Times New Roman"/>
          <w:sz w:val="24"/>
          <w:szCs w:val="24"/>
        </w:rPr>
        <w:t xml:space="preserve">Each item was analyzed with a proportional odds model of the five point response on wave, with company as a covariate because the share of respondents from each company differed across waves. The effect of wave was tested with a likelihood ratio test, and odds ratios (</w:t>
      </w: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with Wald 95% confidence intervals compare each later wave with T1. When the test of wave gave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pairwise contrasts between waves gave the direction of change. Tests were two sided and were not adjusted for multiplicity. For presentation, responses were grouped into three categories: disagree, neutral and agree for leaders (1 to 2, 3 and 4 to 5), and never or rarely, sometimes and often or always for employees. Table 1 and Supplementary Table S1 report the number of respondents in each category by wave for the two companies combined, with items ordered by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and risk items marked with a dagger (†). Analyses were conducted in R 4.3.3 with the packages ordinal 2023.12.4, emmeans 1.10.0, psych 2.4.1 and tidyverse 2.0.0. The study was not preregistered, and the analysis code is available from the corresponding author.</w:t>
      </w:r>
    </w:p>
    <w:p>
      <w:pPr>
        <w:keepNext/>
        <w:spacing w:before="240" w:line="480"/>
        <w:jc w:val="center"/>
      </w:pPr>
      <w:r>
        <w:rPr>
          <w:rFonts w:ascii="Times New Roman" w:cs="Times New Roman" w:eastAsia="Times New Roman" w:hAnsi="Times New Roman"/>
          <w:b/>
          <w:bCs/>
          <w:sz w:val="24"/>
          <w:szCs w:val="24"/>
        </w:rPr>
        <w:t xml:space="preserve">Results</w:t>
      </w:r>
    </w:p>
    <w:p>
      <w:pPr>
        <w:keepNext/>
        <w:spacing w:line="480"/>
      </w:pPr>
      <w:r>
        <w:rPr>
          <w:rFonts w:ascii="Times New Roman" w:cs="Times New Roman" w:eastAsia="Times New Roman" w:hAnsi="Times New Roman"/>
          <w:b/>
          <w:bCs/>
          <w:sz w:val="24"/>
          <w:szCs w:val="24"/>
        </w:rPr>
        <w:t xml:space="preserve">Leaders</w:t>
      </w:r>
    </w:p>
    <w:p>
      <w:pPr>
        <w:spacing w:after="0" w:line="480"/>
        <w:ind w:firstLine="720"/>
      </w:pPr>
      <w:r>
        <w:rPr>
          <w:rFonts w:ascii="Times New Roman" w:cs="Times New Roman" w:eastAsia="Times New Roman" w:hAnsi="Times New Roman"/>
          <w:sz w:val="24"/>
          <w:szCs w:val="24"/>
        </w:rPr>
        <w:t xml:space="preserve">None of the eight leader items changed across the three waves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from .192 to .822; Table 1). The largest descriptive shift was in decision responsibility: agreement rose from 19% at T1 to 41% at T2 and 44% at T3 (</w:t>
      </w: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for T3 vs. T1 = 1.94, 95%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 [0.61, 6.16],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.521). The confidence intervals of the odds ratios spanned values from about 0.2 to 9. Supplementary Figure S1 shows agreement with each item by wave.</w:t>
      </w:r>
    </w:p>
    <w:p>
      <w:pPr>
        <w:sectPr>
          <w:headerReference w:type="default" r:id="rId7"/>
          <w:pgSz w:w="11906" w:h="16838" w:orient="portrait"/>
          <w:pgMar w:top="1440" w:right="1440" w:bottom="1440" w:left="1440" w:header="708" w:footer="708" w:gutter="0"/>
          <w:pgNumType/>
          <w:docGrid w:linePitch="360"/>
        </w:sectPr>
      </w:pPr>
    </w:p>
    <w:p>
      <w:pPr>
        <w:keepNext/>
        <w:spacing w:before="240"/>
      </w:pPr>
      <w:r>
        <w:rPr>
          <w:rFonts w:ascii="Times New Roman" w:cs="Times New Roman" w:eastAsia="Times New Roman" w:hAnsi="Times New Roman"/>
          <w:b/>
          <w:bCs/>
          <w:sz w:val="24"/>
          <w:szCs w:val="24"/>
        </w:rPr>
        <w:t xml:space="preserve">Table 1</w:t>
      </w:r>
    </w:p>
    <w:p>
      <w:pPr>
        <w:keepNext/>
        <w:spacing w:after="120"/>
      </w:pPr>
      <w:r>
        <w:rPr>
          <w:rFonts w:ascii="Times New Roman" w:cs="Times New Roman" w:eastAsia="Times New Roman" w:hAnsi="Times New Roman"/>
          <w:i/>
          <w:iCs/>
          <w:sz w:val="24"/>
          <w:szCs w:val="24"/>
        </w:rPr>
        <w:t xml:space="preserve">Responses of Leaders to the Stable Items by Wave</w:t>
      </w:r>
    </w:p>
    <w:tbl>
      <w:tblPr>
        <w:tblW w:type="dxa" w:w="13950"/>
        <w:tblBorders>
          <w:top w:val="none" w:color="FFFFFF" w:sz="0"/>
          <w:left w:val="none" w:color="FFFFFF" w:sz="0"/>
          <w:bottom w:val="none" w:color="FFFFFF" w:sz="0"/>
          <w:right w:val="none" w:color="FFFFFF" w:sz="0"/>
          <w:insideH w:val="none" w:color="FFFFFF" w:sz="0"/>
          <w:insideV w:val="none" w:color="FFFFFF" w:sz="0"/>
        </w:tblBorders>
      </w:tblPr>
      <w:tblGrid>
        <w:gridCol w:w="4300"/>
        <w:gridCol w:w="1400"/>
        <w:gridCol w:w="1250"/>
        <w:gridCol w:w="1250"/>
        <w:gridCol w:w="1250"/>
        <w:gridCol w:w="700"/>
        <w:gridCol w:w="1900"/>
        <w:gridCol w:w="1900"/>
      </w:tblGrid>
      <w:tr>
        <w:trPr>
          <w:tblHeader/>
        </w:trPr>
        <w:tc>
          <w:tcPr>
            <w:tcW w:type="dxa" w:w="430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left"/>
            </w:pPr>
            <w:r>
              <w:rPr>
                <w:rFonts w:ascii="Times New Roman" w:cs="Times New Roman" w:eastAsia="Times New Roman" w:hAnsi="Times New Roman"/>
                <w:sz w:val="24"/>
                <w:szCs w:val="24"/>
              </w:rPr>
              <w:t xml:space="preserve">Item</w:t>
            </w:r>
          </w:p>
        </w:tc>
        <w:tc>
          <w:tcPr>
            <w:tcW w:type="dxa" w:w="140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left"/>
            </w:pPr>
            <w:r>
              <w:rPr>
                <w:rFonts w:ascii="Times New Roman" w:cs="Times New Roman" w:eastAsia="Times New Roman" w:hAnsi="Times New Roman"/>
                <w:sz w:val="24"/>
                <w:szCs w:val="24"/>
              </w:rPr>
              <w:t xml:space="preserve">Response</w:t>
            </w:r>
          </w:p>
        </w:tc>
        <w:tc>
          <w:tcPr>
            <w:tcW w:type="dxa" w:w="125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center"/>
            </w:pPr>
            <w:r>
              <w:rPr>
                <w:rFonts w:ascii="Times New Roman" w:cs="Times New Roman" w:eastAsia="Times New Roman" w:hAnsi="Times New Roman"/>
                <w:sz w:val="24"/>
                <w:szCs w:val="24"/>
              </w:rPr>
              <w:t xml:space="preserve">T1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21)</w:t>
            </w:r>
          </w:p>
        </w:tc>
        <w:tc>
          <w:tcPr>
            <w:tcW w:type="dxa" w:w="125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center"/>
            </w:pPr>
            <w:r>
              <w:rPr>
                <w:rFonts w:ascii="Times New Roman" w:cs="Times New Roman" w:eastAsia="Times New Roman" w:hAnsi="Times New Roman"/>
                <w:sz w:val="24"/>
                <w:szCs w:val="24"/>
              </w:rPr>
              <w:t xml:space="preserve">T2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22)</w:t>
            </w:r>
          </w:p>
        </w:tc>
        <w:tc>
          <w:tcPr>
            <w:tcW w:type="dxa" w:w="125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center"/>
            </w:pPr>
            <w:r>
              <w:rPr>
                <w:rFonts w:ascii="Times New Roman" w:cs="Times New Roman" w:eastAsia="Times New Roman" w:hAnsi="Times New Roman"/>
                <w:sz w:val="24"/>
                <w:szCs w:val="24"/>
              </w:rPr>
              <w:t xml:space="preserve">T3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18)</w:t>
            </w:r>
          </w:p>
        </w:tc>
        <w:tc>
          <w:tcPr>
            <w:tcW w:type="dxa" w:w="70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center"/>
            </w:pPr>
            <w:r>
              <w:rPr>
                <w:rFonts w:ascii="Times New Roman" w:cs="Times New Roman" w:eastAsia="Times New Roman" w:hAnsi="Times New Roman"/>
                <w:i/>
                <w:iCs/>
                <w:sz w:val="24"/>
                <w:szCs w:val="24"/>
              </w:rPr>
              <w:t xml:space="preserve">p</w:t>
            </w:r>
          </w:p>
        </w:tc>
        <w:tc>
          <w:tcPr>
            <w:tcW w:type="dxa" w:w="190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center"/>
            </w:pP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T2 [95%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w:t>
            </w:r>
          </w:p>
        </w:tc>
        <w:tc>
          <w:tcPr>
            <w:tcW w:type="dxa" w:w="190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center"/>
            </w:pP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T3 [95%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w:t>
            </w:r>
          </w:p>
        </w:tc>
      </w:tr>
      <w:tr>
        <w:trPr>
          <w:cantSplit/>
        </w:trPr>
        <w:tc>
          <w:tcPr>
            <w:tcW w:type="dxa" w:w="43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left"/>
            </w:pPr>
            <w:r>
              <w:rPr>
                <w:rFonts w:ascii="Times New Roman" w:cs="Times New Roman" w:eastAsia="Times New Roman" w:hAnsi="Times New Roman"/>
                <w:sz w:val="24"/>
                <w:szCs w:val="24"/>
              </w:rPr>
              <w:t xml:space="preserve">7. I often need to intervene in conflicts that wear down my work routine. †</w:t>
            </w:r>
          </w:p>
        </w:tc>
        <w:tc>
          <w:tcPr>
            <w:tcW w:type="dxa" w:w="14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left"/>
            </w:pPr>
            <w:r>
              <w:rPr>
                <w:rFonts w:ascii="Times New Roman" w:cs="Times New Roman" w:eastAsia="Times New Roman" w:hAnsi="Times New Roman"/>
                <w:sz w:val="24"/>
                <w:szCs w:val="24"/>
              </w:rPr>
              <w:t xml:space="preserve">(1) disagree</w:t>
            </w:r>
          </w:p>
          <w:p>
            <w:pPr>
              <w:jc w:val="left"/>
            </w:pPr>
            <w:r>
              <w:rPr>
                <w:rFonts w:ascii="Times New Roman" w:cs="Times New Roman" w:eastAsia="Times New Roman" w:hAnsi="Times New Roman"/>
                <w:sz w:val="24"/>
                <w:szCs w:val="24"/>
              </w:rPr>
              <w:t xml:space="preserve">(2) neutral</w:t>
            </w:r>
          </w:p>
          <w:p>
            <w:pPr>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center"/>
            </w:pPr>
            <w:r>
              <w:rPr>
                <w:rFonts w:ascii="Times New Roman" w:cs="Times New Roman" w:eastAsia="Times New Roman" w:hAnsi="Times New Roman"/>
                <w:sz w:val="24"/>
                <w:szCs w:val="24"/>
              </w:rPr>
              <w:t xml:space="preserve">13</w:t>
            </w:r>
          </w:p>
          <w:p>
            <w:pPr>
              <w:jc w:val="center"/>
            </w:pPr>
            <w:r>
              <w:rPr>
                <w:rFonts w:ascii="Times New Roman" w:cs="Times New Roman" w:eastAsia="Times New Roman" w:hAnsi="Times New Roman"/>
                <w:sz w:val="24"/>
                <w:szCs w:val="24"/>
              </w:rPr>
              <w:t xml:space="preserve">7</w:t>
            </w:r>
          </w:p>
          <w:p>
            <w:pPr>
              <w:jc w:val="center"/>
            </w:pPr>
            <w:r>
              <w:rPr>
                <w:rFonts w:ascii="Times New Roman" w:cs="Times New Roman" w:eastAsia="Times New Roman" w:hAnsi="Times New Roman"/>
                <w:sz w:val="24"/>
                <w:szCs w:val="24"/>
              </w:rPr>
              <w:t xml:space="preserve">1</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center"/>
            </w:pPr>
            <w:r>
              <w:rPr>
                <w:rFonts w:ascii="Times New Roman" w:cs="Times New Roman" w:eastAsia="Times New Roman" w:hAnsi="Times New Roman"/>
                <w:sz w:val="24"/>
                <w:szCs w:val="24"/>
              </w:rPr>
              <w:t xml:space="preserve">15</w:t>
            </w:r>
          </w:p>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3</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center"/>
            </w:pPr>
            <w:r>
              <w:rPr>
                <w:rFonts w:ascii="Times New Roman" w:cs="Times New Roman" w:eastAsia="Times New Roman" w:hAnsi="Times New Roman"/>
                <w:sz w:val="24"/>
                <w:szCs w:val="24"/>
              </w:rPr>
              <w:t xml:space="preserve">8</w:t>
            </w:r>
          </w:p>
          <w:p>
            <w:pPr>
              <w:jc w:val="center"/>
            </w:pPr>
            <w:r>
              <w:rPr>
                <w:rFonts w:ascii="Times New Roman" w:cs="Times New Roman" w:eastAsia="Times New Roman" w:hAnsi="Times New Roman"/>
                <w:sz w:val="24"/>
                <w:szCs w:val="24"/>
              </w:rPr>
              <w:t xml:space="preserve">7</w:t>
            </w:r>
          </w:p>
          <w:p>
            <w:pPr>
              <w:jc w:val="center"/>
            </w:pPr>
            <w:r>
              <w:rPr>
                <w:rFonts w:ascii="Times New Roman" w:cs="Times New Roman" w:eastAsia="Times New Roman" w:hAnsi="Times New Roman"/>
                <w:sz w:val="24"/>
                <w:szCs w:val="24"/>
              </w:rPr>
              <w:t xml:space="preserve">3</w:t>
            </w:r>
          </w:p>
        </w:tc>
        <w:tc>
          <w:tcPr>
            <w:tcW w:type="dxa" w:w="7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center"/>
            </w:pPr>
            <w:r>
              <w:rPr>
                <w:rFonts w:ascii="Times New Roman" w:cs="Times New Roman" w:eastAsia="Times New Roman" w:hAnsi="Times New Roman"/>
                <w:sz w:val="24"/>
                <w:szCs w:val="24"/>
              </w:rPr>
              <w:t xml:space="preserve">.192</w:t>
            </w:r>
          </w:p>
        </w:tc>
        <w:tc>
          <w:tcPr>
            <w:tcW w:type="dxa" w:w="19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center"/>
            </w:pPr>
            <w:r>
              <w:rPr>
                <w:rFonts w:ascii="Times New Roman" w:cs="Times New Roman" w:eastAsia="Times New Roman" w:hAnsi="Times New Roman"/>
                <w:sz w:val="24"/>
                <w:szCs w:val="24"/>
              </w:rPr>
              <w:t xml:space="preserve">0.67 [0.23, 2.01]</w:t>
            </w:r>
          </w:p>
        </w:tc>
        <w:tc>
          <w:tcPr>
            <w:tcW w:type="dxa" w:w="19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center"/>
            </w:pPr>
            <w:r>
              <w:rPr>
                <w:rFonts w:ascii="Times New Roman" w:cs="Times New Roman" w:eastAsia="Times New Roman" w:hAnsi="Times New Roman"/>
                <w:sz w:val="24"/>
                <w:szCs w:val="24"/>
              </w:rPr>
              <w:t xml:space="preserve">2.01 [0.64, 6.30]</w:t>
            </w:r>
          </w:p>
        </w:tc>
      </w:tr>
      <w:tr>
        <w:trPr>
          <w:cantSplit/>
        </w:trPr>
        <w:tc>
          <w:tcPr>
            <w:tcW w:type="dxa" w:w="43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19. My work requires constant decisions that affect the safety, well being or performance of other people (e.g., reallocating people, giving difficult feedback, setting priorities). †</w:t>
            </w:r>
          </w:p>
        </w:tc>
        <w:tc>
          <w:tcPr>
            <w:tcW w:type="dxa" w:w="14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disagree</w:t>
            </w:r>
          </w:p>
          <w:p>
            <w:pPr>
              <w:jc w:val="left"/>
            </w:pPr>
            <w:r>
              <w:rPr>
                <w:rFonts w:ascii="Times New Roman" w:cs="Times New Roman" w:eastAsia="Times New Roman" w:hAnsi="Times New Roman"/>
                <w:sz w:val="24"/>
                <w:szCs w:val="24"/>
              </w:rPr>
              <w:t xml:space="preserve">(2) neutral</w:t>
            </w:r>
          </w:p>
          <w:p>
            <w:pPr>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7</w:t>
            </w:r>
          </w:p>
          <w:p>
            <w:pPr>
              <w:jc w:val="center"/>
            </w:pPr>
            <w:r>
              <w:rPr>
                <w:rFonts w:ascii="Times New Roman" w:cs="Times New Roman" w:eastAsia="Times New Roman" w:hAnsi="Times New Roman"/>
                <w:sz w:val="24"/>
                <w:szCs w:val="24"/>
              </w:rPr>
              <w:t xml:space="preserve">3</w:t>
            </w:r>
          </w:p>
          <w:p>
            <w:pPr>
              <w:jc w:val="center"/>
            </w:pPr>
            <w:r>
              <w:rPr>
                <w:rFonts w:ascii="Times New Roman" w:cs="Times New Roman" w:eastAsia="Times New Roman" w:hAnsi="Times New Roman"/>
                <w:sz w:val="24"/>
                <w:szCs w:val="24"/>
              </w:rPr>
              <w:t xml:space="preserve">9</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10</w:t>
            </w:r>
          </w:p>
          <w:p>
            <w:pPr>
              <w:jc w:val="center"/>
            </w:pPr>
            <w:r>
              <w:rPr>
                <w:rFonts w:ascii="Times New Roman" w:cs="Times New Roman" w:eastAsia="Times New Roman" w:hAnsi="Times New Roman"/>
                <w:sz w:val="24"/>
                <w:szCs w:val="24"/>
              </w:rPr>
              <w:t xml:space="preserve">5</w:t>
            </w:r>
          </w:p>
          <w:p>
            <w:pPr>
              <w:jc w:val="center"/>
            </w:pPr>
            <w:r>
              <w:rPr>
                <w:rFonts w:ascii="Times New Roman" w:cs="Times New Roman" w:eastAsia="Times New Roman" w:hAnsi="Times New Roman"/>
                <w:sz w:val="24"/>
                <w:szCs w:val="24"/>
              </w:rPr>
              <w:t xml:space="preserve">5</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6</w:t>
            </w:r>
          </w:p>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8</w:t>
            </w:r>
          </w:p>
        </w:tc>
        <w:tc>
          <w:tcPr>
            <w:tcW w:type="dxa" w:w="7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.250</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0.40 [0.13, 1.27]</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0.86 [0.28, 2.68]</w:t>
            </w:r>
          </w:p>
        </w:tc>
      </w:tr>
      <w:tr>
        <w:trPr>
          <w:cantSplit/>
        </w:trPr>
        <w:tc>
          <w:tcPr>
            <w:tcW w:type="dxa" w:w="43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9. I am satisfied with my team's overall performance.</w:t>
            </w:r>
          </w:p>
        </w:tc>
        <w:tc>
          <w:tcPr>
            <w:tcW w:type="dxa" w:w="14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disagree</w:t>
            </w:r>
          </w:p>
          <w:p>
            <w:pPr>
              <w:jc w:val="left"/>
            </w:pPr>
            <w:r>
              <w:rPr>
                <w:rFonts w:ascii="Times New Roman" w:cs="Times New Roman" w:eastAsia="Times New Roman" w:hAnsi="Times New Roman"/>
                <w:sz w:val="24"/>
                <w:szCs w:val="24"/>
              </w:rPr>
              <w:t xml:space="preserve">(2) neutral</w:t>
            </w:r>
          </w:p>
          <w:p>
            <w:pPr>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6</w:t>
            </w:r>
          </w:p>
          <w:p>
            <w:pPr>
              <w:jc w:val="center"/>
            </w:pPr>
            <w:r>
              <w:rPr>
                <w:rFonts w:ascii="Times New Roman" w:cs="Times New Roman" w:eastAsia="Times New Roman" w:hAnsi="Times New Roman"/>
                <w:sz w:val="24"/>
                <w:szCs w:val="24"/>
              </w:rPr>
              <w:t xml:space="preserve">1</w:t>
            </w:r>
          </w:p>
          <w:p>
            <w:pPr>
              <w:jc w:val="center"/>
            </w:pPr>
            <w:r>
              <w:rPr>
                <w:rFonts w:ascii="Times New Roman" w:cs="Times New Roman" w:eastAsia="Times New Roman" w:hAnsi="Times New Roman"/>
                <w:sz w:val="24"/>
                <w:szCs w:val="24"/>
              </w:rPr>
              <w:t xml:space="preserve">13</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2</w:t>
            </w:r>
          </w:p>
          <w:p>
            <w:pPr>
              <w:jc w:val="center"/>
            </w:pPr>
            <w:r>
              <w:rPr>
                <w:rFonts w:ascii="Times New Roman" w:cs="Times New Roman" w:eastAsia="Times New Roman" w:hAnsi="Times New Roman"/>
                <w:sz w:val="24"/>
                <w:szCs w:val="24"/>
              </w:rPr>
              <w:t xml:space="preserve">16</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2</w:t>
            </w:r>
          </w:p>
          <w:p>
            <w:pPr>
              <w:jc w:val="center"/>
            </w:pPr>
            <w:r>
              <w:rPr>
                <w:rFonts w:ascii="Times New Roman" w:cs="Times New Roman" w:eastAsia="Times New Roman" w:hAnsi="Times New Roman"/>
                <w:sz w:val="24"/>
                <w:szCs w:val="24"/>
              </w:rPr>
              <w:t xml:space="preserve">1</w:t>
            </w:r>
          </w:p>
          <w:p>
            <w:pPr>
              <w:jc w:val="center"/>
            </w:pPr>
            <w:r>
              <w:rPr>
                <w:rFonts w:ascii="Times New Roman" w:cs="Times New Roman" w:eastAsia="Times New Roman" w:hAnsi="Times New Roman"/>
                <w:sz w:val="24"/>
                <w:szCs w:val="24"/>
              </w:rPr>
              <w:t xml:space="preserve">15</w:t>
            </w:r>
          </w:p>
        </w:tc>
        <w:tc>
          <w:tcPr>
            <w:tcW w:type="dxa" w:w="7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.290</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1.39 [0.46, 4.22]</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2.61 [0.77, 8.88]</w:t>
            </w:r>
          </w:p>
        </w:tc>
      </w:tr>
      <w:tr>
        <w:trPr>
          <w:cantSplit/>
        </w:trPr>
        <w:tc>
          <w:tcPr>
            <w:tcW w:type="dxa" w:w="43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I feel that the burden of responsibility for decisions is high. †</w:t>
            </w:r>
          </w:p>
        </w:tc>
        <w:tc>
          <w:tcPr>
            <w:tcW w:type="dxa" w:w="14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disagree</w:t>
            </w:r>
          </w:p>
          <w:p>
            <w:pPr>
              <w:jc w:val="left"/>
            </w:pPr>
            <w:r>
              <w:rPr>
                <w:rFonts w:ascii="Times New Roman" w:cs="Times New Roman" w:eastAsia="Times New Roman" w:hAnsi="Times New Roman"/>
                <w:sz w:val="24"/>
                <w:szCs w:val="24"/>
              </w:rPr>
              <w:t xml:space="preserve">(2) neutral</w:t>
            </w:r>
          </w:p>
          <w:p>
            <w:pPr>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10</w:t>
            </w:r>
          </w:p>
          <w:p>
            <w:pPr>
              <w:jc w:val="center"/>
            </w:pPr>
            <w:r>
              <w:rPr>
                <w:rFonts w:ascii="Times New Roman" w:cs="Times New Roman" w:eastAsia="Times New Roman" w:hAnsi="Times New Roman"/>
                <w:sz w:val="24"/>
                <w:szCs w:val="24"/>
              </w:rPr>
              <w:t xml:space="preserve">7</w:t>
            </w:r>
          </w:p>
          <w:p>
            <w:pPr>
              <w:jc w:val="center"/>
            </w:pPr>
            <w:r>
              <w:rPr>
                <w:rFonts w:ascii="Times New Roman" w:cs="Times New Roman" w:eastAsia="Times New Roman" w:hAnsi="Times New Roman"/>
                <w:sz w:val="24"/>
                <w:szCs w:val="24"/>
              </w:rPr>
              <w:t xml:space="preserve">4</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7</w:t>
            </w:r>
          </w:p>
          <w:p>
            <w:pPr>
              <w:jc w:val="center"/>
            </w:pPr>
            <w:r>
              <w:rPr>
                <w:rFonts w:ascii="Times New Roman" w:cs="Times New Roman" w:eastAsia="Times New Roman" w:hAnsi="Times New Roman"/>
                <w:sz w:val="24"/>
                <w:szCs w:val="24"/>
              </w:rPr>
              <w:t xml:space="preserve">6</w:t>
            </w:r>
          </w:p>
          <w:p>
            <w:pPr>
              <w:jc w:val="center"/>
            </w:pPr>
            <w:r>
              <w:rPr>
                <w:rFonts w:ascii="Times New Roman" w:cs="Times New Roman" w:eastAsia="Times New Roman" w:hAnsi="Times New Roman"/>
                <w:sz w:val="24"/>
                <w:szCs w:val="24"/>
              </w:rPr>
              <w:t xml:space="preserve">9</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6</w:t>
            </w:r>
          </w:p>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8</w:t>
            </w:r>
          </w:p>
        </w:tc>
        <w:tc>
          <w:tcPr>
            <w:tcW w:type="dxa" w:w="7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.521</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1.45 [0.51, 4.19]</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1.94 [0.61, 6.16]</w:t>
            </w:r>
          </w:p>
        </w:tc>
      </w:tr>
      <w:tr>
        <w:trPr>
          <w:cantSplit/>
        </w:trPr>
        <w:tc>
          <w:tcPr>
            <w:tcW w:type="dxa" w:w="43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3. My responsibilities and limits of authority are clear (e.g., I know how far I can decide alone and when I need to escalate).</w:t>
            </w:r>
          </w:p>
        </w:tc>
        <w:tc>
          <w:tcPr>
            <w:tcW w:type="dxa" w:w="14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disagree</w:t>
            </w:r>
          </w:p>
          <w:p>
            <w:pPr>
              <w:jc w:val="left"/>
            </w:pPr>
            <w:r>
              <w:rPr>
                <w:rFonts w:ascii="Times New Roman" w:cs="Times New Roman" w:eastAsia="Times New Roman" w:hAnsi="Times New Roman"/>
                <w:sz w:val="24"/>
                <w:szCs w:val="24"/>
              </w:rPr>
              <w:t xml:space="preserve">(2) neutral</w:t>
            </w:r>
          </w:p>
          <w:p>
            <w:pPr>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3</w:t>
            </w:r>
          </w:p>
          <w:p>
            <w:pPr>
              <w:jc w:val="center"/>
            </w:pPr>
            <w:r>
              <w:rPr>
                <w:rFonts w:ascii="Times New Roman" w:cs="Times New Roman" w:eastAsia="Times New Roman" w:hAnsi="Times New Roman"/>
                <w:sz w:val="24"/>
                <w:szCs w:val="24"/>
              </w:rPr>
              <w:t xml:space="preserve">1</w:t>
            </w:r>
          </w:p>
          <w:p>
            <w:pPr>
              <w:jc w:val="center"/>
            </w:pPr>
            <w:r>
              <w:rPr>
                <w:rFonts w:ascii="Times New Roman" w:cs="Times New Roman" w:eastAsia="Times New Roman" w:hAnsi="Times New Roman"/>
                <w:sz w:val="24"/>
                <w:szCs w:val="24"/>
              </w:rPr>
              <w:t xml:space="preserve">17</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3</w:t>
            </w:r>
          </w:p>
          <w:p>
            <w:pPr>
              <w:jc w:val="center"/>
            </w:pPr>
            <w:r>
              <w:rPr>
                <w:rFonts w:ascii="Times New Roman" w:cs="Times New Roman" w:eastAsia="Times New Roman" w:hAnsi="Times New Roman"/>
                <w:sz w:val="24"/>
                <w:szCs w:val="24"/>
              </w:rPr>
              <w:t xml:space="preserve">2</w:t>
            </w:r>
          </w:p>
          <w:p>
            <w:pPr>
              <w:jc w:val="center"/>
            </w:pPr>
            <w:r>
              <w:rPr>
                <w:rFonts w:ascii="Times New Roman" w:cs="Times New Roman" w:eastAsia="Times New Roman" w:hAnsi="Times New Roman"/>
                <w:sz w:val="24"/>
                <w:szCs w:val="24"/>
              </w:rPr>
              <w:t xml:space="preserve">16</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w:t>
            </w:r>
          </w:p>
          <w:p>
            <w:pPr>
              <w:jc w:val="center"/>
            </w:pPr>
            <w:r>
              <w:rPr>
                <w:rFonts w:ascii="Times New Roman" w:cs="Times New Roman" w:eastAsia="Times New Roman" w:hAnsi="Times New Roman"/>
                <w:sz w:val="24"/>
                <w:szCs w:val="24"/>
              </w:rPr>
              <w:t xml:space="preserve">2</w:t>
            </w:r>
          </w:p>
          <w:p>
            <w:pPr>
              <w:jc w:val="center"/>
            </w:pPr>
            <w:r>
              <w:rPr>
                <w:rFonts w:ascii="Times New Roman" w:cs="Times New Roman" w:eastAsia="Times New Roman" w:hAnsi="Times New Roman"/>
                <w:sz w:val="24"/>
                <w:szCs w:val="24"/>
              </w:rPr>
              <w:t xml:space="preserve">15</w:t>
            </w:r>
          </w:p>
        </w:tc>
        <w:tc>
          <w:tcPr>
            <w:tcW w:type="dxa" w:w="7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.587</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1.59 [0.50, 5.04]</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1.76 [0.54, 5.75]</w:t>
            </w:r>
          </w:p>
        </w:tc>
      </w:tr>
      <w:tr>
        <w:trPr>
          <w:cantSplit/>
        </w:trPr>
        <w:tc>
          <w:tcPr>
            <w:tcW w:type="dxa" w:w="43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12. The team's lack of technical or behavioral preparation increases my stress level. †</w:t>
            </w:r>
          </w:p>
        </w:tc>
        <w:tc>
          <w:tcPr>
            <w:tcW w:type="dxa" w:w="14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disagree</w:t>
            </w:r>
          </w:p>
          <w:p>
            <w:pPr>
              <w:jc w:val="left"/>
            </w:pPr>
            <w:r>
              <w:rPr>
                <w:rFonts w:ascii="Times New Roman" w:cs="Times New Roman" w:eastAsia="Times New Roman" w:hAnsi="Times New Roman"/>
                <w:sz w:val="24"/>
                <w:szCs w:val="24"/>
              </w:rPr>
              <w:t xml:space="preserve">(2) neutral</w:t>
            </w:r>
          </w:p>
          <w:p>
            <w:pPr>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10</w:t>
            </w:r>
          </w:p>
          <w:p>
            <w:pPr>
              <w:jc w:val="center"/>
            </w:pPr>
            <w:r>
              <w:rPr>
                <w:rFonts w:ascii="Times New Roman" w:cs="Times New Roman" w:eastAsia="Times New Roman" w:hAnsi="Times New Roman"/>
                <w:sz w:val="24"/>
                <w:szCs w:val="24"/>
              </w:rPr>
              <w:t xml:space="preserve">3</w:t>
            </w:r>
          </w:p>
          <w:p>
            <w:pPr>
              <w:jc w:val="center"/>
            </w:pPr>
            <w:r>
              <w:rPr>
                <w:rFonts w:ascii="Times New Roman" w:cs="Times New Roman" w:eastAsia="Times New Roman" w:hAnsi="Times New Roman"/>
                <w:sz w:val="24"/>
                <w:szCs w:val="24"/>
              </w:rPr>
              <w:t xml:space="preserve">6</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12</w:t>
            </w:r>
          </w:p>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4</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11</w:t>
            </w:r>
          </w:p>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3</w:t>
            </w:r>
          </w:p>
        </w:tc>
        <w:tc>
          <w:tcPr>
            <w:tcW w:type="dxa" w:w="7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.677</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0.66 [0.21, 2.05]</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0.62 [0.20, 1.98]</w:t>
            </w:r>
          </w:p>
        </w:tc>
      </w:tr>
      <w:tr>
        <w:trPr>
          <w:cantSplit/>
        </w:trPr>
        <w:tc>
          <w:tcPr>
            <w:tcW w:type="dxa" w:w="43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8. I feel that my team depends excessively on me to solve simple problems (e.g., recurring questions that could be solved without direct supervision). †</w:t>
            </w:r>
          </w:p>
        </w:tc>
        <w:tc>
          <w:tcPr>
            <w:tcW w:type="dxa" w:w="14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disagree</w:t>
            </w:r>
          </w:p>
          <w:p>
            <w:pPr>
              <w:jc w:val="left"/>
            </w:pPr>
            <w:r>
              <w:rPr>
                <w:rFonts w:ascii="Times New Roman" w:cs="Times New Roman" w:eastAsia="Times New Roman" w:hAnsi="Times New Roman"/>
                <w:sz w:val="24"/>
                <w:szCs w:val="24"/>
              </w:rPr>
              <w:t xml:space="preserve">(2) neutral</w:t>
            </w:r>
          </w:p>
          <w:p>
            <w:pPr>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15</w:t>
            </w:r>
          </w:p>
          <w:p>
            <w:pPr>
              <w:jc w:val="center"/>
            </w:pPr>
            <w:r>
              <w:rPr>
                <w:rFonts w:ascii="Times New Roman" w:cs="Times New Roman" w:eastAsia="Times New Roman" w:hAnsi="Times New Roman"/>
                <w:sz w:val="24"/>
                <w:szCs w:val="24"/>
              </w:rPr>
              <w:t xml:space="preserve">3</w:t>
            </w:r>
          </w:p>
          <w:p>
            <w:pPr>
              <w:jc w:val="center"/>
            </w:pPr>
            <w:r>
              <w:rPr>
                <w:rFonts w:ascii="Times New Roman" w:cs="Times New Roman" w:eastAsia="Times New Roman" w:hAnsi="Times New Roman"/>
                <w:sz w:val="24"/>
                <w:szCs w:val="24"/>
              </w:rPr>
              <w:t xml:space="preserve">2</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14</w:t>
            </w:r>
          </w:p>
          <w:p>
            <w:pPr>
              <w:jc w:val="center"/>
            </w:pPr>
            <w:r>
              <w:rPr>
                <w:rFonts w:ascii="Times New Roman" w:cs="Times New Roman" w:eastAsia="Times New Roman" w:hAnsi="Times New Roman"/>
                <w:sz w:val="24"/>
                <w:szCs w:val="24"/>
              </w:rPr>
              <w:t xml:space="preserve">5</w:t>
            </w:r>
          </w:p>
          <w:p>
            <w:pPr>
              <w:jc w:val="center"/>
            </w:pPr>
            <w:r>
              <w:rPr>
                <w:rFonts w:ascii="Times New Roman" w:cs="Times New Roman" w:eastAsia="Times New Roman" w:hAnsi="Times New Roman"/>
                <w:sz w:val="24"/>
                <w:szCs w:val="24"/>
              </w:rPr>
              <w:t xml:space="preserve">3</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12</w:t>
            </w:r>
          </w:p>
          <w:p>
            <w:pPr>
              <w:jc w:val="center"/>
            </w:pPr>
            <w:r>
              <w:rPr>
                <w:rFonts w:ascii="Times New Roman" w:cs="Times New Roman" w:eastAsia="Times New Roman" w:hAnsi="Times New Roman"/>
                <w:sz w:val="24"/>
                <w:szCs w:val="24"/>
              </w:rPr>
              <w:t xml:space="preserve">2</w:t>
            </w:r>
          </w:p>
          <w:p>
            <w:pPr>
              <w:jc w:val="center"/>
            </w:pPr>
            <w:r>
              <w:rPr>
                <w:rFonts w:ascii="Times New Roman" w:cs="Times New Roman" w:eastAsia="Times New Roman" w:hAnsi="Times New Roman"/>
                <w:sz w:val="24"/>
                <w:szCs w:val="24"/>
              </w:rPr>
              <w:t xml:space="preserve">4</w:t>
            </w:r>
          </w:p>
        </w:tc>
        <w:tc>
          <w:tcPr>
            <w:tcW w:type="dxa" w:w="7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.812</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1.43 [0.48, 4.26]</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1.27 [0.38, 4.30]</w:t>
            </w:r>
          </w:p>
        </w:tc>
      </w:tr>
      <w:tr>
        <w:trPr>
          <w:cantSplit/>
        </w:trPr>
        <w:tc>
          <w:tcPr>
            <w:tcW w:type="dxa" w:w="430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left"/>
            </w:pPr>
            <w:r>
              <w:rPr>
                <w:rFonts w:ascii="Times New Roman" w:cs="Times New Roman" w:eastAsia="Times New Roman" w:hAnsi="Times New Roman"/>
                <w:sz w:val="24"/>
                <w:szCs w:val="24"/>
              </w:rPr>
              <w:t xml:space="preserve">14. I receive feedback and support from senior management when needed.</w:t>
            </w:r>
          </w:p>
        </w:tc>
        <w:tc>
          <w:tcPr>
            <w:tcW w:type="dxa" w:w="140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left"/>
            </w:pPr>
            <w:r>
              <w:rPr>
                <w:rFonts w:ascii="Times New Roman" w:cs="Times New Roman" w:eastAsia="Times New Roman" w:hAnsi="Times New Roman"/>
                <w:sz w:val="24"/>
                <w:szCs w:val="24"/>
              </w:rPr>
              <w:t xml:space="preserve">(1) disagree</w:t>
            </w:r>
          </w:p>
          <w:p>
            <w:pPr>
              <w:jc w:val="left"/>
            </w:pPr>
            <w:r>
              <w:rPr>
                <w:rFonts w:ascii="Times New Roman" w:cs="Times New Roman" w:eastAsia="Times New Roman" w:hAnsi="Times New Roman"/>
                <w:sz w:val="24"/>
                <w:szCs w:val="24"/>
              </w:rPr>
              <w:t xml:space="preserve">(2) neutral</w:t>
            </w:r>
          </w:p>
          <w:p>
            <w:pPr>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11</w:t>
            </w:r>
          </w:p>
        </w:tc>
        <w:tc>
          <w:tcPr>
            <w:tcW w:type="dxa" w:w="125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center"/>
            </w:pPr>
            <w:r>
              <w:rPr>
                <w:rFonts w:ascii="Times New Roman" w:cs="Times New Roman" w:eastAsia="Times New Roman" w:hAnsi="Times New Roman"/>
                <w:sz w:val="24"/>
                <w:szCs w:val="24"/>
              </w:rPr>
              <w:t xml:space="preserve">6</w:t>
            </w:r>
          </w:p>
          <w:p>
            <w:pPr>
              <w:jc w:val="center"/>
            </w:pPr>
            <w:r>
              <w:rPr>
                <w:rFonts w:ascii="Times New Roman" w:cs="Times New Roman" w:eastAsia="Times New Roman" w:hAnsi="Times New Roman"/>
                <w:sz w:val="24"/>
                <w:szCs w:val="24"/>
              </w:rPr>
              <w:t xml:space="preserve">1</w:t>
            </w:r>
          </w:p>
          <w:p>
            <w:pPr>
              <w:jc w:val="center"/>
            </w:pPr>
            <w:r>
              <w:rPr>
                <w:rFonts w:ascii="Times New Roman" w:cs="Times New Roman" w:eastAsia="Times New Roman" w:hAnsi="Times New Roman"/>
                <w:sz w:val="24"/>
                <w:szCs w:val="24"/>
              </w:rPr>
              <w:t xml:space="preserve">13</w:t>
            </w:r>
          </w:p>
        </w:tc>
        <w:tc>
          <w:tcPr>
            <w:tcW w:type="dxa" w:w="125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center"/>
            </w:pPr>
            <w:r>
              <w:rPr>
                <w:rFonts w:ascii="Times New Roman" w:cs="Times New Roman" w:eastAsia="Times New Roman" w:hAnsi="Times New Roman"/>
                <w:sz w:val="24"/>
                <w:szCs w:val="24"/>
              </w:rPr>
              <w:t xml:space="preserve">3</w:t>
            </w:r>
          </w:p>
          <w:p>
            <w:pPr>
              <w:jc w:val="center"/>
            </w:pPr>
            <w:r>
              <w:rPr>
                <w:rFonts w:ascii="Times New Roman" w:cs="Times New Roman" w:eastAsia="Times New Roman" w:hAnsi="Times New Roman"/>
                <w:sz w:val="24"/>
                <w:szCs w:val="24"/>
              </w:rPr>
              <w:t xml:space="preserve">5</w:t>
            </w:r>
          </w:p>
          <w:p>
            <w:pPr>
              <w:jc w:val="center"/>
            </w:pPr>
            <w:r>
              <w:rPr>
                <w:rFonts w:ascii="Times New Roman" w:cs="Times New Roman" w:eastAsia="Times New Roman" w:hAnsi="Times New Roman"/>
                <w:sz w:val="24"/>
                <w:szCs w:val="24"/>
              </w:rPr>
              <w:t xml:space="preserve">10</w:t>
            </w:r>
          </w:p>
        </w:tc>
        <w:tc>
          <w:tcPr>
            <w:tcW w:type="dxa" w:w="70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center"/>
            </w:pPr>
            <w:r>
              <w:rPr>
                <w:rFonts w:ascii="Times New Roman" w:cs="Times New Roman" w:eastAsia="Times New Roman" w:hAnsi="Times New Roman"/>
                <w:sz w:val="24"/>
                <w:szCs w:val="24"/>
              </w:rPr>
              <w:t xml:space="preserve">.822</w:t>
            </w:r>
          </w:p>
        </w:tc>
        <w:tc>
          <w:tcPr>
            <w:tcW w:type="dxa" w:w="190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center"/>
            </w:pPr>
            <w:r>
              <w:rPr>
                <w:rFonts w:ascii="Times New Roman" w:cs="Times New Roman" w:eastAsia="Times New Roman" w:hAnsi="Times New Roman"/>
                <w:sz w:val="24"/>
                <w:szCs w:val="24"/>
              </w:rPr>
              <w:t xml:space="preserve">1.19 [0.38, 3.72]</w:t>
            </w:r>
          </w:p>
        </w:tc>
        <w:tc>
          <w:tcPr>
            <w:tcW w:type="dxa" w:w="190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center"/>
            </w:pPr>
            <w:r>
              <w:rPr>
                <w:rFonts w:ascii="Times New Roman" w:cs="Times New Roman" w:eastAsia="Times New Roman" w:hAnsi="Times New Roman"/>
                <w:sz w:val="24"/>
                <w:szCs w:val="24"/>
              </w:rPr>
              <w:t xml:space="preserve">1.45 [0.45, 4.70]</w:t>
            </w:r>
          </w:p>
        </w:tc>
      </w:tr>
    </w:tbl>
    <w:p>
      <w:pPr>
        <w:spacing w:after="120" w:before="60"/>
      </w:pPr>
      <w:r>
        <w:rPr>
          <w:rFonts w:ascii="Times New Roman" w:cs="Times New Roman" w:eastAsia="Times New Roman" w:hAnsi="Times New Roman"/>
          <w:i/>
          <w:iCs/>
          <w:sz w:val="24"/>
          <w:szCs w:val="24"/>
        </w:rPr>
        <w:t xml:space="preserve">Note.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 odds ratio;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 = confidence interval.</w:t>
      </w:r>
    </w:p>
    <w:p>
      <w:pPr>
        <w:sectPr>
          <w:headerReference w:type="default" r:id="rId8"/>
          <w:pgSz w:w="16838" w:h="11906" w:orient="landscape"/>
          <w:pgMar w:top="1440" w:right="1440" w:bottom="1440" w:left="1440" w:header="708" w:footer="708" w:gutter="0"/>
          <w:pgNumType/>
          <w:docGrid w:linePitch="360"/>
        </w:sectPr>
      </w:pPr>
    </w:p>
    <w:p>
      <w:pPr>
        <w:keepNext/>
        <w:spacing w:line="480"/>
      </w:pPr>
      <w:r>
        <w:rPr>
          <w:rFonts w:ascii="Times New Roman" w:cs="Times New Roman" w:eastAsia="Times New Roman" w:hAnsi="Times New Roman"/>
          <w:b/>
          <w:bCs/>
          <w:sz w:val="24"/>
          <w:szCs w:val="24"/>
        </w:rPr>
        <w:t xml:space="preserve">Employees</w:t>
      </w:r>
    </w:p>
    <w:p>
      <w:pPr>
        <w:spacing w:after="0" w:line="480"/>
        <w:ind w:firstLine="720"/>
      </w:pPr>
      <w:r>
        <w:rPr>
          <w:rFonts w:ascii="Times New Roman" w:cs="Times New Roman" w:eastAsia="Times New Roman" w:hAnsi="Times New Roman"/>
          <w:sz w:val="24"/>
          <w:szCs w:val="24"/>
        </w:rPr>
        <w:t xml:space="preserve">Two of the 38 employee items changed between waves (Supplementary Table S1). The share answering often or always to freedom to organize one’s activities fell from 87% at T1 to 75% at T2 (</w:t>
      </w: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 0.52, 95%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 [0.31, 0.87],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.012). For encouragement to use creativity and knowledge, it fell from 77% to 71% (</w:t>
      </w: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 0.54, 95%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 [0.33, 0.90],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.017). The other 36 items did not change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from .064 to .934). Across leaders and employees, 2 of 46 tests had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w:t>
      </w:r>
    </w:p>
    <w:p>
      <w:pPr>
        <w:spacing w:after="0" w:line="480"/>
        <w:ind w:firstLine="720"/>
      </w:pPr>
      <w:r>
        <w:rPr>
          <w:rFonts w:ascii="Times New Roman" w:cs="Times New Roman" w:eastAsia="Times New Roman" w:hAnsi="Times New Roman"/>
          <w:sz w:val="24"/>
          <w:szCs w:val="24"/>
        </w:rPr>
        <w:t xml:space="preserve">Figure 1 shows the percentage of employees answering often or always to each item, grouped into symptoms and emotional regulation (items 1 to 30), satisfaction with oneself (item 31) and psychosocial work factors (items 32 to 47). This percentage was lower at T2 than at T1 for 18 of the 20 symptom risk items, with the largest difference for difficulty sleeping (28% to 14%;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.160). Among the 14 work factor items, it was lower at T2 for 8 items and higher for 6 items.</w:t>
      </w:r>
    </w:p>
    <w:p>
      <w:pPr>
        <w:keepNext/>
        <w:spacing w:before="240"/>
      </w:pPr>
      <w:r>
        <w:rPr>
          <w:rFonts w:ascii="Times New Roman" w:cs="Times New Roman" w:eastAsia="Times New Roman" w:hAnsi="Times New Roman"/>
          <w:b/>
          <w:bCs/>
          <w:sz w:val="24"/>
          <w:szCs w:val="24"/>
        </w:rPr>
        <w:t xml:space="preserve">Figure 1</w:t>
      </w:r>
    </w:p>
    <w:p>
      <w:pPr>
        <w:keepNext/>
        <w:spacing w:after="120"/>
      </w:pPr>
      <w:r>
        <w:rPr>
          <w:rFonts w:ascii="Times New Roman" w:cs="Times New Roman" w:eastAsia="Times New Roman" w:hAnsi="Times New Roman"/>
          <w:i/>
          <w:iCs/>
          <w:sz w:val="24"/>
          <w:szCs w:val="24"/>
        </w:rPr>
        <w:t xml:space="preserve">Percentage of Employees Answering Often or Always to Each Stable Item by Wave</w:t>
      </w:r>
    </w:p>
    <w:p>
      <w:pPr>
        <w:spacing w:after="120" w:before="120"/>
        <w:jc w:val="center"/>
      </w:pPr>
      <w:r>
        <w:drawing>
          <wp:inline distT="0" distB="0" distL="0" distR="0">
            <wp:extent cx="4648200" cy="581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48200" cy="5810250"/>
                    </a:xfrm>
                    <a:prstGeom prst="rect">
                      <a:avLst/>
                    </a:prstGeom>
                  </pic:spPr>
                </pic:pic>
              </a:graphicData>
            </a:graphic>
          </wp:inline>
        </w:drawing>
      </w:r>
    </w:p>
    <w:p>
      <w:pPr>
        <w:keepNext/>
        <w:spacing w:before="240" w:line="480"/>
        <w:jc w:val="center"/>
      </w:pPr>
      <w:r>
        <w:rPr>
          <w:rFonts w:ascii="Times New Roman" w:cs="Times New Roman" w:eastAsia="Times New Roman" w:hAnsi="Times New Roman"/>
          <w:b/>
          <w:bCs/>
          <w:sz w:val="24"/>
          <w:szCs w:val="24"/>
        </w:rPr>
        <w:t xml:space="preserve">Discussion</w:t>
      </w:r>
    </w:p>
    <w:p>
      <w:pPr>
        <w:spacing w:after="0" w:line="480"/>
        <w:ind w:firstLine="720"/>
      </w:pPr>
      <w:r>
        <w:rPr>
          <w:rFonts w:ascii="Times New Roman" w:cs="Times New Roman" w:eastAsia="Times New Roman" w:hAnsi="Times New Roman"/>
          <w:sz w:val="24"/>
          <w:szCs w:val="24"/>
        </w:rPr>
        <w:t xml:space="preserve">Companies subject to NR-1 need to know whether the psychosocial risk indicators they collect remain stable between assessments. This brief report described these indicators across anonymous monitoring waves in two Brazilian companies. As expected, most indicators were stable. No leader item changed over three waves, and 36 of 38 employee items did not change between two waves. The two changes were decreases in job resources related to autonomy.</w:t>
      </w:r>
    </w:p>
    <w:p>
      <w:pPr>
        <w:spacing w:after="0" w:line="480"/>
        <w:ind w:firstLine="720"/>
      </w:pPr>
      <w:r>
        <w:rPr>
          <w:rFonts w:ascii="Times New Roman" w:cs="Times New Roman" w:eastAsia="Times New Roman" w:hAnsi="Times New Roman"/>
          <w:sz w:val="24"/>
          <w:szCs w:val="24"/>
        </w:rPr>
        <w:t xml:space="preserve">The predominance of stability is consistent with our expectation and with the view of psychosocial risk factors as conditions of work design, organization and management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"AGEM23", "properties": {"formattedCitation": "(International Organization for Standardization, 2021; Teixeira et al., 2025)", "plainCitation": "(International Organization for Standardization, 2021; Teixeira et al., 2025)", "noteIndex": 0}, "citationItems": [{"id": "iso", "uris": ["http://zotero.org/users/local/agemts/items/ISO"], "itemData": {"id": "iso", "type": "standard", "author": [{"literal": "International Organization for Standardization"}], "title": "Occupational health and safety management: Psychological health and safety at work: Guidelines for managing psychosocial risks (ISO Standard No. 45003:2021)", "publisher": "ISO", "publisher-place": "Geneva", "issued": {"date-parts": [[2021]]}, "URL": "https://www.iso.org/standard/64283.html"}}, {"id": "teixeira", "uris": ["http://zotero.org/users/local/agemts/items/TEIXEIRA"], "itemData": {"id": "teixeira", "type": "article-journal", "author": [{"family": "Teixeira", "given": "IDN"}, {"family": "Silva", "given": "IS"}, {"family": "Cadime", "given": "IMD"}], "title": "Psychosocial risks at work: integrative review and conceptual perspectives", "container-title": "Revista Brasileira de Medicina do Trabalho", "container-title-short": "Rev Bras Med Trab", "issued": {"date-parts": [[2025]]}, "volume": "23", "issue": "2", "page": "e20251464", "DOI": "10.47626/1679-4435-2025-1464"}}],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(International Organization for Standardization, 2021; Teixeira et al., 2025)</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Scales of psychosocial work factors have shown acceptable test retest reliability among Brazilian workers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"AGEM24", "properties": {"formattedCitation": "(Gonçalves et al., 2021)", "plainCitation": "(Gonçalves et al., 2021)", "noteIndex": 0}, "citationItems": [{"id": "goncalves", "uris": ["http://zotero.org/users/local/agemts/items/GONCALVES"], "itemData": {"type": "article-journal", "author": [{"family": "Gonçalves", "given": "JS"}, {"family": "Moriguchi", "given": "CS"}, {"family": "Chaves", "given": "TC"}, {"family": "Sato", "given": "TO"}], "title": "Cross-cultural adaptation and psychometric properties of the short version of COPSOQ II-Brazil", "container-title": "Revista de Saúde Pública", "issued": {"date-parts": [[2021]]}, "volume": "55", "page": "69", "DOI": "10.11606/s1518-8787.2021055003123", "PMID": "34706043", "id": "goncalves"}}],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(Gonçalves et al., 2021)</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so stable responses are expected when working conditions do not change. Two significant results among 46 tests is close to the 2.3 expected by chance at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 .05. In a prospective cohort, persistent low job control showed a stronger association with later major depression than intermittent low job control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"AGEM25", "properties": {"formattedCitation": "(Taouk et al., 2024)", "plainCitation": "(Taouk et al., 2024)", "noteIndex": 0}, "citationItems": [{"id": "taouk", "uris": ["http://zotero.org/users/local/agemts/items/TAOUK"], "itemData": {"type": "article-journal", "author": [{"family": "Taouk", "given": "Y"}, {"family": "Aitken", "given": "Z"}, {"family": "LaMontagne", "given": "AD"}, {"family": "King", "given": "T"}], "title": "Persistent low job control and subsequent major depression: a prospective cohort study of Australian working males", "container-title": "Social Science &amp; Medicine", "issued": {"date-parts": [[2024]]}, "volume": "359", "page": "117283", "DOI": "10.1016/j.socscimed.2024.117283", "PMID": "39232379", "id": "taouk"}}],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(Taouk et al., 2024)</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A short reduction in autonomy may therefore not be reflected in symptoms within a few months, which is consistent with the absence of change in the symptom items.</w:t>
      </w:r>
    </w:p>
    <w:p>
      <w:pPr>
        <w:spacing w:after="0" w:line="480"/>
        <w:ind w:firstLine="720"/>
      </w:pPr>
      <w:r>
        <w:rPr>
          <w:rFonts w:ascii="Times New Roman" w:cs="Times New Roman" w:eastAsia="Times New Roman" w:hAnsi="Times New Roman"/>
          <w:sz w:val="24"/>
          <w:szCs w:val="24"/>
        </w:rPr>
        <w:t xml:space="preserve">The data also show three requirements for monitoring under NR-1. First, item wording must be fixed before the first wave, because changes between forms removed 12 of the 20 leader items from the comparison. Second, anonymous responses need a linking code, because without one changes in the composition of the workforce cannot be separated from changes within workers. Third, samples of about 20 leaders per wave yield odds ratio intervals too wide to detect anything but large shifts.</w:t>
      </w:r>
    </w:p>
    <w:p>
      <w:pPr>
        <w:keepNext/>
        <w:spacing w:line="480"/>
      </w:pPr>
      <w:r>
        <w:rPr>
          <w:rFonts w:ascii="Times New Roman" w:cs="Times New Roman" w:eastAsia="Times New Roman" w:hAnsi="Times New Roman"/>
          <w:b/>
          <w:bCs/>
          <w:sz w:val="24"/>
          <w:szCs w:val="24"/>
        </w:rPr>
        <w:t xml:space="preserve">Limitations</w:t>
      </w:r>
    </w:p>
    <w:p>
      <w:pPr>
        <w:spacing w:after="0" w:line="480"/>
        <w:ind w:firstLine="720"/>
      </w:pPr>
      <w:r>
        <w:rPr>
          <w:rFonts w:ascii="Times New Roman" w:cs="Times New Roman" w:eastAsia="Times New Roman" w:hAnsi="Times New Roman"/>
          <w:sz w:val="24"/>
          <w:szCs w:val="24"/>
        </w:rPr>
        <w:t xml:space="preserve">Responses could not be linked across waves, and the share of employees with less than one year in their company rose from 61.8% to 69.0%, so turnover may have contributed to the results. The leader samples were small, and the internal consistency of the leader items was low and unstable. The items have not been validated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"AGEM26", "properties": {"formattedCitation": "(Lima et al., 2026)", "plainCitation": "(Lima et al., 2026)", "noteIndex": 0}, "citationItems": [{"id": "lima", "uris": ["http://zotero.org/users/local/agemts/items/LIMA"], "itemData": {"type": "manuscript", "author": [{"family": "Lima", "given": "AT"}, {"family": "Haas", "given": "D"}, {"family": "Torreão", "given": "S"}, {"family": "Schiffer", "given": "H"}, {"family": "Anunciação", "given": "L"}], "title": "Psychosocial work factors and mental health symptoms under NR-1: a feasibility study", "genre": "Manuscript submitted for publication", "publisher": "Departamento de Psicologia, Pontifícia Universidade Católica do Rio de Janeiro", "issued": {"date-parts": [[2026]]}, "id": "lima"}}],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(Lima et al., 2026)</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and the proportional odds assumption was not tested. The program delivered between waves and the absence of a comparison group prevent any causal interpretation. All data were self reported, which exposes the comparisons to common method bias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"AGEM27", "properties": {"formattedCitation": "(Podsakoff et al., 2003)", "plainCitation": "(Podsakoff et al., 2003)", "noteIndex": 0}, "citationItems": [{"id": "podsakoff", "uris": ["http://zotero.org/users/local/agemts/items/PODSAKOFF"], "itemData": {"id": "podsakoff", "type": "article-journal", "author": [{"family": "Podsakoff", "given": "PM"}, {"family": "MacKenzie", "given": "SB"}, {"family": "Lee", "given": "JY"}, {"family": "Podsakoff", "given": "NP"}], "title": "Common method biases in behavioral research: a critical review of the literature and recommended remedies", "container-title": "Journal of Applied Psychology", "container-title-short": "J Appl Psychol", "issued": {"date-parts": [[2003]]}, "volume": "88", "issue": "5", "page": "879-903", "DOI": "10.1037/0021-9010.88.5.879"}}],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(Podsakoff et al., 2003)</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For these reasons, the results should be regarded as preliminary.</w:t>
      </w:r>
    </w:p>
    <w:p>
      <w:pPr>
        <w:keepNext/>
        <w:spacing w:line="480"/>
      </w:pPr>
      <w:r>
        <w:rPr>
          <w:rFonts w:ascii="Times New Roman" w:cs="Times New Roman" w:eastAsia="Times New Roman" w:hAnsi="Times New Roman"/>
          <w:b/>
          <w:bCs/>
          <w:sz w:val="24"/>
          <w:szCs w:val="24"/>
        </w:rPr>
        <w:t xml:space="preserve">Future Directions and Conclusion</w:t>
      </w:r>
    </w:p>
    <w:p>
      <w:pPr>
        <w:spacing w:after="0" w:line="480"/>
        <w:ind w:firstLine="720"/>
      </w:pPr>
      <w:r>
        <w:rPr>
          <w:rFonts w:ascii="Times New Roman" w:cs="Times New Roman" w:eastAsia="Times New Roman" w:hAnsi="Times New Roman"/>
          <w:sz w:val="24"/>
          <w:szCs w:val="24"/>
        </w:rPr>
        <w:t xml:space="preserve">Future monitoring should fix item wording, use anonymous linking codes, include more waves and companies, and use validated scales. In this preliminary report, psychosocial risk indicators among leaders and employees of two Brazilian companies were largely stable over four to eight months, as expected given the short interval.</w:t>
      </w:r>
    </w:p>
    <w:p>
      <w:pPr>
        <w:keepNext/>
        <w:spacing w:before="240" w:line="480"/>
        <w:jc w:val="center"/>
      </w:pPr>
      <w:r>
        <w:rPr>
          <w:rFonts w:ascii="Times New Roman" w:cs="Times New Roman" w:eastAsia="Times New Roman" w:hAnsi="Times New Roman"/>
          <w:b/>
          <w:bCs/>
          <w:sz w:val="24"/>
          <w:szCs w:val="24"/>
        </w:rPr>
        <w:t xml:space="preserve">References</w:t>
      </w:r>
    </w:p>
    <w:p>
      <w:pPr>
        <w:spacing w:line="480"/>
        <w:ind w:left="720" w:hanging="720"/>
      </w:pP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ZOTERO_BIBL {"uncited":[],"omitted":[],"custom":[]} CSL_BIBLIOGRAPHY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Aust, B., Møller, J. L., Nordentoft, M., Frydendall, K. B., Bengtsen, E., Jensen, A. B., Garde, A. H., Kompier, M., Semmer, N., Rugulies, R., &amp; Jaspers, S. Ø. (2023). How effective are organizational-level interventions in improving the psychosocial work environment, health, and retention of workers? A systematic overview of systematic reviews. </w:t>
      </w:r>
      <w:r>
        <w:rPr>
          <w:rFonts w:ascii="Times New Roman" w:cs="Times New Roman" w:eastAsia="Times New Roman" w:hAnsi="Times New Roman"/>
          <w:i/>
          <w:iCs/>
          <w:sz w:val="24"/>
          <w:szCs w:val="24"/>
        </w:rPr>
        <w:t xml:space="preserve">Scandinavian Journal of Work, Environment &amp; Health, 49</w:t>
      </w:r>
      <w:r>
        <w:rPr>
          <w:rFonts w:ascii="Times New Roman" w:cs="Times New Roman" w:eastAsia="Times New Roman" w:hAnsi="Times New Roman"/>
          <w:sz w:val="24"/>
          <w:szCs w:val="24"/>
        </w:rPr>
        <w:t xml:space="preserve">(5), 315–329. https://doi.org/10.5271/sjweh.4097</w:t>
      </w:r>
    </w:p>
    <w:p>
      <w:pPr>
        <w:spacing w:line="480"/>
        <w:ind w:left="720" w:hanging="720"/>
      </w:pPr>
      <w:r>
        <w:rPr>
          <w:rFonts w:ascii="Times New Roman" w:cs="Times New Roman" w:eastAsia="Times New Roman" w:hAnsi="Times New Roman"/>
          <w:sz w:val="24"/>
          <w:szCs w:val="24"/>
        </w:rPr>
        <w:t xml:space="preserve">Bakker, A. B., &amp; Demerouti, E. (2007). The Job Demands-Resources model: State of the art. </w:t>
      </w:r>
      <w:r>
        <w:rPr>
          <w:rFonts w:ascii="Times New Roman" w:cs="Times New Roman" w:eastAsia="Times New Roman" w:hAnsi="Times New Roman"/>
          <w:i/>
          <w:iCs/>
          <w:sz w:val="24"/>
          <w:szCs w:val="24"/>
        </w:rPr>
        <w:t xml:space="preserve">Journal of Managerial Psychology, 22</w:t>
      </w:r>
      <w:r>
        <w:rPr>
          <w:rFonts w:ascii="Times New Roman" w:cs="Times New Roman" w:eastAsia="Times New Roman" w:hAnsi="Times New Roman"/>
          <w:sz w:val="24"/>
          <w:szCs w:val="24"/>
        </w:rPr>
        <w:t xml:space="preserve">(3), 309–328. https://doi.org/10.1108/02683940710733115</w:t>
      </w:r>
    </w:p>
    <w:p>
      <w:pPr>
        <w:spacing w:line="480"/>
        <w:ind w:left="720" w:hanging="720"/>
      </w:pPr>
      <w:r>
        <w:rPr>
          <w:rFonts w:ascii="Times New Roman" w:cs="Times New Roman" w:eastAsia="Times New Roman" w:hAnsi="Times New Roman"/>
          <w:sz w:val="24"/>
          <w:szCs w:val="24"/>
        </w:rPr>
        <w:t xml:space="preserve">Bouzada, D. F., Sol, N. A. A., &amp; da Silva, C. A. M. (2023). Absenteeism due to mental and behavioral disorder in employees of a federal university. </w:t>
      </w:r>
      <w:r>
        <w:rPr>
          <w:rFonts w:ascii="Times New Roman" w:cs="Times New Roman" w:eastAsia="Times New Roman" w:hAnsi="Times New Roman"/>
          <w:i/>
          <w:iCs/>
          <w:sz w:val="24"/>
          <w:szCs w:val="24"/>
        </w:rPr>
        <w:t xml:space="preserve">Revista Brasileira de Medicina do Trabalho, 20</w:t>
      </w:r>
      <w:r>
        <w:rPr>
          <w:rFonts w:ascii="Times New Roman" w:cs="Times New Roman" w:eastAsia="Times New Roman" w:hAnsi="Times New Roman"/>
          <w:sz w:val="24"/>
          <w:szCs w:val="24"/>
        </w:rPr>
        <w:t xml:space="preserve">(4), 515–523. https://doi.org/10.47626/1679-4435-2022-763</w:t>
      </w:r>
    </w:p>
    <w:p>
      <w:pPr>
        <w:spacing w:line="480"/>
        <w:ind w:left="720" w:hanging="720"/>
      </w:pPr>
      <w:r>
        <w:rPr>
          <w:rFonts w:ascii="Times New Roman" w:cs="Times New Roman" w:eastAsia="Times New Roman" w:hAnsi="Times New Roman"/>
          <w:sz w:val="24"/>
          <w:szCs w:val="24"/>
        </w:rPr>
        <w:t xml:space="preserve">Burr, H., Kersten, N., Sørensen, K., Sørensen, J. K., Dalsager, L., Madsen, I. E. H., Schöllgen, I., d’Errico, A., Rose, U., &amp; Rugulies, R. (2025). A comparison among employees in Germany and Denmark of associations between quality of leadership and subsequent 5-year development of mental distress. </w:t>
      </w:r>
      <w:r>
        <w:rPr>
          <w:rFonts w:ascii="Times New Roman" w:cs="Times New Roman" w:eastAsia="Times New Roman" w:hAnsi="Times New Roman"/>
          <w:i/>
          <w:iCs/>
          <w:sz w:val="24"/>
          <w:szCs w:val="24"/>
        </w:rPr>
        <w:t xml:space="preserve">Scientific Reports, 15</w:t>
      </w:r>
      <w:r>
        <w:rPr>
          <w:rFonts w:ascii="Times New Roman" w:cs="Times New Roman" w:eastAsia="Times New Roman" w:hAnsi="Times New Roman"/>
          <w:sz w:val="24"/>
          <w:szCs w:val="24"/>
        </w:rPr>
        <w:t xml:space="preserve">(1), 7802. https://doi.org/10.1038/s41598-025-92650-0</w:t>
      </w:r>
    </w:p>
    <w:p>
      <w:pPr>
        <w:spacing w:line="480"/>
        <w:ind w:left="720" w:hanging="720"/>
      </w:pPr>
      <w:r>
        <w:rPr>
          <w:rFonts w:ascii="Times New Roman" w:cs="Times New Roman" w:eastAsia="Times New Roman" w:hAnsi="Times New Roman"/>
          <w:sz w:val="24"/>
          <w:szCs w:val="24"/>
        </w:rPr>
        <w:t xml:space="preserve">Conselho Nacional de Saúde. (2016). </w:t>
      </w:r>
      <w:r>
        <w:rPr>
          <w:rFonts w:ascii="Times New Roman" w:cs="Times New Roman" w:eastAsia="Times New Roman" w:hAnsi="Times New Roman"/>
          <w:i/>
          <w:iCs/>
          <w:sz w:val="24"/>
          <w:szCs w:val="24"/>
        </w:rPr>
        <w:t xml:space="preserve">Resolução nº 510, de 7 de abril de 2016. Dispõe sobre as normas aplicáveis a pesquisas em Ciências Humanas e Sociais.</w:t>
      </w:r>
      <w:r>
        <w:rPr>
          <w:rFonts w:ascii="Times New Roman" w:cs="Times New Roman" w:eastAsia="Times New Roman" w:hAnsi="Times New Roman"/>
          <w:sz w:val="24"/>
          <w:szCs w:val="24"/>
        </w:rPr>
        <w:t xml:space="preserve"> Diário Oficial da União. https://bvsms.saude.gov.br/bvs/saudelegis/cns/2016/res0510_07_04_2016.html</w:t>
      </w:r>
    </w:p>
    <w:p>
      <w:pPr>
        <w:spacing w:line="480"/>
        <w:ind w:left="720" w:hanging="720"/>
      </w:pPr>
      <w:r>
        <w:rPr>
          <w:rFonts w:ascii="Times New Roman" w:cs="Times New Roman" w:eastAsia="Times New Roman" w:hAnsi="Times New Roman"/>
          <w:sz w:val="24"/>
          <w:szCs w:val="24"/>
        </w:rPr>
        <w:t xml:space="preserve">de Lucca, S. R., Silva Junior, J. S., &amp; Bandini, M. (2025). Critical analysis of psychosocial factors at work within the Risk Management Program of Regulatory Standard-1. </w:t>
      </w:r>
      <w:r>
        <w:rPr>
          <w:rFonts w:ascii="Times New Roman" w:cs="Times New Roman" w:eastAsia="Times New Roman" w:hAnsi="Times New Roman"/>
          <w:i/>
          <w:iCs/>
          <w:sz w:val="24"/>
          <w:szCs w:val="24"/>
        </w:rPr>
        <w:t xml:space="preserve">Revista Brasileira de Medicina do Trabalho, 23</w:t>
      </w:r>
      <w:r>
        <w:rPr>
          <w:rFonts w:ascii="Times New Roman" w:cs="Times New Roman" w:eastAsia="Times New Roman" w:hAnsi="Times New Roman"/>
          <w:sz w:val="24"/>
          <w:szCs w:val="24"/>
        </w:rPr>
        <w:t xml:space="preserve">(1), e20251425. https://doi.org/10.47626/1679-4435-2025-1425</w:t>
      </w:r>
    </w:p>
    <w:p>
      <w:pPr>
        <w:spacing w:line="480"/>
        <w:ind w:left="720" w:hanging="720"/>
      </w:pPr>
      <w:r>
        <w:rPr>
          <w:rFonts w:ascii="Times New Roman" w:cs="Times New Roman" w:eastAsia="Times New Roman" w:hAnsi="Times New Roman"/>
          <w:sz w:val="24"/>
          <w:szCs w:val="24"/>
        </w:rPr>
        <w:t xml:space="preserve">Demerouti, E., Bakker, A. B., Nachreiner, F., &amp; Schaufeli, W. B. (2001). The job demands-resources model of burnout. </w:t>
      </w:r>
      <w:r>
        <w:rPr>
          <w:rFonts w:ascii="Times New Roman" w:cs="Times New Roman" w:eastAsia="Times New Roman" w:hAnsi="Times New Roman"/>
          <w:i/>
          <w:iCs/>
          <w:sz w:val="24"/>
          <w:szCs w:val="24"/>
        </w:rPr>
        <w:t xml:space="preserve">Journal of Applied Psychology, 86</w:t>
      </w:r>
      <w:r>
        <w:rPr>
          <w:rFonts w:ascii="Times New Roman" w:cs="Times New Roman" w:eastAsia="Times New Roman" w:hAnsi="Times New Roman"/>
          <w:sz w:val="24"/>
          <w:szCs w:val="24"/>
        </w:rPr>
        <w:t xml:space="preserve">(3), 499–512. https://doi.org/10.1037/0021-9010.86.3.499</w:t>
      </w:r>
    </w:p>
    <w:p>
      <w:pPr>
        <w:spacing w:line="480"/>
        <w:ind w:left="720" w:hanging="720"/>
      </w:pPr>
      <w:r>
        <w:rPr>
          <w:rFonts w:ascii="Times New Roman" w:cs="Times New Roman" w:eastAsia="Times New Roman" w:hAnsi="Times New Roman"/>
          <w:sz w:val="24"/>
          <w:szCs w:val="24"/>
        </w:rPr>
        <w:t xml:space="preserve">Fløvik, L., Knardahl, S., &amp; Christensen, J. O. (2020). How leadership behaviors influence the effects of job predictability and perceived employability on employee mental health: A multilevel, prospective study. </w:t>
      </w:r>
      <w:r>
        <w:rPr>
          <w:rFonts w:ascii="Times New Roman" w:cs="Times New Roman" w:eastAsia="Times New Roman" w:hAnsi="Times New Roman"/>
          <w:i/>
          <w:iCs/>
          <w:sz w:val="24"/>
          <w:szCs w:val="24"/>
        </w:rPr>
        <w:t xml:space="preserve">Scandinavian Journal of Work, Environment &amp; Health, 46</w:t>
      </w:r>
      <w:r>
        <w:rPr>
          <w:rFonts w:ascii="Times New Roman" w:cs="Times New Roman" w:eastAsia="Times New Roman" w:hAnsi="Times New Roman"/>
          <w:sz w:val="24"/>
          <w:szCs w:val="24"/>
        </w:rPr>
        <w:t xml:space="preserve">(4), 392–401. https://doi.org/10.5271/sjweh.3880</w:t>
      </w:r>
    </w:p>
    <w:p>
      <w:pPr>
        <w:spacing w:line="480"/>
        <w:ind w:left="720" w:hanging="720"/>
      </w:pPr>
      <w:r>
        <w:rPr>
          <w:rFonts w:ascii="Times New Roman" w:cs="Times New Roman" w:eastAsia="Times New Roman" w:hAnsi="Times New Roman"/>
          <w:sz w:val="24"/>
          <w:szCs w:val="24"/>
        </w:rPr>
        <w:t xml:space="preserve">Gonçalves, J. S., Moriguchi, C. S., Chaves, T. C., &amp; Sato, T. O. (2021). Cross-cultural adaptation and psychometric properties of the short version of COPSOQ II-Brazil. </w:t>
      </w:r>
      <w:r>
        <w:rPr>
          <w:rFonts w:ascii="Times New Roman" w:cs="Times New Roman" w:eastAsia="Times New Roman" w:hAnsi="Times New Roman"/>
          <w:i/>
          <w:iCs/>
          <w:sz w:val="24"/>
          <w:szCs w:val="24"/>
        </w:rPr>
        <w:t xml:space="preserve">Revista de Saúde Pública, 55</w:t>
      </w:r>
      <w:r>
        <w:rPr>
          <w:rFonts w:ascii="Times New Roman" w:cs="Times New Roman" w:eastAsia="Times New Roman" w:hAnsi="Times New Roman"/>
          <w:sz w:val="24"/>
          <w:szCs w:val="24"/>
        </w:rPr>
        <w:t xml:space="preserve">, 69. https://doi.org/10.11606/s1518-8787.2021055003123</w:t>
      </w:r>
    </w:p>
    <w:p>
      <w:pPr>
        <w:spacing w:line="480"/>
        <w:ind w:left="720" w:hanging="720"/>
      </w:pPr>
      <w:r>
        <w:rPr>
          <w:rFonts w:ascii="Times New Roman" w:cs="Times New Roman" w:eastAsia="Times New Roman" w:hAnsi="Times New Roman"/>
          <w:sz w:val="24"/>
          <w:szCs w:val="24"/>
        </w:rPr>
        <w:t xml:space="preserve">International Organization for Standardization. (2021). </w:t>
      </w:r>
      <w:r>
        <w:rPr>
          <w:rFonts w:ascii="Times New Roman" w:cs="Times New Roman" w:eastAsia="Times New Roman" w:hAnsi="Times New Roman"/>
          <w:i/>
          <w:iCs/>
          <w:sz w:val="24"/>
          <w:szCs w:val="24"/>
        </w:rPr>
        <w:t xml:space="preserve">Occupational health and safety management: Psychological health and safety at work: Guidelines for managing psychosocial risks</w:t>
      </w:r>
      <w:r>
        <w:rPr>
          <w:rFonts w:ascii="Times New Roman" w:cs="Times New Roman" w:eastAsia="Times New Roman" w:hAnsi="Times New Roman"/>
          <w:sz w:val="24"/>
          <w:szCs w:val="24"/>
        </w:rPr>
        <w:t xml:space="preserve"> (ISO Standard No. 45003:2021). https://www.iso.org/standard/64283.html</w:t>
      </w:r>
    </w:p>
    <w:p>
      <w:pPr>
        <w:spacing w:line="480"/>
        <w:ind w:left="720" w:hanging="720"/>
      </w:pPr>
      <w:r>
        <w:rPr>
          <w:rFonts w:ascii="Times New Roman" w:cs="Times New Roman" w:eastAsia="Times New Roman" w:hAnsi="Times New Roman"/>
          <w:sz w:val="24"/>
          <w:szCs w:val="24"/>
        </w:rPr>
        <w:t xml:space="preserve">Jain, A., Torres, L. D., Teoh, K., &amp; Leka, S. (2022). The impact of national legislation on psychosocial risks on organisational action plans, psychosocial working conditions, and employee work-related stress in Europe. </w:t>
      </w:r>
      <w:r>
        <w:rPr>
          <w:rFonts w:ascii="Times New Roman" w:cs="Times New Roman" w:eastAsia="Times New Roman" w:hAnsi="Times New Roman"/>
          <w:i/>
          <w:iCs/>
          <w:sz w:val="24"/>
          <w:szCs w:val="24"/>
        </w:rPr>
        <w:t xml:space="preserve">Social Science &amp; Medicine, 302</w:t>
      </w:r>
      <w:r>
        <w:rPr>
          <w:rFonts w:ascii="Times New Roman" w:cs="Times New Roman" w:eastAsia="Times New Roman" w:hAnsi="Times New Roman"/>
          <w:sz w:val="24"/>
          <w:szCs w:val="24"/>
        </w:rPr>
        <w:t xml:space="preserve">, 114987. https://doi.org/10.1016/j.socscimed.2022.114987</w:t>
      </w:r>
    </w:p>
    <w:p>
      <w:pPr>
        <w:spacing w:line="480"/>
        <w:ind w:left="720" w:hanging="720"/>
      </w:pPr>
      <w:r>
        <w:rPr>
          <w:rFonts w:ascii="Times New Roman" w:cs="Times New Roman" w:eastAsia="Times New Roman" w:hAnsi="Times New Roman"/>
          <w:sz w:val="24"/>
          <w:szCs w:val="24"/>
        </w:rPr>
        <w:t xml:space="preserve">Lima, A. T., Haas, D., Torreão, S., Schiffer, H., &amp; Anunciação, L. (2026). </w:t>
      </w:r>
      <w:r>
        <w:rPr>
          <w:rFonts w:ascii="Times New Roman" w:cs="Times New Roman" w:eastAsia="Times New Roman" w:hAnsi="Times New Roman"/>
          <w:i/>
          <w:iCs/>
          <w:sz w:val="24"/>
          <w:szCs w:val="24"/>
        </w:rPr>
        <w:t xml:space="preserve">Psychosocial work factors and mental health symptoms under NR-1: A feasibility study</w:t>
      </w:r>
      <w:r>
        <w:rPr>
          <w:rFonts w:ascii="Times New Roman" w:cs="Times New Roman" w:eastAsia="Times New Roman" w:hAnsi="Times New Roman"/>
          <w:sz w:val="24"/>
          <w:szCs w:val="24"/>
        </w:rPr>
        <w:t xml:space="preserve"> [Manuscript submitted for publication]. Departamento de Psicologia, Pontifícia Universidade Católica do Rio de Janeiro.</w:t>
      </w:r>
    </w:p>
    <w:p>
      <w:pPr>
        <w:spacing w:line="480"/>
        <w:ind w:left="720" w:hanging="720"/>
      </w:pPr>
      <w:r>
        <w:rPr>
          <w:rFonts w:ascii="Times New Roman" w:cs="Times New Roman" w:eastAsia="Times New Roman" w:hAnsi="Times New Roman"/>
          <w:sz w:val="24"/>
          <w:szCs w:val="24"/>
        </w:rPr>
        <w:t xml:space="preserve">Ministério do Trabalho e Emprego. (2024). </w:t>
      </w:r>
      <w:r>
        <w:rPr>
          <w:rFonts w:ascii="Times New Roman" w:cs="Times New Roman" w:eastAsia="Times New Roman" w:hAnsi="Times New Roman"/>
          <w:i/>
          <w:iCs/>
          <w:sz w:val="24"/>
          <w:szCs w:val="24"/>
        </w:rPr>
        <w:t xml:space="preserve">Portaria MTE nº 1.419, de 27 de agosto de 2024. Aprova a nova redação do capítulo 1.5 "Gerenciamento de Riscos Ocupacionais" e altera o Anexo I "Termos e Definições" da Norma Regulamentadora nº 1.</w:t>
      </w:r>
      <w:r>
        <w:rPr>
          <w:rFonts w:ascii="Times New Roman" w:cs="Times New Roman" w:eastAsia="Times New Roman" w:hAnsi="Times New Roman"/>
          <w:sz w:val="24"/>
          <w:szCs w:val="24"/>
        </w:rPr>
        <w:t xml:space="preserve"> Diário Oficial da União. https://www.gov.br/trabalho-e-emprego/pt-br/assuntos/inspecao-do-trabalho/seguranca-e-saude-no-trabalho/sst-portarias/2024/portaria-mte-no-1-419-nr-01-gro-nova-redacao.pdf</w:t>
      </w:r>
    </w:p>
    <w:p>
      <w:pPr>
        <w:spacing w:line="480"/>
        <w:ind w:left="720" w:hanging="720"/>
      </w:pPr>
      <w:r>
        <w:rPr>
          <w:rFonts w:ascii="Times New Roman" w:cs="Times New Roman" w:eastAsia="Times New Roman" w:hAnsi="Times New Roman"/>
          <w:sz w:val="24"/>
          <w:szCs w:val="24"/>
        </w:rPr>
        <w:t xml:space="preserve">Niedhammer, I., Bertrais, S., &amp; Witt, K. (2021). Psychosocial work exposures and health outcomes: A meta-review of 72 literature reviews with meta-analysis. </w:t>
      </w:r>
      <w:r>
        <w:rPr>
          <w:rFonts w:ascii="Times New Roman" w:cs="Times New Roman" w:eastAsia="Times New Roman" w:hAnsi="Times New Roman"/>
          <w:i/>
          <w:iCs/>
          <w:sz w:val="24"/>
          <w:szCs w:val="24"/>
        </w:rPr>
        <w:t xml:space="preserve">Scandinavian Journal of Work, Environment &amp; Health, 47</w:t>
      </w:r>
      <w:r>
        <w:rPr>
          <w:rFonts w:ascii="Times New Roman" w:cs="Times New Roman" w:eastAsia="Times New Roman" w:hAnsi="Times New Roman"/>
          <w:sz w:val="24"/>
          <w:szCs w:val="24"/>
        </w:rPr>
        <w:t xml:space="preserve">(7), 489–508. https://doi.org/10.5271/sjweh.3968</w:t>
      </w:r>
    </w:p>
    <w:p>
      <w:pPr>
        <w:spacing w:line="480"/>
        <w:ind w:left="720" w:hanging="720"/>
      </w:pPr>
      <w:r>
        <w:rPr>
          <w:rFonts w:ascii="Times New Roman" w:cs="Times New Roman" w:eastAsia="Times New Roman" w:hAnsi="Times New Roman"/>
          <w:sz w:val="24"/>
          <w:szCs w:val="24"/>
        </w:rPr>
        <w:t xml:space="preserve">Podsakoff, P. M., MacKenzie, S. B., Lee, J.-Y., &amp; Podsakoff, N. P. (2003). Common method biases in behavioral research: A critical review of the literature and recommended remedies. </w:t>
      </w:r>
      <w:r>
        <w:rPr>
          <w:rFonts w:ascii="Times New Roman" w:cs="Times New Roman" w:eastAsia="Times New Roman" w:hAnsi="Times New Roman"/>
          <w:i/>
          <w:iCs/>
          <w:sz w:val="24"/>
          <w:szCs w:val="24"/>
        </w:rPr>
        <w:t xml:space="preserve">Journal of Applied Psychology, 88</w:t>
      </w:r>
      <w:r>
        <w:rPr>
          <w:rFonts w:ascii="Times New Roman" w:cs="Times New Roman" w:eastAsia="Times New Roman" w:hAnsi="Times New Roman"/>
          <w:sz w:val="24"/>
          <w:szCs w:val="24"/>
        </w:rPr>
        <w:t xml:space="preserve">(5), 879–903. https://doi.org/10.1037/0021-9010.88.5.879</w:t>
      </w:r>
    </w:p>
    <w:p>
      <w:pPr>
        <w:spacing w:line="480"/>
        <w:ind w:left="720" w:hanging="720"/>
      </w:pPr>
      <w:r>
        <w:rPr>
          <w:rFonts w:ascii="Times New Roman" w:cs="Times New Roman" w:eastAsia="Times New Roman" w:hAnsi="Times New Roman"/>
          <w:sz w:val="24"/>
          <w:szCs w:val="24"/>
        </w:rPr>
        <w:t xml:space="preserve">Rugulies, R., Aust, B., Greiner, B. A., Arensman, E., Kawakami, N., LaMontagne, A. D., &amp; Madsen, I. E. H. (2023). Work-related causes of mental health conditions and interventions for their improvement in workplaces. </w:t>
      </w:r>
      <w:r>
        <w:rPr>
          <w:rFonts w:ascii="Times New Roman" w:cs="Times New Roman" w:eastAsia="Times New Roman" w:hAnsi="Times New Roman"/>
          <w:i/>
          <w:iCs/>
          <w:sz w:val="24"/>
          <w:szCs w:val="24"/>
        </w:rPr>
        <w:t xml:space="preserve">The Lancet, 402</w:t>
      </w:r>
      <w:r>
        <w:rPr>
          <w:rFonts w:ascii="Times New Roman" w:cs="Times New Roman" w:eastAsia="Times New Roman" w:hAnsi="Times New Roman"/>
          <w:sz w:val="24"/>
          <w:szCs w:val="24"/>
        </w:rPr>
        <w:t xml:space="preserve">(10410), 1368–1381. https://doi.org/10.1016/S0140-6736(23)00869-3</w:t>
      </w:r>
    </w:p>
    <w:p>
      <w:pPr>
        <w:spacing w:line="480"/>
        <w:ind w:left="720" w:hanging="720"/>
      </w:pPr>
      <w:r>
        <w:rPr>
          <w:rFonts w:ascii="Times New Roman" w:cs="Times New Roman" w:eastAsia="Times New Roman" w:hAnsi="Times New Roman"/>
          <w:sz w:val="24"/>
          <w:szCs w:val="24"/>
        </w:rPr>
        <w:t xml:space="preserve">Schulte, P. A., Sauter, S. L., Pandalai, S. P., Tiesman, H. M., Chosewood, L. C., Cunningham, T. R., Wurzelbacher, S. J., Pana-Cryan, R., Swanson, N. G., Chang, C.-C., Nigam, J. A. S., Reissman, D. B., Ray, T. K., &amp; Howard, J. (2024). An urgent call to address work-related psychosocial hazards and improve worker well-being. </w:t>
      </w:r>
      <w:r>
        <w:rPr>
          <w:rFonts w:ascii="Times New Roman" w:cs="Times New Roman" w:eastAsia="Times New Roman" w:hAnsi="Times New Roman"/>
          <w:i/>
          <w:iCs/>
          <w:sz w:val="24"/>
          <w:szCs w:val="24"/>
        </w:rPr>
        <w:t xml:space="preserve">American Journal of Industrial Medicine, 67</w:t>
      </w:r>
      <w:r>
        <w:rPr>
          <w:rFonts w:ascii="Times New Roman" w:cs="Times New Roman" w:eastAsia="Times New Roman" w:hAnsi="Times New Roman"/>
          <w:sz w:val="24"/>
          <w:szCs w:val="24"/>
        </w:rPr>
        <w:t xml:space="preserve">(6), 499–514. https://doi.org/10.1002/ajim.23583</w:t>
      </w:r>
    </w:p>
    <w:p>
      <w:pPr>
        <w:spacing w:line="480"/>
        <w:ind w:left="720" w:hanging="720"/>
      </w:pPr>
      <w:r>
        <w:rPr>
          <w:rFonts w:ascii="Times New Roman" w:cs="Times New Roman" w:eastAsia="Times New Roman" w:hAnsi="Times New Roman"/>
          <w:sz w:val="24"/>
          <w:szCs w:val="24"/>
        </w:rPr>
        <w:t xml:space="preserve">Taouk, Y., Aitken, Z., LaMontagne, A. D., &amp; King, T. (2024). Persistent low job control and subsequent major depression: A prospective cohort study of Australian working males. </w:t>
      </w:r>
      <w:r>
        <w:rPr>
          <w:rFonts w:ascii="Times New Roman" w:cs="Times New Roman" w:eastAsia="Times New Roman" w:hAnsi="Times New Roman"/>
          <w:i/>
          <w:iCs/>
          <w:sz w:val="24"/>
          <w:szCs w:val="24"/>
        </w:rPr>
        <w:t xml:space="preserve">Social Science &amp; Medicine, 359</w:t>
      </w:r>
      <w:r>
        <w:rPr>
          <w:rFonts w:ascii="Times New Roman" w:cs="Times New Roman" w:eastAsia="Times New Roman" w:hAnsi="Times New Roman"/>
          <w:sz w:val="24"/>
          <w:szCs w:val="24"/>
        </w:rPr>
        <w:t xml:space="preserve">, 117283. https://doi.org/10.1016/j.socscimed.2024.117283</w:t>
      </w:r>
    </w:p>
    <w:p>
      <w:pPr>
        <w:spacing w:line="480"/>
        <w:ind w:left="720" w:hanging="720"/>
      </w:pPr>
      <w:r>
        <w:rPr>
          <w:rFonts w:ascii="Times New Roman" w:cs="Times New Roman" w:eastAsia="Times New Roman" w:hAnsi="Times New Roman"/>
          <w:sz w:val="24"/>
          <w:szCs w:val="24"/>
        </w:rPr>
        <w:t xml:space="preserve">Teixeira, I. D. N., Silva, I. S., &amp; Cadime, I. M. D. (2025). Psychosocial risks at work: Integrative review and conceptual perspectives. </w:t>
      </w:r>
      <w:r>
        <w:rPr>
          <w:rFonts w:ascii="Times New Roman" w:cs="Times New Roman" w:eastAsia="Times New Roman" w:hAnsi="Times New Roman"/>
          <w:i/>
          <w:iCs/>
          <w:sz w:val="24"/>
          <w:szCs w:val="24"/>
        </w:rPr>
        <w:t xml:space="preserve">Revista Brasileira de Medicina do Trabalho, 23</w:t>
      </w:r>
      <w:r>
        <w:rPr>
          <w:rFonts w:ascii="Times New Roman" w:cs="Times New Roman" w:eastAsia="Times New Roman" w:hAnsi="Times New Roman"/>
          <w:sz w:val="24"/>
          <w:szCs w:val="24"/>
        </w:rPr>
        <w:t xml:space="preserve">(2), e20251464. https://doi.org/10.47626/1679-4435-2025-1464</w:t>
      </w:r>
    </w:p>
    <w:p>
      <w:pPr>
        <w:spacing w:line="480"/>
        <w:ind w:left="720" w:hanging="720"/>
      </w:pPr>
      <w:r>
        <w:rPr>
          <w:rFonts w:ascii="Times New Roman" w:cs="Times New Roman" w:eastAsia="Times New Roman" w:hAnsi="Times New Roman"/>
          <w:sz w:val="24"/>
          <w:szCs w:val="24"/>
        </w:rPr>
        <w:t xml:space="preserve">von Elm, E., Altman, D. G., Egger, M., Pocock, S. J., Gøtzsche, P. C., &amp; Vandenbroucke, J. P. (2007). The Strengthening the Reporting of Observational Studies in Epidemiology (STROBE) statement: Guidelines for reporting observational studies. </w:t>
      </w:r>
      <w:r>
        <w:rPr>
          <w:rFonts w:ascii="Times New Roman" w:cs="Times New Roman" w:eastAsia="Times New Roman" w:hAnsi="Times New Roman"/>
          <w:i/>
          <w:iCs/>
          <w:sz w:val="24"/>
          <w:szCs w:val="24"/>
        </w:rPr>
        <w:t xml:space="preserve">The Lancet, 370</w:t>
      </w:r>
      <w:r>
        <w:rPr>
          <w:rFonts w:ascii="Times New Roman" w:cs="Times New Roman" w:eastAsia="Times New Roman" w:hAnsi="Times New Roman"/>
          <w:sz w:val="24"/>
          <w:szCs w:val="24"/>
        </w:rPr>
        <w:t xml:space="preserve">(9596), 1453–1457. https://doi.org/10.1016/S0140-6736(07)61602-X</w:t>
      </w:r>
    </w:p>
    <w:p>
      <w:pPr>
        <w:spacing w:line="480"/>
        <w:ind w:left="720" w:hanging="720"/>
      </w:pPr>
      <w:r>
        <w:rPr>
          <w:rFonts w:ascii="Times New Roman" w:cs="Times New Roman" w:eastAsia="Times New Roman" w:hAnsi="Times New Roman"/>
          <w:sz w:val="24"/>
          <w:szCs w:val="24"/>
        </w:rPr>
        <w:t xml:space="preserve">World Health Organization. (2022). </w:t>
      </w:r>
      <w:r>
        <w:rPr>
          <w:rFonts w:ascii="Times New Roman" w:cs="Times New Roman" w:eastAsia="Times New Roman" w:hAnsi="Times New Roman"/>
          <w:i/>
          <w:iCs/>
          <w:sz w:val="24"/>
          <w:szCs w:val="24"/>
        </w:rPr>
        <w:t xml:space="preserve">WHO guidelines on mental health at work.</w:t>
      </w:r>
      <w:r>
        <w:rPr>
          <w:rFonts w:ascii="Times New Roman" w:cs="Times New Roman" w:eastAsia="Times New Roman" w:hAnsi="Times New Roman"/>
          <w:sz w:val="24"/>
          <w:szCs w:val="24"/>
        </w:rPr>
        <w:t xml:space="preserve"> https://www.who.int/publications/i/item/9789240053052</w:t>
      </w:r>
    </w:p>
    <w:p>
      <w:pPr>
        <w:spacing w:line="480"/>
        <w:ind w:left="720" w:hanging="720"/>
      </w:pPr>
      <w:r>
        <w:rPr>
          <w:rFonts w:ascii="Times New Roman" w:cs="Times New Roman" w:eastAsia="Times New Roman" w:hAnsi="Times New Roman"/>
          <w:sz w:val="24"/>
          <w:szCs w:val="24"/>
        </w:rPr>
        <w:t xml:space="preserve">Zumbo, B. D., Gadermann, A. M., &amp; Zeisser, C. (2007). Ordinal versions of coefficients alpha and theta for Likert rating scales. </w:t>
      </w:r>
      <w:r>
        <w:rPr>
          <w:rFonts w:ascii="Times New Roman" w:cs="Times New Roman" w:eastAsia="Times New Roman" w:hAnsi="Times New Roman"/>
          <w:i/>
          <w:iCs/>
          <w:sz w:val="24"/>
          <w:szCs w:val="24"/>
        </w:rPr>
        <w:t xml:space="preserve">Journal of Modern Applied Statistical Methods, 6</w:t>
      </w:r>
      <w:r>
        <w:rPr>
          <w:rFonts w:ascii="Times New Roman" w:cs="Times New Roman" w:eastAsia="Times New Roman" w:hAnsi="Times New Roman"/>
          <w:sz w:val="24"/>
          <w:szCs w:val="24"/>
        </w:rPr>
        <w:t xml:space="preserve">(1), 21–29. https://doi.org/10.22237/jmasm/1177992180</w:t>
      </w:r>
      <w:r>
        <w:rPr>
          <w:rFonts w:ascii="Times New Roman" w:cs="Times New Roman" w:eastAsia="Times New Roman" w:hAnsi="Times New Roman"/>
          <w:sz w:val="24"/>
          <w:szCs w:val="24"/>
        </w:rPr>
        <w:fldChar w:fldCharType="end"/>
      </w:r>
    </w:p>
    <w:sectPr>
      <w:head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de0ab34f112e690757a6a1beb7dc4ceda67b9fd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2026-10-17T14:07:13.725Z</dcterms:created>
  <dcterms:modified xsi:type="dcterms:W3CDTF">2026-10-17T14:07:13.725Z</dcterms:modified>
</cp:coreProperties>
</file>

<file path=docProps/custom.xml><?xml version="1.0" encoding="utf-8"?>
<Properties xmlns="http://schemas.openxmlformats.org/officeDocument/2006/custom-properties" xmlns:vt="http://schemas.openxmlformats.org/officeDocument/2006/docPropsVTypes"/>
</file>