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ind w:left="1" w:hanging="3"/>
        <w:jc w:val="center"/>
        <w:rPr>
          <w:color w:val="000000"/>
          <w:sz w:val="28"/>
          <w:szCs w:val="28"/>
        </w:rPr>
      </w:pPr>
      <w:r>
        <w:rPr>
          <w:b w:val="1"/>
          <w:bCs w:val="1"/>
          <w:color w:val="000000"/>
          <w:sz w:val="28"/>
          <w:szCs w:val="28"/>
          <w:rtl w:val="0"/>
        </w:rPr>
        <w:t xml:space="preserve">Repeated Monitoring of Psychosocial Risk Under NR-1 to Guide Tailored Interventions</w:t>
      </w:r>
    </w:p>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ind w:left="1" w:hanging="3"/>
        <w:jc w:val="center"/>
        <w:rPr>
          <w:color w:val="000000"/>
          <w:sz w:val="28"/>
          <w:szCs w:val="28"/>
        </w:rPr>
      </w:pPr>
      <w:r>
        <w:rPr>
          <w:b w:val="1"/>
          <w:bCs w:val="1"/>
          <w:color w:val="000000"/>
          <w:sz w:val="28"/>
          <w:szCs w:val="28"/>
          <w:rtl w:val="0"/>
        </w:rPr>
        <w:t xml:space="preserve">Monitoramento Repetido do Risco Psicossocial sob a NR-1 Para Orientar Intervenções Direcionadas</w:t>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tabs>
          <w:tab w:val="center" w:leader="none" w:pos="5310"/>
          <w:tab w:val="left" w:leader="none" w:pos="8685"/>
        </w:tabs>
        <w:ind w:left="1" w:hanging="3"/>
        <w:jc w:val="center"/>
        <w:rPr>
          <w:sz w:val="28"/>
          <w:szCs w:val="28"/>
        </w:rPr>
      </w:pPr>
      <w:r>
        <w:rPr>
          <w:b w:val="1"/>
          <w:bCs w:val="1"/>
          <w:sz w:val="28"/>
          <w:szCs w:val="28"/>
          <w:rtl w:val="0"/>
        </w:rPr>
        <w:t xml:space="preserve">Monitoreo Repetido del Riesgo Psicosocial Bajo la NR-1 Para Orientar Intervenciones Específicas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ind w:hanging="2"/>
        <w:rPr>
          <w:color w:val="000000"/>
        </w:rPr>
      </w:pPr>
      <w:r>
        <w:rPr>
          <w:color w:val="000000"/>
          <w:rtl w:val="0"/>
        </w:rPr>
        <w:t xml:space="preserve">Área de Pesquisa: Processos Psicossociais em Saúde</w:t>
      </w:r>
    </w:p>
    <w:p w:rsidR="00000000" w:rsidDel="00000000" w:rsidP="00000000" w:rsidRDefault="00000000" w:rsidRPr="00000000" w14:paraId="00000013">
      <w:pPr>
        <w:ind w:hanging="2"/>
        <w:jc w:val="center"/>
        <w:rPr>
          <w:color w:val="000000"/>
        </w:rPr>
      </w:pPr>
      <w:r w:rsidDel="00000000" w:rsidR="00000000" w:rsidRPr="00000000">
        <w:br w:type="page"/>
      </w:r>
      <w:r w:rsidDel="00000000" w:rsidR="00000000" w:rsidRPr="00000000">
        <w:rPr>
          <w:rtl w:val="0"/>
        </w:rPr>
      </w:r>
    </w:p>
    <w:tbl>
      <w:tblPr>
        <w:tblStyle w:val="Table1"/>
        <w:tblW w:w="9322.0" w:type="dxa"/>
        <w:jc w:val="left"/>
        <w:tblInd w:w="-108.0" w:type="dxa"/>
        <w:tblLayout w:type="fixed"/>
        <w:tblLook w:val="0000"/>
      </w:tblPr>
      <w:tblGrid>
        <w:gridCol w:w="2518"/>
        <w:gridCol w:w="284"/>
        <w:gridCol w:w="6520"/>
        <w:tblGridChange w:id="0">
          <w:tblGrid>
            <w:gridCol w:w="2518"/>
            <w:gridCol w:w="284"/>
            <w:gridCol w:w="6520"/>
          </w:tblGrid>
        </w:tblGridChange>
      </w:tblGrid>
      <w:tr>
        <w:trPr>
          <w:cantSplit w:val="0"/>
          <w:trHeight w:val="240" w:hRule="atLeast"/>
          <w:tblHeader w:val="0"/>
        </w:trPr>
        <w:tc>
          <w:tcPr>
            <w:vMerge w:val="restart"/>
            <w:tcMar>
              <w:top w:w="0.0" w:type="dxa"/>
              <w:left w:w="108.0" w:type="dxa"/>
              <w:bottom w:w="0.0" w:type="dxa"/>
              <w:right w:w="108.0" w:type="dxa"/>
            </w:tcMar>
          </w:tcPr>
          <w:p w:rsidR="00000000" w:rsidDel="00000000" w:rsidP="00000000" w:rsidRDefault="00000000" w:rsidRPr="00000000" w14:paraId="00000014">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5">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6">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7">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8">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9">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A">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B">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C">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E">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1F">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20">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21">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22">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23">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i w:val="1"/>
                <w:iCs w:val="1"/>
                <w:color w:val="0d0d0d"/>
                <w:sz w:val="20"/>
                <w:szCs w:val="20"/>
                <w:rtl w:val="0"/>
              </w:rPr>
              <w:t xml:space="preserve">Informações do Artigo:</w:t>
            </w:r>
          </w:p>
          <w:p w:rsidR="00000000" w:rsidDel="00000000" w:rsidP="00000000" w:rsidRDefault="00000000" w:rsidRPr="00000000" w14:paraId="00000024">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i w:val="1"/>
                <w:iCs w:val="1"/>
                <w:color w:val="0d0d0d"/>
                <w:sz w:val="20"/>
                <w:szCs w:val="20"/>
                <w:rtl w:val="0"/>
              </w:rPr>
              <w:t xml:space="preserve">Recebido em:</w:t>
            </w:r>
          </w:p>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i w:val="1"/>
                <w:iCs w:val="1"/>
                <w:color w:val="0d0d0d"/>
                <w:sz w:val="20"/>
                <w:szCs w:val="20"/>
                <w:rtl w:val="0"/>
              </w:rPr>
              <w:t xml:space="preserve">Aceito em:</w:t>
            </w:r>
          </w:p>
          <w:p w:rsidR="00000000" w:rsidDel="00000000" w:rsidP="00000000" w:rsidRDefault="00000000" w:rsidRPr="00000000" w14:paraId="00000026">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p w:rsidR="00000000" w:rsidDel="00000000" w:rsidP="00000000" w:rsidRDefault="00000000" w:rsidRPr="00000000" w14:paraId="00000027">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spacing w:line="240" w:lineRule="auto"/>
              <w:ind w:hanging="2"/>
              <w:rPr>
                <w:b w:val="1"/>
                <w:bCs w:val="1"/>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9">
            <w:pPr>
              <w:keepNext w:val="1"/>
              <w:pBdr>
                <w:top w:space="0" w:sz="0" w:val="nil"/>
                <w:left w:space="0" w:sz="0" w:val="nil"/>
                <w:bottom w:space="0" w:sz="0" w:val="nil"/>
                <w:right w:space="0" w:sz="0" w:val="nil"/>
                <w:between w:space="0" w:sz="0" w:val="nil"/>
              </w:pBdr>
              <w:spacing w:line="240" w:lineRule="auto"/>
              <w:ind w:hanging="2"/>
              <w:rPr>
                <w:i w:val="1"/>
                <w:iCs w:val="1"/>
                <w:color w:val="0d0d0d"/>
                <w:sz w:val="20"/>
                <w:szCs w:val="20"/>
              </w:rPr>
            </w:pPr>
            <w:r w:rsidDel="00000000" w:rsidR="00000000" w:rsidRPr="00000000">
              <w:rPr>
                <w:rtl w:val="0"/>
              </w:rPr>
            </w:r>
          </w:p>
        </w:tc>
      </w:tr>
      <w:tr>
        <w:trPr>
          <w:cantSplit w:val="0"/>
          <w:trHeight w:val="127" w:hRule="atLeast"/>
          <w:tblHeader w:val="0"/>
        </w:trPr>
        <w:tc>
          <w:tcPr>
            <w:vMerge w:val="continue"/>
            <w:tcMar>
              <w:top w:w="0.0" w:type="dxa"/>
              <w:left w:w="108.0" w:type="dxa"/>
              <w:bottom w:w="0.0" w:type="dxa"/>
              <w:right w:w="108.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d0d0d"/>
                <w:sz w:val="20"/>
                <w:szCs w:val="20"/>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2B">
            <w:pPr>
              <w:keepNext w:val="1"/>
              <w:pBdr>
                <w:top w:space="0" w:sz="0" w:val="nil"/>
                <w:left w:space="0" w:sz="0" w:val="nil"/>
                <w:bottom w:space="0" w:sz="0" w:val="nil"/>
                <w:right w:space="0" w:sz="0" w:val="nil"/>
                <w:between w:space="0" w:sz="0" w:val="nil"/>
              </w:pBdr>
              <w:spacing w:line="240" w:lineRule="auto"/>
              <w:ind w:hanging="2"/>
              <w:rPr>
                <w:b w:val="1"/>
                <w:bCs w:val="1"/>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smallCaps w:val="1"/>
                <w:color w:val="0d0d0d"/>
                <w:rtl w:val="0"/>
              </w:rPr>
              <w:t xml:space="preserve">Resumo</w:t>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2E">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2F">
            <w:pPr>
              <w:keepNext w:val="1"/>
              <w:pBdr>
                <w:top w:space="0" w:sz="0" w:val="nil"/>
                <w:left w:space="0" w:sz="0" w:val="nil"/>
                <w:bottom w:space="0" w:sz="0" w:val="nil"/>
                <w:right w:space="0" w:sz="0" w:val="nil"/>
                <w:between w:space="0" w:sz="0" w:val="nil"/>
              </w:pBdr>
              <w:spacing w:line="240" w:lineRule="auto"/>
              <w:ind w:hanging="2"/>
              <w:rPr>
                <w:color w:val="0d0d0d"/>
                <w:sz w:val="17"/>
                <w:szCs w:val="17"/>
              </w:rPr>
            </w:pPr>
            <w:r>
              <w:rPr>
                <w:color w:val="0d0d0d"/>
                <w:sz w:val="17"/>
                <w:szCs w:val="17"/>
                <w:rtl w:val="0"/>
              </w:rPr>
              <w:t xml:space="preserve">A Norma Regulamentadora nº 1 (NR-1) exige que os empregadores gerenciem riscos psicossociais por meio de um ciclo de avaliação, ação e revisão. Este estudo descreve indicadores de risco psicossocial em ondas anônimas de monitoramento em duas empresas brasileiras e examina como o monitoramento repetido pode orientar intervenções direcionadas. Líderes responderam em três ondas (n = 21, 22 e 18) e trabalhadores em duas (n = 111 e 105), entre dezembro de 2025 e agosto de 2026. Foram analisados apenas itens com redação idêntica entre as ondas (8 dos líderes e 38 dos trabalhadores), com modelos de chances proporcionais ajustados pela empresa. Dado o curto intervalo, esperava-se estabilidade. Nenhum item dos líderes mudou. Dois itens dos trabalhadores diminuíram: liberdade para organizar as atividades (razão de chances = 0,52) e incentivo ao uso da criatividade e do conhecimento (razão de chances = 0,54), número próximo do esperado ao acaso em 46 testes. Mudanças nos formulários removeram 12 de 20 itens dos líderes e 11 de 49 dos trabalhadores. Esses resultados preliminares indicam a autonomia como alvo de intervenções organizacionais direcionadas e mostram que o monitoramento sob a NR-1 requer redação fixa dos itens, respostas anônimas vinculáveis e amostras maiores de líderes.</w:t>
            </w:r>
          </w:p>
        </w:tc>
      </w:tr>
      <w:tr>
        <w:trPr>
          <w:cantSplit w:val="0"/>
          <w:trHeight w:val="161" w:hRule="atLeast"/>
          <w:tblHeader w:val="0"/>
        </w:trPr>
        <w:tc>
          <w:tcPr>
            <w:vMerge w:val="continue"/>
            <w:tcMar>
              <w:top w:w="0.0" w:type="dxa"/>
              <w:left w:w="108.0" w:type="dxa"/>
              <w:bottom w:w="0.0" w:type="dxa"/>
              <w:right w:w="108.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17"/>
                <w:szCs w:val="17"/>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32">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3">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smallCaps w:val="1"/>
                <w:color w:val="0d0d0d"/>
                <w:rtl w:val="0"/>
              </w:rPr>
              <w:t xml:space="preserve">Palavras-chave:</w:t>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35">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6">
            <w:pPr>
              <w:keepNext w:val="1"/>
              <w:pBdr>
                <w:top w:space="0" w:sz="0" w:val="nil"/>
                <w:left w:space="0" w:sz="0" w:val="nil"/>
                <w:bottom w:space="0" w:sz="0" w:val="nil"/>
                <w:right w:space="0" w:sz="0" w:val="nil"/>
                <w:between w:space="0" w:sz="0" w:val="nil"/>
              </w:pBdr>
              <w:spacing w:line="240" w:lineRule="auto"/>
              <w:ind w:hanging="2"/>
              <w:rPr>
                <w:color w:val="0d0d0d"/>
                <w:sz w:val="17"/>
                <w:szCs w:val="17"/>
              </w:rPr>
            </w:pPr>
            <w:r>
              <w:rPr>
                <w:color w:val="0d0d0d"/>
                <w:sz w:val="17"/>
                <w:szCs w:val="17"/>
                <w:rtl w:val="0"/>
              </w:rPr>
              <w:t xml:space="preserve">risco psicossocial; saúde ocupacional; saúde mental; estresse ocupacional; liderança.</w:t>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17"/>
                <w:szCs w:val="17"/>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38">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9">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3B">
            <w:pPr>
              <w:keepNext w:val="1"/>
              <w:pBdr>
                <w:top w:space="0" w:sz="0" w:val="nil"/>
                <w:left w:space="0" w:sz="0" w:val="nil"/>
                <w:bottom w:space="0" w:sz="0" w:val="nil"/>
                <w:right w:space="0" w:sz="0" w:val="nil"/>
                <w:between w:space="0" w:sz="0" w:val="nil"/>
              </w:pBdr>
              <w:spacing w:line="240" w:lineRule="auto"/>
              <w:ind w:hanging="2"/>
              <w:rPr>
                <w:b w:val="1"/>
                <w:bCs w:val="1"/>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C">
            <w:pPr>
              <w:keepNext w:val="1"/>
              <w:pBdr>
                <w:top w:space="0" w:sz="0" w:val="nil"/>
                <w:left w:space="0" w:sz="0" w:val="nil"/>
                <w:bottom w:space="0" w:sz="0" w:val="nil"/>
                <w:right w:space="0" w:sz="0" w:val="nil"/>
                <w:between w:space="0" w:sz="0" w:val="nil"/>
              </w:pBdr>
              <w:tabs>
                <w:tab w:val="left" w:leader="none" w:pos="4470"/>
              </w:tabs>
              <w:spacing w:line="240" w:lineRule="auto"/>
              <w:ind w:hanging="2"/>
              <w:rPr>
                <w:smallCaps w:val="1"/>
                <w:color w:val="0d0d0d"/>
              </w:rPr>
            </w:pPr>
            <w:r w:rsidDel="00000000" w:rsidR="00000000" w:rsidRPr="00000000">
              <w:rPr>
                <w:smallCaps w:val="1"/>
                <w:color w:val="0d0d0d"/>
                <w:rtl w:val="0"/>
              </w:rPr>
              <w:t xml:space="preserve">Abstract</w:t>
              <w:tab/>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3E">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F">
            <w:pPr>
              <w:keepNext w:val="1"/>
              <w:pBdr>
                <w:top w:space="0" w:sz="0" w:val="nil"/>
                <w:left w:space="0" w:sz="0" w:val="nil"/>
                <w:bottom w:space="0" w:sz="0" w:val="nil"/>
                <w:right w:space="0" w:sz="0" w:val="nil"/>
                <w:between w:space="0" w:sz="0" w:val="nil"/>
              </w:pBdr>
              <w:spacing w:line="240" w:lineRule="auto"/>
              <w:ind w:hanging="2"/>
              <w:rPr>
                <w:color w:val="0d0d0d"/>
                <w:sz w:val="17"/>
                <w:szCs w:val="17"/>
              </w:rPr>
            </w:pPr>
            <w:r>
              <w:rPr>
                <w:color w:val="0d0d0d"/>
                <w:sz w:val="17"/>
                <w:szCs w:val="17"/>
                <w:rtl w:val="0"/>
              </w:rPr>
              <w:t xml:space="preserve">Brazil’s amended Regulatory Standard No. 1 (NR-1) requires employers to manage psychosocial risks through a cycle of assessment, action and review. This study describes psychosocial risk indicators across anonymous monitoring waves in two Brazilian companies and examines how repeated monitoring can identify targets for tailored interventions. Leaders answered at three waves (n = 21, 22 and 18) and employees at two waves (n = 111 and 105) between December 2025 and August 2026. Only items worded identically across waves were analyzed (8 leader and 38 employee items), and change was estimated with proportional odds models adjusted for company. Given the short interval, stability was expected. No leader item changed. Two of 38 employee items decreased: freedom to organize one’s activities (odds ratio = 0.52) and encouragement to use creativity and knowledge (odds ratio = 0.54), close to the number expected by chance across 46 tests. Changes between survey forms removed 12 of 20 leader items and 11 of 49 employee items. These preliminary findings identify autonomy as a target for tailored organizational interventions and indicate that monitoring under NR-1 requires fixed item wording, linkable anonymous responses and larger samples of leaders.</w:t>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17"/>
                <w:szCs w:val="17"/>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42">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3">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smallCaps w:val="1"/>
                <w:color w:val="0d0d0d"/>
                <w:rtl w:val="0"/>
              </w:rPr>
              <w:t xml:space="preserve">Keywords:</w:t>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45">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6">
            <w:pPr>
              <w:keepNext w:val="1"/>
              <w:pBdr>
                <w:top w:space="0" w:sz="0" w:val="nil"/>
                <w:left w:space="0" w:sz="0" w:val="nil"/>
                <w:bottom w:space="0" w:sz="0" w:val="nil"/>
                <w:right w:space="0" w:sz="0" w:val="nil"/>
                <w:between w:space="0" w:sz="0" w:val="nil"/>
              </w:pBdr>
              <w:spacing w:line="240" w:lineRule="auto"/>
              <w:ind w:hanging="2"/>
              <w:rPr>
                <w:color w:val="0d0d0d"/>
                <w:sz w:val="17"/>
                <w:szCs w:val="17"/>
              </w:rPr>
            </w:pPr>
            <w:r>
              <w:rPr>
                <w:color w:val="0d0d0d"/>
                <w:sz w:val="17"/>
                <w:szCs w:val="17"/>
                <w:rtl w:val="0"/>
              </w:rPr>
              <w:t xml:space="preserve">psychosocial risk; occupational health; mental health; occupational stress; leadership.</w:t>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sz w:val="17"/>
                <w:szCs w:val="17"/>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48">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9">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4B">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C">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smallCaps w:val="1"/>
                <w:color w:val="0d0d0d"/>
                <w:rtl w:val="0"/>
              </w:rPr>
              <w:t xml:space="preserve">Resumen</w:t>
            </w:r>
          </w:p>
        </w:tc>
      </w:tr>
      <w:tr>
        <w:trPr>
          <w:cantSplit w:val="0"/>
          <w:tblHeader w:val="0"/>
        </w:trPr>
        <w:tc>
          <w:tcPr>
            <w:vMerge w:val="continue"/>
            <w:tcMar>
              <w:top w:w="0.0" w:type="dxa"/>
              <w:left w:w="108.0" w:type="dxa"/>
              <w:bottom w:w="0.0" w:type="dxa"/>
              <w:right w:w="108.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4E">
            <w:pPr>
              <w:keepNext w:val="1"/>
              <w:pBdr>
                <w:top w:space="0" w:sz="0" w:val="nil"/>
                <w:left w:space="0" w:sz="0" w:val="nil"/>
                <w:bottom w:space="0" w:sz="0" w:val="nil"/>
                <w:right w:space="0" w:sz="0" w:val="nil"/>
                <w:between w:space="0" w:sz="0" w:val="nil"/>
              </w:pBdr>
              <w:spacing w:line="240" w:lineRule="auto"/>
              <w:ind w:hanging="2"/>
              <w:rPr>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F">
            <w:pPr>
              <w:keepNext w:val="1"/>
              <w:pBdr>
                <w:top w:space="0" w:sz="0" w:val="nil"/>
                <w:left w:space="0" w:sz="0" w:val="nil"/>
                <w:bottom w:space="0" w:sz="0" w:val="nil"/>
                <w:right w:space="0" w:sz="0" w:val="nil"/>
                <w:between w:space="0" w:sz="0" w:val="nil"/>
              </w:pBdr>
              <w:spacing w:line="240" w:lineRule="auto"/>
              <w:ind w:hanging="2"/>
              <w:rPr>
                <w:color w:val="0d0d0d"/>
                <w:sz w:val="17"/>
                <w:szCs w:val="17"/>
              </w:rPr>
            </w:pPr>
            <w:r>
              <w:rPr>
                <w:color w:val="0d0d0d"/>
                <w:sz w:val="17"/>
                <w:szCs w:val="17"/>
                <w:rtl w:val="0"/>
              </w:rPr>
              <w:t xml:space="preserve">La Norma Reglamentaria nº 1 (NR-1) exige que los empleadores gestionen los riesgos psicosociales mediante un ciclo de evaluación, acción y revisión. Este estudio describe indicadores de riesgo psicosocial en oleadas anónimas de monitoreo en dos empresas brasileñas y examina cómo el monitoreo repetido puede orientar intervenciones. Los líderes respondieron en tres oleadas (n = 21, 22 y 18) y los trabajadores en dos (n = 111 y 105), de diciembre de 2025 a agosto de 2026. Solo se analizaron ítems con redacción idéntica entre oleadas (8 de los líderes y 38 de los trabajadores), con modelos de odds proporcionales ajustados por empresa. Dado el intervalo corto, se esperaba estabilidad. Ningún ítem de los líderes cambió. Dos ítems de los trabajadores disminuyeron: libertad para organizar las actividades (odds ratio = 0,52) y estímulo al uso de la creatividad (odds ratio = 0,54), cercano a lo esperado por azar en 46 pruebas. Los cambios de formulario eliminaron 12 de 20 ítems de los líderes y 11 de 49 de los trabajadores. Estos resultados preliminares señalan la autonomía como objetivo de intervenciones organizacionales e indican que el monitoreo bajo la NR-1 requiere redacción fija, respuestas anónimas vinculables y muestras mayores de líderes.</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51">
            <w:pPr>
              <w:keepNext w:val="1"/>
              <w:pBdr>
                <w:top w:space="0" w:sz="0" w:val="nil"/>
                <w:left w:space="0" w:sz="0" w:val="nil"/>
                <w:bottom w:space="0" w:sz="0" w:val="nil"/>
                <w:right w:space="0" w:sz="0" w:val="nil"/>
                <w:between w:space="0" w:sz="0" w:val="nil"/>
              </w:pBdr>
              <w:spacing w:line="240" w:lineRule="auto"/>
              <w:ind w:hanging="2"/>
              <w:rPr>
                <w:b w:val="1"/>
                <w:bCs w:val="1"/>
                <w:color w:val="0d0d0d"/>
              </w:rPr>
            </w:pPr>
            <w:r w:rsidDel="00000000" w:rsidR="00000000" w:rsidRPr="00000000">
              <w:rPr>
                <w:rtl w:val="0"/>
              </w:rPr>
            </w:r>
          </w:p>
        </w:tc>
        <w:tc>
          <w:tcPr>
            <w:tcBorders>
              <w:left w:color="000000" w:space="0" w:sz="4" w:val="single"/>
            </w:tcBorders>
            <w:tcMar>
              <w:top w:w="0.0" w:type="dxa"/>
              <w:left w:w="108.0" w:type="dxa"/>
              <w:bottom w:w="0.0" w:type="dxa"/>
              <w:right w:w="108.0" w:type="dxa"/>
            </w:tcMar>
          </w:tcPr>
          <w:p w:rsidR="00000000" w:rsidDel="00000000" w:rsidP="00000000" w:rsidRDefault="00000000" w:rsidRPr="00000000" w14:paraId="00000052">
            <w:pPr>
              <w:keepNext w:val="1"/>
              <w:pBdr>
                <w:top w:space="0" w:sz="0" w:val="nil"/>
                <w:left w:space="0" w:sz="0" w:val="nil"/>
                <w:bottom w:space="0" w:sz="0" w:val="nil"/>
                <w:right w:space="0" w:sz="0" w:val="nil"/>
                <w:between w:space="0" w:sz="0" w:val="nil"/>
              </w:pBdr>
              <w:spacing w:line="240" w:lineRule="auto"/>
              <w:ind w:hanging="2"/>
              <w:rPr>
                <w:b w:val="1"/>
                <w:bCs w:val="1"/>
                <w:color w:val="0d0d0d"/>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53">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smallCaps w:val="1"/>
                <w:color w:val="0d0d0d"/>
                <w:rtl w:val="0"/>
              </w:rPr>
              <w:t xml:space="preserve">Palabras clave:</w:t>
            </w:r>
          </w:p>
          <w:p w:rsidR="00000000" w:rsidDel="00000000" w:rsidP="00000000" w:rsidRDefault="00000000" w:rsidRPr="00000000" w14:paraId="00000036">
            <w:pPr>
              <w:keepNext w:val="1"/>
              <w:pBdr>
                <w:top w:space="0" w:sz="0" w:val="nil"/>
                <w:left w:space="0" w:sz="0" w:val="nil"/>
                <w:bottom w:space="0" w:sz="0" w:val="nil"/>
                <w:right w:space="0" w:sz="0" w:val="nil"/>
                <w:between w:space="0" w:sz="0" w:val="nil"/>
              </w:pBdr>
              <w:spacing w:line="240" w:lineRule="auto"/>
              <w:ind w:hanging="2"/>
              <w:rPr>
                <w:color w:val="0d0d0d"/>
                <w:sz w:val="17"/>
                <w:szCs w:val="17"/>
              </w:rPr>
            </w:pPr>
            <w:r>
              <w:rPr>
                <w:color w:val="0d0d0d"/>
                <w:sz w:val="17"/>
                <w:szCs w:val="17"/>
                <w:rtl w:val="0"/>
              </w:rPr>
              <w:t xml:space="preserve">riesgo psicosocial; salud laboral; salud mental; estrés laboral; liderazgo.</w:t>
            </w:r>
          </w:p>
          <w:p w:rsidR="00000000" w:rsidDel="00000000" w:rsidP="00000000" w:rsidRDefault="00000000" w:rsidRPr="00000000" w14:paraId="00000055">
            <w:pPr>
              <w:keepNext w:val="1"/>
              <w:pBdr>
                <w:top w:space="0" w:sz="0" w:val="nil"/>
                <w:left w:space="0" w:sz="0" w:val="nil"/>
                <w:bottom w:space="0" w:sz="0" w:val="nil"/>
                <w:right w:space="0" w:sz="0" w:val="nil"/>
                <w:between w:space="0" w:sz="0" w:val="nil"/>
              </w:pBdr>
              <w:spacing w:line="240" w:lineRule="auto"/>
              <w:ind w:hanging="2"/>
              <w:rPr>
                <w:smallCaps w:val="1"/>
                <w:color w:val="0d0d0d"/>
              </w:rPr>
            </w:pPr>
            <w:r w:rsidDel="00000000" w:rsidR="00000000" w:rsidRPr="00000000">
              <w:rPr>
                <w:rtl w:val="0"/>
              </w:rPr>
            </w:r>
          </w:p>
        </w:tc>
      </w:tr>
    </w:tbl>
    <w:p w:rsidR="00000000" w:rsidDel="00000000" w:rsidP="00000000" w:rsidRDefault="00000000" w:rsidRPr="00000000" w14:paraId="00000056">
      <w:pPr>
        <w:ind w:hanging="2"/>
        <w:jc w:val="center"/>
        <w:rPr>
          <w:color w:val="000000"/>
        </w:rPr>
      </w:pPr>
      <w:r w:rsidDel="00000000" w:rsidR="00000000" w:rsidRPr="00000000">
        <w:rPr>
          <w:rtl w:val="0"/>
        </w:rPr>
      </w:r>
    </w:p>
    <w:p>
      <w:pPr>
        <w:spacing w:after="0" w:before="0" w:line="480"/>
        <w:ind w:firstLine="720"/>
        <w:jc w:val="both"/>
      </w:pPr>
      <w:r>
        <w:rPr>
          <w:rFonts w:ascii="Times New Roman" w:cs="Times New Roman" w:eastAsia="Times New Roman" w:hAnsi="Times New Roman"/>
          <w:sz w:val="24"/>
          <w:szCs w:val="24"/>
        </w:rPr>
        <w:t xml:space="preserve">Psychosocial hazards at work are associated with ill health, injury and losses in productivity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 "properties": {"formattedCitation": "(Schulte et al., 2024; World Health Organization, 2022)", "plainCitation": "(Schulte et al., 2024; World Health Organization, 2022)", "noteIndex": 0}, "citationItems": [{"id": "schulte", "uris": ["http://zotero.org/users/local/agempep/items/SCHULTE"], "itemData": {"id": "schulte", "type": "article-journal", "author": [{"family": "Schulte", "given": "PA"}, {"family": "Sauter", "given": "SL"}, {"family": "Pandalai", "given": "SP"}, {"family": "Tiesman", "given": "HM"}, {"family": "Chosewood", "given": "LC"}, {"family": "Cunningham", "given": "TR"}, {"family": "Wurzelbacher", "given": "SJ"}, {"family": "Pana-Cryan", "given": "R"}, {"family": "Swanson", "given": "NG"}, {"family": "Chang", "given": "CC"}, {"family": "Nigam", "given": "JAS"}, {"family": "Reissman", "given": "DB"}, {"family": "Ray", "given": "TK"}, {"family": "Howard", "given": "J"}], "title": "An urgent call to address work-related psychosocial hazards and improve worker well-being", "container-title": "American Journal of Industrial Medicine", "container-title-short": "Am J Ind Med", "issued": {"date-parts": [[2024]]}, "volume": "67", "issue": "6", "page": "499-514", "DOI": "10.1002/ajim.23583"}}, {"id": "who", "uris": ["http://zotero.org/users/local/agempep/items/WHO"], "itemData": {"id": "who", "type": "report", "author": [{"literal": "World Health Organization"}], "title": "WHO guidelines on mental health at work", "publisher": "World Health Organization", "publisher-place": "Geneva", "issued": {"date-parts": [[2022]]}, "URL": "https://www.who.int/publications/i/item/9789240053052"}}],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(Schulte et al., 2024; World Health Organization, 2022)</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a meta-review of 72 reviews with meta-analyses, job strain and long working hours were associated with depression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 "properties": {"formattedCitation": "(Niedhammer et al., 2021)", "plainCitation": "(Niedhammer et al., 2021)", "noteIndex": 0}, "citationItems": [{"id": "niedhammer2021", "uris": ["http://zotero.org/users/local/agempep/items/NIEDHAMMER2021"], "itemData": {"type": "article-journal", "author": [{"family": "Niedhammer", "given": "I"}, {"family": "Bertrais", "given": "S"}, {"family": "Witt", "given": "K"}], "title": "Psychosocial work exposures and health outcomes: a meta-review of 72 literature reviews with meta-analysis", "container-title": "Scandinavian Journal of Work, Environment &amp; Health", "issued": {"date-parts": [[2021]]}, "volume": "47", "issue": "7", "page": "489-508", "DOI": "10.5271/sjweh.3968", "PMID": "34042163", "id": "niedhammer2021"}}],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(Niedhammer et al.,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exposure to some working conditions increases the risk of the onset of depressive disorders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 "properties": {"formattedCitation": "(Rugulies et al., 2023)", "plainCitation": "(Rugulies et al., 2023)", "noteIndex": 0}, "citationItems": [{"id": "rugulies", "uris": ["http://zotero.org/users/local/agempep/items/RUGULIES"], "itemData": {"type": "article-journal", "author": [{"family": "Rugulies", "given": "R"}, {"family": "Aust", "given": "B"}, {"family": "Greiner", "given": "BA"}, {"family": "Arensman", "given": "E"}, {"family": "Kawakami", "given": "N"}, {"family": "LaMontagne", "given": "AD"}, {"family": "Madsen", "given": "IEH"}], "title": "Work-related causes of mental health conditions and interventions for their improvement in workplaces", "container-title": "The Lancet", "issued": {"date-parts": [[2023]]}, "volume": "402", "issue": "10410", "page": "1368-1381", "DOI": "10.1016/S0140-6736(23)00869-3", "PMID": "37838442", "id": "rugulies"}}],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(Rugulies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Brazil, mental and behavioral disorders are among the main causes of absence from work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"AGEM4", "properties": {"formattedCitation": "(Bouzada et al., 2023)", "plainCitation": "(Bouzada et al., 2023)", "noteIndex": 0}, "citationItems": [{"id": "bouzada", "uris": ["http://zotero.org/users/local/agempep/items/BOUZADA"], "itemData": {"type": "article-journal", "author": [{"family": "Bouzada", "given": "DF"}, {"family": "Sol", "given": "NAA"}, {"family": "da Silva", "given": "CAM"}], "title": "Absenteeism due to mental and behavioral disorder in employees of a federal university", "container-title": "Revista Brasileira de Medicina do Trabalho", "issued": {"date-parts": [[2023]]}, "volume": "20", "issue": "4", "page": "515-523", "DOI": "10.47626/1679-4435-2022-763", "PMID": "37101449", "id": "bouzada"}}],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(Bouzada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2024, Brazil amended Regulatory Standard No. 1 (NR-1) to require employers to identify, evaluate and record psychosocial risk factors in their occupational risk management program, without specifying how these factors should be assessed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"AGEM5", "properties": {"formattedCitation": "(Portaria MTE n. 1.419, 2024)", "plainCitation": "(Portaria MTE n. 1.419, 2024)", "noteIndex": 0}, "citationItems": [{"id": "portaria", "uris": ["http://zotero.org/users/local/agempep/items/PORTARIA"], "itemData": {"id": "portaria", "type": "legislation", "author": [{"literal": "Ministério do Trabalho e Emprego"}], "title": "Portaria MTE n. 1.419 de 27 de agosto de 2024. Aprova a nova redação do capítulo 1.5 “Gerenciamento de Riscos Ocupacionais” e altera o Anexo I “Termos e Definições” da Norma Regulamentadora nº 1", "container-title": "Diário Oficial da União", "publisher-place": "Brasília", "issued": {"date-parts": [[2024, 8, 27]]}, "URL": "https://www.gov.br/trabalho-e-emprego/pt-br/assuntos/inspecao-do-trabalho/seguranca-e-saude-no-trabalho/sst-portarias/2024/portaria-mte-no-1-419-nr-01-gro-nova-redacao.pdf"}}],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(Portaria MTE n. 1.419,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Psychosocial factors at work have been described as insufficiently addressed in Brazil despite this change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"AGEM6", "properties": {"formattedCitation": "(de Lucca et al., 2025)", "plainCitation": "(de Lucca et al., 2025)", "noteIndex": 0}, "citationItems": [{"id": "delucca", "uris": ["http://zotero.org/users/local/agempep/items/DELUCCA"], "itemData": {"type": "article-journal", "author": [{"family": "de Lucca", "given": "SR"}, {"family": "Silva Junior", "given": "JS"}, {"family": "Bandini", "given": "M"}], "title": "Critical analysis of psychosocial factors at work within the Risk Management Program of Regulatory Standard-1", "container-title": "Revista Brasileira de Medicina do Trabalho", "issued": {"date-parts": [[2025]]}, "volume": "23", "issue": "1", "page": "e20251425", "DOI": "10.47626/1679-4435-2025-1425", "PMID": "40861191", "id": "delucca"}}],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(de Lucca et al., 2025)</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spacing w:after="0" w:before="0" w:line="480"/>
        <w:ind w:firstLine="720"/>
        <w:jc w:val="both"/>
      </w:pPr>
      <w:r>
        <w:rPr>
          <w:rFonts w:ascii="Times New Roman" w:cs="Times New Roman" w:eastAsia="Times New Roman" w:hAnsi="Times New Roman"/>
          <w:sz w:val="24"/>
          <w:szCs w:val="24"/>
        </w:rPr>
        <w:t xml:space="preserve">Psychosocial risk factors are conditions of work design, organization and management that can cause harm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"AGEM7", "properties": {"formattedCitation": "(International Organization for Standardization, 2021; Teixeira et al., 2025)", "plainCitation": "(International Organization for Standardization, 2021; Teixeira et al., 2025)", "noteIndex": 0}, "citationItems": [{"id": "iso", "uris": ["http://zotero.org/users/local/agempep/items/ISO"],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{"id": "teixeira", "uris": ["http://zotero.org/users/local/agempep/items/TEIXEIRA"], "itemData": {"id": "teixeira", "type": "article-journal", "author": [{"family": "Teixeira", "given": "IDN"}, {"family": "Silva", "given": "IS"}, {"family": "Cadime", "given": "IMD"}], "title": "Psychosocial risks at work: integrative review and conceptual perspectives", "container-title": "Revista Brasileira de Medicina do Trabalho", "container-title-short": "Rev Bras Med Trab", "issued": {"date-parts": [[2025]]}, "volume": "23", "issue": "2", "page": "e20251464", "DOI": "10.47626/1679-4435-2025-1464"}}],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 Teixeira et al., 2025)</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 the Job Demands-Resources model, strain develops when job demands are high and job resources such as autonomy and supervisory support are insufficient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"AGEM8", "properties": {"formattedCitation": "(Bakker &amp; Demerouti, 2007; Demerouti et al., 2001)", "plainCitation": "(Bakker &amp; Demerouti, 2007; Demerouti et al., 2001)", "noteIndex": 0}, "citationItems": [{"id": "bakker", "uris": ["http://zotero.org/users/local/agempep/items/BAKKER"], "itemData": {"id": "bakker", "type": "article-journal", "author": [{"family": "Bakker", "given": "AB"}, {"family": "Demerouti", "given": "E"}], "title": "The Job Demands-Resources model: state of the art", "container-title": "Journal of Managerial Psychology", "container-title-short": "J Manag Psychol", "issued": {"date-parts": [[2007]]}, "volume": "22", "issue": "3", "page": "309-328", "DOI": "10.1108/02683940710733115"}}, {"id": "demerouti", "uris": ["http://zotero.org/users/local/agempep/items/DEMEROUTI"], "itemData": {"id": "demerouti", "type": "article-journal", "author": [{"family": "Demerouti", "given": "E"}, {"family": "Bakker", "given": "AB"}, {"family": "Nachreiner", "given": "F"}, {"family": "Schaufeli", "given": "WB"}], "title": "The job demands-resources model of burnout", "container-title": "Journal of Applied Psychology", "container-title-short": "J Appl Psychol", "issued": {"date-parts": [[2001]]}, "volume": "86", "issue": "3", "page": "499-512", "DOI": "10.1037/0021-9010.86.3.499"}}],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(Bakker &amp; Demerouti, 2007; Demerouti et al., 2001)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Persistent low job control has predicted later major depression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"AGEM9", "properties": {"formattedCitation": "(Taouk et al., 2024)", "plainCitation": "(Taouk et al., 2024)", "noteIndex": 0}, "citationItems": [{"id": "taouk", "uris": ["http://zotero.org/users/local/agempep/items/TAOUK"], "itemData": {"type": "article-journal", "author": [{"family": "Taouk", "given": "Y"}, {"family": "Aitken", "given": "Z"}, {"family": "LaMontagne", "given": "AD"}, {"family": "King", "given": "T"}], "title": "Persistent low job control and subsequent major depression: a prospective cohort study of Australian working males", "container-title": "Social Science &amp; Medicine", "issued": {"date-parts": [[2024]]}, "volume": "359", "page": "117283", "DOI": "10.1016/j.socscimed.2024.117283", "PMID": "39232379", "id": "taouk"}}],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(Taouk et al.,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poor quality of leadership has predicted later mental distress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"AGEM10", "properties": {"formattedCitation": "(Burr et al., 2025; Fløvik et al., 2020)", "plainCitation": "(Burr et al., 2025; Fløvik et al., 2020)", "noteIndex": 0}, "citationItems": [{"id": "burr", "uris": ["http://zotero.org/users/local/agempep/items/BURR"], "itemData": {"id": "burr", "type": "article-journal", "author": [{"family": "Burr", "given": "H"}, {"family": "Kersten", "given": "N"}, {"family": "Sørensen", "given": "K"}, {"family": "Sørensen", "given": "JK"}, {"family": "Dalsager", "given": "L"}, {"family": "Madsen", "given": "IEH"}, {"family": "Schöllgen", "given": "I"}, {"family": "d'Errico", "given": "A"}, {"family": "Rose", "given": "U"}, {"family": "Rugulies", "given": "R"}], "title": "A comparison among employees in Germany and Denmark of associations between quality of leadership and subsequent 5-year development of mental distress", "container-title": "Scientific Reports", "container-title-short": "Sci Rep", "issued": {"date-parts": [[2025]]}, "volume": "15", "issue": "1", "page": "7802", "DOI": "10.1038/s41598-025-92650-0"}}, {"id": "flovik", "uris": ["http://zotero.org/users/local/agempep/items/FLOVIK"], "itemData": {"id": "flovik", "type": "article-journal", "author": [{"family": "Fløvik", "given": "L"}, {"family": "Knardahl", "given": "S"}, {"family": "Christensen", "given": "JO"}], "title": "How leadership behaviors influence the effects of job predictability and perceived employability on employee mental health – a multilevel, prospective study", "container-title": "Scandinavian Journal of Work, Environment &amp; Health", "container-title-short": "Scand J Work Environ Health", "issued": {"date-parts": [[2020]]}, "volume": "46", "issue": "4", "page": "392-401", "DOI": "10.5271/sjweh.3880"}}],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(Burr et al., 2025; Fløvik et al., 2020)</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Organizational level interventions can improve the psychosocial work environment and the health of employees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"AGEM11", "properties": {"formattedCitation": "(Aust et al., 2023; Rugulies et al., 2023)", "plainCitation": "(Aust et al., 2023; Rugulies et al., 2023)", "noteIndex": 0}, "citationItems": [{"id": "aust", "uris": ["http://zotero.org/users/local/agempep/items/AUST"], "itemData": {"type": "article-journal", "author": [{"family": "Aust", "given": "B"}, {"family": "Møller", "given": "JL"}, {"family": "Nordentoft", "given": "M"}, {"family": "Frydendall", "given": "KB"}, {"family": "Bengtsen", "given": "E"}, {"family": "Jensen", "given": "AB"}, {"family": "Garde", "given": "AH"}, {"family": "Kompier", "given": "M"}, {"family": "Semmer", "given": "N"}, {"family": "Rugulies", "given": "R"}, {"family": "Jaspers", "given": "SØ"}], "title": "How effective are organizational-level interventions in improving the psychosocial work environment, health, and retention of workers? A systematic overview of systematic reviews", "container-title": "Scandinavian Journal of Work, Environment &amp; Health", "issued": {"date-parts": [[2023]]}, "volume": "49", "issue": "5", "page": "315-329", "DOI": "10.5271/sjweh.4097", "PMID": "37158211", "id": "aust"}}, {"id": "rugulies", "uris": ["http://zotero.org/users/local/agempep/items/RUGULIES"], "itemData": {"type": "article-journal", "author": [{"family": "Rugulies", "given": "R"}, {"family": "Aust", "given": "B"}, {"family": "Greiner", "given": "BA"}, {"family": "Arensman", "given": "E"}, {"family": "Kawakami", "given": "N"}, {"family": "LaMontagne", "given": "AD"}, {"family": "Madsen", "given": "IEH"}], "title": "Work-related causes of mental health conditions and interventions for their improvement in workplaces", "container-title": "The Lancet", "issued": {"date-parts": [[2023]]}, "volume": "402", "issue": "10410", "page": "1368-1381", "DOI": "10.1016/S0140-6736(23)00869-3", "PMID": "37838442", "id": "rugulies"}}],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(Aust et al., 2023; Rugulies et al., 2023)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national legislation on psychosocial risks in Europe has been associated with more enterprises having action plans for work related stress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"AGEM12", "properties": {"formattedCitation": "(Jain et al., 2022)", "plainCitation": "(Jain et al., 2022)", "noteIndex": 0}, "citationItems": [{"id": "jain", "uris": ["http://zotero.org/users/local/agempep/items/JAIN"], "itemData": {"type": "article-journal", "author": [{"family": "Jain", "given": "A"}, {"family": "Torres", "given": "LD"}, {"family": "Teoh", "given": "K"}, {"family": "Leka", "given": "S"}], "title": "The impact of national legislation on psychosocial risks on organisational action plans, psychosocial working conditions, and employee work-related stress in Europe", "container-title": "Social Science &amp; Medicine", "issued": {"date-parts": [[2022]]}, "volume": "302", "page": "114987", "DOI": "10.1016/j.socscimed.2022.114987", "PMID": "35500313", "id": "jain"}}],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(Jain et al., 2022)</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Risk management guidance describes a continuing cycle in which risks are identified, actions are tailored to the risks found, and the same indicators are measured again to review the effect of those actions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"AGEM13", "properties": {"formattedCitation": "(International Organization for Standardization, 2021)", "plainCitation": "(International Organization for Standardization, 2021)", "noteIndex": 0}, "citationItems": [{"id": "iso", "uris": ["http://zotero.org/users/local/agempep/items/ISO"],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This cycle requires indicators that are measured repeatedly and compared over time. Anonymous workforce surveys protect employees, but their responses cannot be linked over time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"AGEM14", "properties": {"formattedCitation": "(Authors, 2026)", "plainCitation": "(Authors, 2026)", "noteIndex": 0}, "citationItems": [{"id": "masked", "uris": ["http://zotero.org/users/local/agempep/items/MASKED"], "itemData": {"type": "manuscript", "author": [{"literal": "Authors"}], "title": "Details omitted for masked review", "issued": {"date-parts": [[2026]]}, "id": "masked"}}],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(Authors,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keepNext/>
        <w:spacing w:after="0" w:before="0" w:line="480"/>
        <w:ind w:left="0" w:firstLine="0"/>
        <w:jc w:val="left"/>
      </w:pPr>
      <w:r>
        <w:rPr>
          <w:rFonts w:ascii="Times New Roman" w:cs="Times New Roman" w:eastAsia="Times New Roman" w:hAnsi="Times New Roman"/>
          <w:b/>
          <w:bCs/>
          <w:sz w:val="24"/>
          <w:szCs w:val="24"/>
        </w:rPr>
        <w:t xml:space="preserve">The Current Study</w:t>
      </w:r>
    </w:p>
    <w:p>
      <w:pPr>
        <w:spacing w:after="0" w:before="0" w:line="480"/>
        <w:ind w:firstLine="720"/>
        <w:jc w:val="both"/>
      </w:pPr>
      <w:r>
        <w:rPr>
          <w:rFonts w:ascii="Times New Roman" w:cs="Times New Roman" w:eastAsia="Times New Roman" w:hAnsi="Times New Roman"/>
          <w:sz w:val="24"/>
          <w:szCs w:val="24"/>
        </w:rPr>
        <w:t xml:space="preserve">Companies subject to NR-1 need evidence on whether the indicators they collect remain stable between assessments. The goals of this study are to describe the stability of psychosocial risk indicators across repeated anonymous monitoring waves among leaders and employees of two Brazilian companies, and to identify the indicators that could guide tailored interventions. Because psychosocial risk factors reflect conditions of work design and organization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"AGEM15", "properties": {"formattedCitation": "(International Organization for Standardization, 2021)", "plainCitation": "(International Organization for Standardization, 2021)", "noteIndex": 0}, "citationItems": [{"id": "iso", "uris": ["http://zotero.org/users/local/agempep/items/ISO"],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the interval between waves was short, we expected most indicators to remain stable. The analysis is exploratory, and its results are preliminary.</w:t>
      </w:r>
    </w:p>
    <w:p>
      <w:pPr>
        <w:keepNext/>
        <w:spacing w:after="0" w:before="0" w:line="480"/>
        <w:ind w:left="0" w:firstLine="0"/>
        <w:jc w:val="center"/>
      </w:pPr>
      <w:r>
        <w:rPr>
          <w:rFonts w:ascii="Times New Roman" w:cs="Times New Roman" w:eastAsia="Times New Roman" w:hAnsi="Times New Roman"/>
          <w:b/>
          <w:bCs/>
          <w:sz w:val="24"/>
          <w:szCs w:val="24"/>
        </w:rPr>
        <w:t xml:space="preserve">Method</w:t>
      </w:r>
    </w:p>
    <w:p>
      <w:pPr>
        <w:keepNext/>
        <w:spacing w:after="0" w:before="0" w:line="480"/>
        <w:ind w:left="0" w:firstLine="0"/>
        <w:jc w:val="left"/>
      </w:pPr>
      <w:r>
        <w:rPr>
          <w:rFonts w:ascii="Times New Roman" w:cs="Times New Roman" w:eastAsia="Times New Roman" w:hAnsi="Times New Roman"/>
          <w:b/>
          <w:bCs/>
          <w:sz w:val="24"/>
          <w:szCs w:val="24"/>
        </w:rPr>
        <w:t xml:space="preserve">Design and Participants</w:t>
      </w:r>
    </w:p>
    <w:p>
      <w:pPr>
        <w:spacing w:after="0" w:before="0" w:line="480"/>
        <w:ind w:firstLine="720"/>
        <w:jc w:val="both"/>
      </w:pPr>
      <w:r>
        <w:rPr>
          <w:rFonts w:ascii="Times New Roman" w:cs="Times New Roman" w:eastAsia="Times New Roman" w:hAnsi="Times New Roman"/>
          <w:sz w:val="24"/>
          <w:szCs w:val="24"/>
        </w:rPr>
        <w:t xml:space="preserve">This repeated cross sectional study is a secondary analysis of anonymous data from psychosocial risk monitoring conducted during the evaluation of a workplace emotion management program, which was delivered between waves. The study does not estimate program effects. Reporting follows the STROBE guidelines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"AGEM16", "properties": {"formattedCitation": "(von Elm et al., 2007)", "plainCitation": "(von Elm et al., 2007)", "noteIndex": 0}, "citationItems": [{"id": "strobe", "uris": ["http://zotero.org/users/local/agempep/items/STROBE"], "itemData": {"id": "strobe", "type": "article-journal", "author": [{"family": "von Elm", "given": "E"}, {"family": "Altman", "given": "DG"}, {"family": "Egger", "given": "M"}, {"family": "Pocock", "given": "SJ"}, {"family": "Gøtzsche", "given": "PC"}, {"family": "Vandenbroucke", "given": "JP"}], "title": "The Strengthening the Reporting of Observational Studies in Epidemiology (STROBE) statement: guidelines for reporting observational studies", "container-title": "The Lancet", "container-title-short": "Lancet", "issued": {"date-parts": [[2007]]}, "volume": "370", "issue": "9596", "page": "1453-1457", "DOI": "10.1016/S0140-6736(07)61602-X"}}],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(von Elm et al., 2007)</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Participants were leaders and employees of two Brazilian companies: a business technology company that sells consortium plans and related financial products (Company A) and an energy trading company (Company B). Leaders answered at three waves: from December 2025 to January 2026 (T1;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21), in June 2026 (T2;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22) and in August 2026 (T3;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18). Employees answered at two waves: from December 2025 to January 2026 (T1;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111) and in April 2026 (T2;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105). Company A contributed 15, 16 and 15 leaders and 86 employees at each wave, and Company B contributed 6, 6 and 3 leaders and 25 and 19 employees. The T1 employee data were analyzed in a cross sectional feasibility study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"AGEM17", "properties": {"formattedCitation": "(Authors, 2026)", "plainCitation": "(Authors, 2026)", "noteIndex": 0}, "citationItems": [{"id": "masked", "uris": ["http://zotero.org/users/local/agempep/items/MASKED"], "itemData": {"type": "manuscript", "author": [{"literal": "Authors"}], "title": "Details omitted for masked review", "issued": {"date-parts": [[2026]]}, "id": "masked"}}],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(Authors,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present study adds the leader data and the later waves.</w:t>
      </w:r>
    </w:p>
    <w:p>
      <w:pPr>
        <w:keepNext/>
        <w:spacing w:after="0" w:before="0" w:line="480"/>
        <w:ind w:left="0" w:firstLine="0"/>
        <w:jc w:val="left"/>
      </w:pPr>
      <w:r>
        <w:rPr>
          <w:rFonts w:ascii="Times New Roman" w:cs="Times New Roman" w:eastAsia="Times New Roman" w:hAnsi="Times New Roman"/>
          <w:b/>
          <w:bCs/>
          <w:sz w:val="24"/>
          <w:szCs w:val="24"/>
        </w:rPr>
        <w:t xml:space="preserve">Measures</w:t>
      </w:r>
    </w:p>
    <w:p>
      <w:pPr>
        <w:keepNext/>
        <w:spacing w:after="0" w:before="0" w:line="480"/>
        <w:ind w:left="0" w:firstLine="0"/>
        <w:jc w:val="left"/>
      </w:pPr>
      <w:r>
        <w:rPr>
          <w:rFonts w:ascii="Times New Roman" w:cs="Times New Roman" w:eastAsia="Times New Roman" w:hAnsi="Times New Roman"/>
          <w:b/>
          <w:bCs/>
          <w:i/>
          <w:iCs/>
          <w:sz w:val="24"/>
          <w:szCs w:val="24"/>
        </w:rPr>
        <w:t xml:space="preserve">Leader Inventory</w:t>
      </w:r>
    </w:p>
    <w:p>
      <w:pPr>
        <w:spacing w:after="0" w:before="0" w:line="480"/>
        <w:ind w:firstLine="720"/>
        <w:jc w:val="both"/>
      </w:pPr>
      <w:r>
        <w:rPr>
          <w:rFonts w:ascii="Times New Roman" w:cs="Times New Roman" w:eastAsia="Times New Roman" w:hAnsi="Times New Roman"/>
          <w:sz w:val="24"/>
          <w:szCs w:val="24"/>
        </w:rPr>
        <w:t xml:space="preserve">Items covered the demands and resources of the leadership role and were rated from 1 (strongly disagree) to 5 (strongly agree). An example item is “I often need to intervene in conflicts that wear down my work routine.”</w:t>
      </w:r>
    </w:p>
    <w:p>
      <w:pPr>
        <w:keepNext/>
        <w:spacing w:after="0" w:before="0" w:line="480"/>
        <w:ind w:left="0" w:firstLine="0"/>
        <w:jc w:val="left"/>
      </w:pPr>
      <w:r>
        <w:rPr>
          <w:rFonts w:ascii="Times New Roman" w:cs="Times New Roman" w:eastAsia="Times New Roman" w:hAnsi="Times New Roman"/>
          <w:b/>
          <w:bCs/>
          <w:i/>
          <w:iCs/>
          <w:sz w:val="24"/>
          <w:szCs w:val="24"/>
        </w:rPr>
        <w:t xml:space="preserve">Employee Inventory</w:t>
      </w:r>
    </w:p>
    <w:p>
      <w:pPr>
        <w:spacing w:after="0" w:before="0" w:line="480"/>
        <w:ind w:firstLine="720"/>
        <w:jc w:val="both"/>
      </w:pPr>
      <w:r>
        <w:rPr>
          <w:rFonts w:ascii="Times New Roman" w:cs="Times New Roman" w:eastAsia="Times New Roman" w:hAnsi="Times New Roman"/>
          <w:sz w:val="24"/>
          <w:szCs w:val="24"/>
        </w:rPr>
        <w:t xml:space="preserve">Items covered psychosocial work factors and mental health symptoms and were rated from 1 (never) to 5 (always)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"AGEM18", "properties": {"formattedCitation": "(Authors, 2026)", "plainCitation": "(Authors, 2026)", "noteIndex": 0}, "citationItems": [{"id": "masked", "uris": ["http://zotero.org/users/local/agempep/items/MASKED"], "itemData": {"type": "manuscript", "author": [{"literal": "Authors"}], "title": "Details omitted for masked review", "issued": {"date-parts": [[2026]]}, "id": "masked"}}],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(Authors,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 example item is “Are you free to organize your activities?” Both inventories were written to cover the hazard categories named in NR-1, and their validity has not been examined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"AGEM19", "properties": {"formattedCitation": "(Authors, 2026)", "plainCitation": "(Authors, 2026)", "noteIndex": 0}, "citationItems": [{"id": "masked", "uris": ["http://zotero.org/users/local/agempep/items/MASKED"], "itemData": {"type": "manuscript", "author": [{"literal": "Authors"}], "title": "Details omitted for masked review", "issued": {"date-parts": [[2026]]}, "id": "masked"}}],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(Authors,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Items whose higher agreement or frequency indicates higher risk were flagged as risk items. Items were administered in Portuguese and are reported in English translation, with the full wording of the analyzed items in Annex B.</w:t>
      </w:r>
    </w:p>
    <w:p>
      <w:pPr>
        <w:keepNext/>
        <w:spacing w:after="0" w:before="0" w:line="480"/>
        <w:ind w:left="0" w:firstLine="0"/>
        <w:jc w:val="left"/>
      </w:pPr>
      <w:r>
        <w:rPr>
          <w:rFonts w:ascii="Times New Roman" w:cs="Times New Roman" w:eastAsia="Times New Roman" w:hAnsi="Times New Roman"/>
          <w:b/>
          <w:bCs/>
          <w:i/>
          <w:iCs/>
          <w:sz w:val="24"/>
          <w:szCs w:val="24"/>
        </w:rPr>
        <w:t xml:space="preserve">Item Selection</w:t>
      </w:r>
    </w:p>
    <w:p>
      <w:pPr>
        <w:spacing w:after="0" w:before="0" w:line="480"/>
        <w:ind w:firstLine="720"/>
        <w:jc w:val="both"/>
      </w:pPr>
      <w:r>
        <w:rPr>
          <w:rFonts w:ascii="Times New Roman" w:cs="Times New Roman" w:eastAsia="Times New Roman" w:hAnsi="Times New Roman"/>
          <w:sz w:val="24"/>
          <w:szCs w:val="24"/>
        </w:rPr>
        <w:t xml:space="preserve">The wording of every item was compared across the online forms used at each wave, and only items worded identically at all waves were analyzed. Eight of 20 leader items met this criterion; 11 were reworded or negated at T2, and 1 was not asked at T2. Thirty eight of the 49 employee items asked at T1 met it; 5 were reworded at T2 and 6 were not asked at T2. The 38 items comprise 23 on emotional regulation and mental health symptoms, 14 on psychosocial work factors and 1 on satisfaction with oneself.</w:t>
      </w:r>
    </w:p>
    <w:p>
      <w:pPr>
        <w:keepNext/>
        <w:spacing w:after="0" w:before="0" w:line="480"/>
        <w:ind w:left="0" w:firstLine="0"/>
        <w:jc w:val="left"/>
      </w:pPr>
      <w:r>
        <w:rPr>
          <w:rFonts w:ascii="Times New Roman" w:cs="Times New Roman" w:eastAsia="Times New Roman" w:hAnsi="Times New Roman"/>
          <w:b/>
          <w:bCs/>
          <w:i/>
          <w:iCs/>
          <w:sz w:val="24"/>
          <w:szCs w:val="24"/>
        </w:rPr>
        <w:t xml:space="preserve">Reliability</w:t>
      </w:r>
    </w:p>
    <w:p>
      <w:pPr>
        <w:spacing w:after="0" w:before="0" w:line="480"/>
        <w:ind w:firstLine="720"/>
        <w:jc w:val="both"/>
      </w:pPr>
      <w:r>
        <w:rPr>
          <w:rFonts w:ascii="Times New Roman" w:cs="Times New Roman" w:eastAsia="Times New Roman" w:hAnsi="Times New Roman"/>
          <w:sz w:val="24"/>
          <w:szCs w:val="24"/>
        </w:rPr>
        <w:t xml:space="preserve">Cronbach’s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with ordinal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based on polychoric correlations in parentheses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"AGEM20", "properties": {"formattedCitation": "(Zumbo et al., 2007)", "plainCitation": "(Zumbo et al., 2007)", "noteIndex": 0}, "citationItems": [{"id": "zumbo", "uris": ["http://zotero.org/users/local/agempep/items/ZUMBO"], "itemData": {"type": "article-journal", "author": [{"family": "Zumbo", "given": "BD"}, {"family": "Gadermann", "given": "AM"}, {"family": "Zeisser", "given": "C"}], "title": "Ordinal versions of coefficients alpha and theta for Likert rating scales", "container-title": "Journal of Modern Applied Statistical Methods", "issued": {"date-parts": [[2007]]}, "volume": "6", "issue": "1", "page": "21-29", "DOI": "10.22237/jmasm/1177992180", "id": "zumbo"}}],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(Zumbo et al., 2007)</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was .62 (.69) at T1, .78 (.82) at T2 and .32 (.36) at T3 for the eight leader items. Because these items cover different demands and resources, they were analyzed individually. For employees,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was .92 (.93) at T1 and .90 (.91) at T2 for the 23 symptom items, and .88 (.91) and .91 (.93) for the 14 work factor items. Positively worded items were reversed before these estimates.</w:t>
      </w:r>
    </w:p>
    <w:p>
      <w:pPr>
        <w:keepNext/>
        <w:spacing w:after="0" w:before="0" w:line="480"/>
        <w:ind w:left="0" w:firstLine="0"/>
        <w:jc w:val="left"/>
      </w:pPr>
      <w:r>
        <w:rPr>
          <w:rFonts w:ascii="Times New Roman" w:cs="Times New Roman" w:eastAsia="Times New Roman" w:hAnsi="Times New Roman"/>
          <w:b/>
          <w:bCs/>
          <w:sz w:val="24"/>
          <w:szCs w:val="24"/>
        </w:rPr>
        <w:t xml:space="preserve">Procedure</w:t>
      </w:r>
    </w:p>
    <w:p>
      <w:pPr>
        <w:spacing w:after="0" w:before="0" w:line="480"/>
        <w:ind w:firstLine="720"/>
        <w:jc w:val="both"/>
      </w:pPr>
      <w:r>
        <w:rPr>
          <w:rFonts w:ascii="Times New Roman" w:cs="Times New Roman" w:eastAsia="Times New Roman" w:hAnsi="Times New Roman"/>
          <w:sz w:val="24"/>
          <w:szCs w:val="24"/>
        </w:rPr>
        <w:t xml:space="preserve">Before the first wave, a meeting with employees presented the purpose and stages of the assessment and stated that participation was voluntary and anonymous. At each wave, participants answered an anonymous online survey on SurveyMonkey. No names, email addresses, job titles or work units were recorded, and results were returned to each company only in aggregate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"AGEM21", "properties": {"formattedCitation": "(Authors, 2026)", "plainCitation": "(Authors, 2026)", "noteIndex": 0}, "citationItems": [{"id": "masked", "uris": ["http://zotero.org/users/local/agempep/items/MASKED"], "itemData": {"type": "manuscript", "author": [{"literal": "Authors"}], "title": "Details omitted for masked review", "issued": {"date-parts": [[2026]]}, "id": "masked"}}],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(Authors,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The study was registered on Plataforma Brasil and approved by a Research Ethics Committee of the Brazilian CEP/CONEP system; the approval number is reported in the cover letter to preserve masked review. The committee approved the informed consent form, which described the risks of participation as minimal and stated that workers could decline to participate without constraint or harm. Procedures followed the ethical guidelines for research in the Human and Social Sciences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"AGEM22", "properties": {"formattedCitation": "(Resolução CNS n. 510, 2016)", "plainCitation": "(Resolução CNS n. 510, 2016)", "noteIndex": 0}, "citationItems": [{"id": "cns510", "uris": ["http://zotero.org/users/local/agempep/items/CNS510"], "itemData": {"id": "cns510", "type": "legislation", "author": [{"literal": "Conselho Nacional de Saúde"}], "title": "Resolução CNS n. 510 de 7 de abril de 2016. Dispõe sobre as normas aplicáveis a pesquisas em Ciências Humanas e Sociais", "container-title": "Diário Oficial da União", "publisher-place": "Brasília", "issued": {"date-parts": [[2016, 4, 7]]}, "URL": "https://bvsms.saude.gov.br/bvs/saudelegis/cns/2016/res0510_07_04_2016.html"}}],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(Resolução CNS n. 510, 2016)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keepNext/>
        <w:spacing w:after="0" w:before="0" w:line="480"/>
        <w:ind w:left="0" w:firstLine="0"/>
        <w:jc w:val="left"/>
      </w:pPr>
      <w:r>
        <w:rPr>
          <w:rFonts w:ascii="Times New Roman" w:cs="Times New Roman" w:eastAsia="Times New Roman" w:hAnsi="Times New Roman"/>
          <w:b/>
          <w:bCs/>
          <w:sz w:val="24"/>
          <w:szCs w:val="24"/>
        </w:rPr>
        <w:t xml:space="preserve">Data Analysis</w:t>
      </w:r>
    </w:p>
    <w:p>
      <w:pPr>
        <w:spacing w:after="0" w:before="0" w:line="480"/>
        <w:ind w:firstLine="720"/>
        <w:jc w:val="both"/>
      </w:pPr>
      <w:r>
        <w:rPr>
          <w:rFonts w:ascii="Times New Roman" w:cs="Times New Roman" w:eastAsia="Times New Roman" w:hAnsi="Times New Roman"/>
          <w:sz w:val="24"/>
          <w:szCs w:val="24"/>
        </w:rPr>
        <w:t xml:space="preserve">Each item was analyzed with a proportional odds model of the five point response on wave, with company as a covariate because the share of respondents from each company differed across waves. The effect of wave was tested with a likelihood ratio test, and odds ratios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with Wald 95% confidence intervals compare each later wave with T1. When the test of wave gave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 pairwise contrasts between waves gave the direction of change. Tests were two sided and were not adjusted for multiplicity. For presentation, responses were grouped into three categories: disagree, neutral and agree for leaders (1 to 2, 3 and 4 to 5), and never or rarely, sometimes and often or always for employees. Table 1 reports the number of leaders in each category by wave, with items ordered by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Tables A1 and A2 (Annex A) report the percentage of employees answering often or always by wave. Items are identified by number and a short label, risk items are marked with a dagger (†), and the two companies are combined. Analyses were conducted in R 4.3.3 with the packages ordinal 2023.12.4, emmeans 1.10.0, psych 2.4.1 and tidyverse 2.0.0. The study was not preregistered, and the analysis code is available from the corresponding author.</w:t>
      </w:r>
    </w:p>
    <w:p>
      <w:pPr>
        <w:keepNext/>
        <w:spacing w:after="0" w:before="0" w:line="480"/>
        <w:ind w:left="0" w:firstLine="0"/>
        <w:jc w:val="center"/>
      </w:pPr>
      <w:r>
        <w:rPr>
          <w:rFonts w:ascii="Times New Roman" w:cs="Times New Roman" w:eastAsia="Times New Roman" w:hAnsi="Times New Roman"/>
          <w:b/>
          <w:bCs/>
          <w:sz w:val="24"/>
          <w:szCs w:val="24"/>
        </w:rPr>
        <w:t xml:space="preserve">Results</w:t>
      </w:r>
    </w:p>
    <w:p>
      <w:pPr>
        <w:keepNext/>
        <w:spacing w:after="0" w:before="0" w:line="480"/>
        <w:ind w:left="0" w:firstLine="0"/>
        <w:jc w:val="left"/>
      </w:pPr>
      <w:r>
        <w:rPr>
          <w:rFonts w:ascii="Times New Roman" w:cs="Times New Roman" w:eastAsia="Times New Roman" w:hAnsi="Times New Roman"/>
          <w:b/>
          <w:bCs/>
          <w:sz w:val="24"/>
          <w:szCs w:val="24"/>
        </w:rPr>
        <w:t xml:space="preserve">Leaders</w:t>
      </w:r>
    </w:p>
    <w:p>
      <w:pPr>
        <w:spacing w:after="0" w:before="0" w:line="480"/>
        <w:ind w:firstLine="720"/>
        <w:jc w:val="both"/>
      </w:pPr>
      <w:r>
        <w:rPr>
          <w:rFonts w:ascii="Times New Roman" w:cs="Times New Roman" w:eastAsia="Times New Roman" w:hAnsi="Times New Roman"/>
          <w:sz w:val="24"/>
          <w:szCs w:val="24"/>
        </w:rPr>
        <w:t xml:space="preserve">None of the eight leader items changed across the three waves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from .192 to .822; Table 1). The largest descriptive shift was in decision responsibility: agreement rose from 19% at T1 to 41% at T2 and 44% at T3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for T3 vs. T1 = 1.94,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[0.61, 6.16],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.521). Among the five risk items, agreement was also higher at T3 than at T1 for items 7 (5% to 17%) and 8 (10% to 22%), and lower for items 12 (32% to 17%) and 19 (47% to 44%). Agreement with the three resource items ranged from 56% to 83% across waves. The confidence intervals of the odds ratios spanned values from about 0.1 to 9.</w:t>
      </w:r>
    </w:p>
    <w:p>
      <w:pPr>
        <w:sectPr>
          <w:headerReference r:id="rId35" w:type="default"/>
          <w:headerReference r:id="rId36" w:type="first"/>
          <w:headerReference r:id="rId37" w:type="even"/>
          <w:footerReference r:id="rId38" w:type="default"/>
          <w:footerReference r:id="rId39" w:type="first"/>
          <w:footerReference r:id="rId40" w:type="even"/>
          <w:pgSz w:h="16837" w:w="11900" w:orient="portrait"/>
          <w:pgMar w:bottom="1440" w:top="1440" w:left="1440" w:right="1440" w:header="624" w:footer="709" w:gutter="0"/>
          <w:pgNumType w:start="1"/>
          <w:titlePg w:val="1"/>
        </w:sectPr>
      </w:pPr>
    </w:p>
    <w:p>
      <w:pPr>
        <w:keepNext/>
        <w:spacing w:after="0" w:before="240" w:line="480"/>
        <w:ind w:left="0" w:firstLine="0"/>
        <w:jc w:val="left"/>
      </w:pPr>
      <w:r>
        <w:rPr>
          <w:rFonts w:ascii="Times New Roman" w:cs="Times New Roman" w:eastAsia="Times New Roman" w:hAnsi="Times New Roman"/>
          <w:b/>
          <w:bCs/>
          <w:sz w:val="24"/>
          <w:szCs w:val="24"/>
        </w:rPr>
        <w:t xml:space="preserve">Table 1</w:t>
      </w:r>
    </w:p>
    <w:p>
      <w:pPr>
        <w:keepNext/>
        <w:spacing w:after="0" w:line="480"/>
        <w:ind w:left="0" w:firstLine="0"/>
        <w:jc w:val="left"/>
      </w:pPr>
      <w:r>
        <w:rPr>
          <w:rFonts w:ascii="Times New Roman" w:cs="Times New Roman" w:eastAsia="Times New Roman" w:hAnsi="Times New Roman"/>
          <w:i/>
          <w:iCs/>
          <w:sz w:val="24"/>
          <w:szCs w:val="24"/>
        </w:rPr>
        <w:t xml:space="preserve">Responses of Leaders to the Stable Items by Wave</w:t>
      </w:r>
    </w:p>
    <w:tbl>
      <w:tblPr>
        <w:tblW w:type="dxa" w:w="13950"/>
        <w:tblBorders>
          <w:top w:val="none" w:color="FFFFFF" w:sz="0"/>
          <w:left w:val="none" w:color="FFFFFF" w:sz="0"/>
          <w:bottom w:val="none" w:color="FFFFFF" w:sz="0"/>
          <w:right w:val="none" w:color="FFFFFF" w:sz="0"/>
          <w:insideH w:val="none" w:color="FFFFFF" w:sz="0"/>
          <w:insideV w:val="none" w:color="FFFFFF" w:sz="0"/>
        </w:tblBorders>
      </w:tblPr>
      <w:tblGrid>
        <w:gridCol w:w="3550"/>
        <w:gridCol w:w="1500"/>
        <w:gridCol w:w="1250"/>
        <w:gridCol w:w="1250"/>
        <w:gridCol w:w="1250"/>
        <w:gridCol w:w="750"/>
        <w:gridCol w:w="2200"/>
        <w:gridCol w:w="2200"/>
      </w:tblGrid>
      <w:tr>
        <w:trPr>
          <w:tblHeader/>
        </w:trPr>
        <w:tc>
          <w:tcPr>
            <w:tcW w:type="dxa" w:w="35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left"/>
            </w:pPr>
            <w:r>
              <w:rPr>
                <w:rFonts w:ascii="Times New Roman" w:cs="Times New Roman" w:eastAsia="Times New Roman" w:hAnsi="Times New Roman"/>
                <w:sz w:val="24"/>
                <w:szCs w:val="24"/>
              </w:rPr>
              <w:t xml:space="preserve">Item</w:t>
            </w:r>
          </w:p>
        </w:tc>
        <w:tc>
          <w:tcPr>
            <w:tcW w:type="dxa" w:w="15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left"/>
            </w:pPr>
            <w:r>
              <w:rPr>
                <w:rFonts w:ascii="Times New Roman" w:cs="Times New Roman" w:eastAsia="Times New Roman" w:hAnsi="Times New Roman"/>
                <w:sz w:val="24"/>
                <w:szCs w:val="24"/>
              </w:rPr>
              <w:t xml:space="preserve">Response</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sz w:val="24"/>
                <w:szCs w:val="24"/>
              </w:rPr>
              <w:t xml:space="preserve">T1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21)</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sz w:val="24"/>
                <w:szCs w:val="24"/>
              </w:rPr>
              <w:t xml:space="preserve">T2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22)</w:t>
            </w:r>
          </w:p>
        </w:tc>
        <w:tc>
          <w:tcPr>
            <w:tcW w:type="dxa" w:w="12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sz w:val="24"/>
                <w:szCs w:val="24"/>
              </w:rPr>
              <w:t xml:space="preserve">T3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18)</w:t>
            </w:r>
          </w:p>
        </w:tc>
        <w:tc>
          <w:tcPr>
            <w:tcW w:type="dxa" w:w="7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i/>
                <w:iCs/>
                <w:sz w:val="24"/>
                <w:szCs w:val="24"/>
              </w:rPr>
              <w:t xml:space="preserve">p</w:t>
            </w:r>
          </w:p>
        </w:tc>
        <w:tc>
          <w:tcPr>
            <w:tcW w:type="dxa" w:w="22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c>
          <w:tcPr>
            <w:tcW w:type="dxa" w:w="22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T3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r>
      <w:tr>
        <w:trPr>
          <w:cantSplit/>
        </w:trPr>
        <w:tc>
          <w:tcPr>
            <w:tcW w:type="dxa" w:w="35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7. Frequent conflict intervention †</w:t>
            </w:r>
          </w:p>
        </w:tc>
        <w:tc>
          <w:tcPr>
            <w:tcW w:type="dxa" w:w="1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13</w:t>
            </w:r>
          </w:p>
          <w:p>
            <w:pPr>
              <w:spacing w:after="0" w:before="0" w:line="240"/>
              <w:ind w:left="0" w:firstLine="0"/>
              <w:jc w:val="center"/>
            </w:pPr>
            <w:r>
              <w:rPr>
                <w:rFonts w:ascii="Times New Roman" w:cs="Times New Roman" w:eastAsia="Times New Roman" w:hAnsi="Times New Roman"/>
                <w:sz w:val="24"/>
                <w:szCs w:val="24"/>
              </w:rPr>
              <w:t xml:space="preserve">7</w:t>
            </w:r>
          </w:p>
          <w:p>
            <w:pPr>
              <w:spacing w:after="0" w:before="0" w:line="240"/>
              <w:ind w:left="0" w:firstLine="0"/>
              <w:jc w:val="center"/>
            </w:pPr>
            <w:r>
              <w:rPr>
                <w:rFonts w:ascii="Times New Roman" w:cs="Times New Roman" w:eastAsia="Times New Roman" w:hAnsi="Times New Roman"/>
                <w:sz w:val="24"/>
                <w:szCs w:val="24"/>
              </w:rPr>
              <w:t xml:space="preserve">1</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15</w:t>
            </w:r>
          </w:p>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3</w:t>
            </w:r>
          </w:p>
        </w:tc>
        <w:tc>
          <w:tcPr>
            <w:tcW w:type="dxa" w:w="12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w:t>
            </w:r>
          </w:p>
          <w:p>
            <w:pPr>
              <w:spacing w:after="0" w:before="0" w:line="240"/>
              <w:ind w:left="0" w:firstLine="0"/>
              <w:jc w:val="center"/>
            </w:pPr>
            <w:r>
              <w:rPr>
                <w:rFonts w:ascii="Times New Roman" w:cs="Times New Roman" w:eastAsia="Times New Roman" w:hAnsi="Times New Roman"/>
                <w:sz w:val="24"/>
                <w:szCs w:val="24"/>
              </w:rPr>
              <w:t xml:space="preserve">7</w:t>
            </w:r>
          </w:p>
          <w:p>
            <w:pPr>
              <w:spacing w:after="0" w:before="0" w:line="240"/>
              <w:ind w:left="0" w:firstLine="0"/>
              <w:jc w:val="center"/>
            </w:pPr>
            <w:r>
              <w:rPr>
                <w:rFonts w:ascii="Times New Roman" w:cs="Times New Roman" w:eastAsia="Times New Roman" w:hAnsi="Times New Roman"/>
                <w:sz w:val="24"/>
                <w:szCs w:val="24"/>
              </w:rPr>
              <w:t xml:space="preserve">3</w:t>
            </w:r>
          </w:p>
        </w:tc>
        <w:tc>
          <w:tcPr>
            <w:tcW w:type="dxa" w:w="7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.192</w:t>
            </w:r>
          </w:p>
        </w:tc>
        <w:tc>
          <w:tcPr>
            <w:tcW w:type="dxa" w:w="22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0.67 [0.23, 2.01]</w:t>
            </w:r>
          </w:p>
        </w:tc>
        <w:tc>
          <w:tcPr>
            <w:tcW w:type="dxa" w:w="22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2.01 [0.64, 6.30]</w:t>
            </w:r>
          </w:p>
        </w:tc>
      </w:tr>
      <w:tr>
        <w:trPr>
          <w:cantSplit/>
        </w:trPr>
        <w:tc>
          <w:tcPr>
            <w:tcW w:type="dxa" w:w="35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19. Decisions affecting others †</w:t>
            </w:r>
          </w:p>
        </w:tc>
        <w:tc>
          <w:tcPr>
            <w:tcW w:type="dxa" w:w="1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w:t>
            </w:r>
          </w:p>
          <w:p>
            <w:pPr>
              <w:spacing w:after="0" w:before="0" w:line="240"/>
              <w:ind w:left="0" w:firstLine="0"/>
              <w:jc w:val="center"/>
            </w:pPr>
            <w:r>
              <w:rPr>
                <w:rFonts w:ascii="Times New Roman" w:cs="Times New Roman" w:eastAsia="Times New Roman" w:hAnsi="Times New Roman"/>
                <w:sz w:val="24"/>
                <w:szCs w:val="24"/>
              </w:rPr>
              <w:t xml:space="preserve">3</w:t>
            </w:r>
          </w:p>
          <w:p>
            <w:pPr>
              <w:spacing w:after="0" w:before="0" w:line="240"/>
              <w:ind w:left="0" w:firstLine="0"/>
              <w:jc w:val="center"/>
            </w:pPr>
            <w:r>
              <w:rPr>
                <w:rFonts w:ascii="Times New Roman" w:cs="Times New Roman" w:eastAsia="Times New Roman" w:hAnsi="Times New Roman"/>
                <w:sz w:val="24"/>
                <w:szCs w:val="24"/>
              </w:rPr>
              <w:t xml:space="preserve">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w:t>
            </w:r>
          </w:p>
          <w:p>
            <w:pPr>
              <w:spacing w:after="0" w:before="0" w:line="240"/>
              <w:ind w:left="0" w:firstLine="0"/>
              <w:jc w:val="center"/>
            </w:pPr>
            <w:r>
              <w:rPr>
                <w:rFonts w:ascii="Times New Roman" w:cs="Times New Roman" w:eastAsia="Times New Roman" w:hAnsi="Times New Roman"/>
                <w:sz w:val="24"/>
                <w:szCs w:val="24"/>
              </w:rPr>
              <w:t xml:space="preserve">5</w:t>
            </w:r>
          </w:p>
          <w:p>
            <w:pPr>
              <w:spacing w:after="0" w:before="0" w:line="240"/>
              <w:ind w:left="0" w:firstLine="0"/>
              <w:jc w:val="center"/>
            </w:pPr>
            <w:r>
              <w:rPr>
                <w:rFonts w:ascii="Times New Roman" w:cs="Times New Roman" w:eastAsia="Times New Roman" w:hAnsi="Times New Roman"/>
                <w:sz w:val="24"/>
                <w:szCs w:val="24"/>
              </w:rPr>
              <w:t xml:space="preserve">5</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w:t>
            </w:r>
          </w:p>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.250</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0.40 [0.13, 1.27]</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0.86 [0.28, 2.68]</w:t>
            </w:r>
          </w:p>
        </w:tc>
      </w:tr>
      <w:tr>
        <w:trPr>
          <w:cantSplit/>
        </w:trPr>
        <w:tc>
          <w:tcPr>
            <w:tcW w:type="dxa" w:w="35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9. Satisfied with team performance</w:t>
            </w:r>
          </w:p>
        </w:tc>
        <w:tc>
          <w:tcPr>
            <w:tcW w:type="dxa" w:w="1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w:t>
            </w:r>
          </w:p>
          <w:p>
            <w:pPr>
              <w:spacing w:after="0" w:before="0" w:line="240"/>
              <w:ind w:left="0" w:firstLine="0"/>
              <w:jc w:val="center"/>
            </w:pPr>
            <w:r>
              <w:rPr>
                <w:rFonts w:ascii="Times New Roman" w:cs="Times New Roman" w:eastAsia="Times New Roman" w:hAnsi="Times New Roman"/>
                <w:sz w:val="24"/>
                <w:szCs w:val="24"/>
              </w:rPr>
              <w:t xml:space="preserve">1</w:t>
            </w:r>
          </w:p>
          <w:p>
            <w:pPr>
              <w:spacing w:after="0" w:before="0" w:line="240"/>
              <w:ind w:left="0" w:firstLine="0"/>
              <w:jc w:val="center"/>
            </w:pPr>
            <w:r>
              <w:rPr>
                <w:rFonts w:ascii="Times New Roman" w:cs="Times New Roman" w:eastAsia="Times New Roman" w:hAnsi="Times New Roman"/>
                <w:sz w:val="24"/>
                <w:szCs w:val="24"/>
              </w:rPr>
              <w:t xml:space="preserve">13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2</w:t>
            </w:r>
          </w:p>
          <w:p>
            <w:pPr>
              <w:spacing w:after="0" w:before="0" w:line="240"/>
              <w:ind w:left="0" w:firstLine="0"/>
              <w:jc w:val="center"/>
            </w:pPr>
            <w:r>
              <w:rPr>
                <w:rFonts w:ascii="Times New Roman" w:cs="Times New Roman" w:eastAsia="Times New Roman" w:hAnsi="Times New Roman"/>
                <w:sz w:val="24"/>
                <w:szCs w:val="24"/>
              </w:rPr>
              <w:t xml:space="preserve">16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w:t>
            </w:r>
          </w:p>
          <w:p>
            <w:pPr>
              <w:spacing w:after="0" w:before="0" w:line="240"/>
              <w:ind w:left="0" w:firstLine="0"/>
              <w:jc w:val="center"/>
            </w:pPr>
            <w:r>
              <w:rPr>
                <w:rFonts w:ascii="Times New Roman" w:cs="Times New Roman" w:eastAsia="Times New Roman" w:hAnsi="Times New Roman"/>
                <w:sz w:val="24"/>
                <w:szCs w:val="24"/>
              </w:rPr>
              <w:t xml:space="preserve">1</w:t>
            </w:r>
          </w:p>
          <w:p>
            <w:pPr>
              <w:spacing w:after="0" w:before="0" w:line="240"/>
              <w:ind w:left="0" w:firstLine="0"/>
              <w:jc w:val="center"/>
            </w:pPr>
            <w:r>
              <w:rPr>
                <w:rFonts w:ascii="Times New Roman" w:cs="Times New Roman" w:eastAsia="Times New Roman" w:hAnsi="Times New Roman"/>
                <w:sz w:val="24"/>
                <w:szCs w:val="24"/>
              </w:rPr>
              <w:t xml:space="preserve">15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.290</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1.39 [0.46, 4.22]</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2.61 [0.77, 8.88]</w:t>
            </w:r>
          </w:p>
        </w:tc>
      </w:tr>
      <w:tr>
        <w:trPr>
          <w:cantSplit/>
        </w:trPr>
        <w:tc>
          <w:tcPr>
            <w:tcW w:type="dxa" w:w="35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High decision responsibility †</w:t>
            </w:r>
          </w:p>
        </w:tc>
        <w:tc>
          <w:tcPr>
            <w:tcW w:type="dxa" w:w="1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w:t>
            </w:r>
          </w:p>
          <w:p>
            <w:pPr>
              <w:spacing w:after="0" w:before="0" w:line="240"/>
              <w:ind w:left="0" w:firstLine="0"/>
              <w:jc w:val="center"/>
            </w:pPr>
            <w:r>
              <w:rPr>
                <w:rFonts w:ascii="Times New Roman" w:cs="Times New Roman" w:eastAsia="Times New Roman" w:hAnsi="Times New Roman"/>
                <w:sz w:val="24"/>
                <w:szCs w:val="24"/>
              </w:rPr>
              <w:t xml:space="preserve">7</w:t>
            </w:r>
          </w:p>
          <w:p>
            <w:pPr>
              <w:spacing w:after="0" w:before="0" w:line="240"/>
              <w:ind w:left="0" w:firstLine="0"/>
              <w:jc w:val="center"/>
            </w:pPr>
            <w:r>
              <w:rPr>
                <w:rFonts w:ascii="Times New Roman" w:cs="Times New Roman" w:eastAsia="Times New Roman" w:hAnsi="Times New Roman"/>
                <w:sz w:val="24"/>
                <w:szCs w:val="24"/>
              </w:rPr>
              <w:t xml:space="preserve">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w:t>
            </w:r>
          </w:p>
          <w:p>
            <w:pPr>
              <w:spacing w:after="0" w:before="0" w:line="240"/>
              <w:ind w:left="0" w:firstLine="0"/>
              <w:jc w:val="center"/>
            </w:pPr>
            <w:r>
              <w:rPr>
                <w:rFonts w:ascii="Times New Roman" w:cs="Times New Roman" w:eastAsia="Times New Roman" w:hAnsi="Times New Roman"/>
                <w:sz w:val="24"/>
                <w:szCs w:val="24"/>
              </w:rPr>
              <w:t xml:space="preserve">6</w:t>
            </w:r>
          </w:p>
          <w:p>
            <w:pPr>
              <w:spacing w:after="0" w:before="0" w:line="240"/>
              <w:ind w:left="0" w:firstLine="0"/>
              <w:jc w:val="center"/>
            </w:pPr>
            <w:r>
              <w:rPr>
                <w:rFonts w:ascii="Times New Roman" w:cs="Times New Roman" w:eastAsia="Times New Roman" w:hAnsi="Times New Roman"/>
                <w:sz w:val="24"/>
                <w:szCs w:val="24"/>
              </w:rPr>
              <w:t xml:space="preserve">9</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w:t>
            </w:r>
          </w:p>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8</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.521</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1.45 [0.51, 4.19]</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1.94 [0.61, 6.16]</w:t>
            </w:r>
          </w:p>
        </w:tc>
      </w:tr>
      <w:tr>
        <w:trPr>
          <w:cantSplit/>
        </w:trPr>
        <w:tc>
          <w:tcPr>
            <w:tcW w:type="dxa" w:w="35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 Clear responsibilities and authority</w:t>
            </w:r>
          </w:p>
        </w:tc>
        <w:tc>
          <w:tcPr>
            <w:tcW w:type="dxa" w:w="1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w:t>
            </w:r>
          </w:p>
          <w:p>
            <w:pPr>
              <w:spacing w:after="0" w:before="0" w:line="240"/>
              <w:ind w:left="0" w:firstLine="0"/>
              <w:jc w:val="center"/>
            </w:pPr>
            <w:r>
              <w:rPr>
                <w:rFonts w:ascii="Times New Roman" w:cs="Times New Roman" w:eastAsia="Times New Roman" w:hAnsi="Times New Roman"/>
                <w:sz w:val="24"/>
                <w:szCs w:val="24"/>
              </w:rPr>
              <w:t xml:space="preserve">1</w:t>
            </w:r>
          </w:p>
          <w:p>
            <w:pPr>
              <w:spacing w:after="0" w:before="0" w:line="240"/>
              <w:ind w:left="0" w:firstLine="0"/>
              <w:jc w:val="center"/>
            </w:pPr>
            <w:r>
              <w:rPr>
                <w:rFonts w:ascii="Times New Roman" w:cs="Times New Roman" w:eastAsia="Times New Roman" w:hAnsi="Times New Roman"/>
                <w:sz w:val="24"/>
                <w:szCs w:val="24"/>
              </w:rPr>
              <w:t xml:space="preserve">17</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w:t>
            </w:r>
          </w:p>
          <w:p>
            <w:pPr>
              <w:spacing w:after="0" w:before="0" w:line="240"/>
              <w:ind w:left="0" w:firstLine="0"/>
              <w:jc w:val="center"/>
            </w:pPr>
            <w:r>
              <w:rPr>
                <w:rFonts w:ascii="Times New Roman" w:cs="Times New Roman" w:eastAsia="Times New Roman" w:hAnsi="Times New Roman"/>
                <w:sz w:val="24"/>
                <w:szCs w:val="24"/>
              </w:rPr>
              <w:t xml:space="preserve">2</w:t>
            </w:r>
          </w:p>
          <w:p>
            <w:pPr>
              <w:spacing w:after="0" w:before="0" w:line="240"/>
              <w:ind w:left="0" w:firstLine="0"/>
              <w:jc w:val="center"/>
            </w:pPr>
            <w:r>
              <w:rPr>
                <w:rFonts w:ascii="Times New Roman" w:cs="Times New Roman" w:eastAsia="Times New Roman" w:hAnsi="Times New Roman"/>
                <w:sz w:val="24"/>
                <w:szCs w:val="24"/>
              </w:rPr>
              <w:t xml:space="preserve">16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w:t>
            </w:r>
          </w:p>
          <w:p>
            <w:pPr>
              <w:spacing w:after="0" w:before="0" w:line="240"/>
              <w:ind w:left="0" w:firstLine="0"/>
              <w:jc w:val="center"/>
            </w:pPr>
            <w:r>
              <w:rPr>
                <w:rFonts w:ascii="Times New Roman" w:cs="Times New Roman" w:eastAsia="Times New Roman" w:hAnsi="Times New Roman"/>
                <w:sz w:val="24"/>
                <w:szCs w:val="24"/>
              </w:rPr>
              <w:t xml:space="preserve">2</w:t>
            </w:r>
          </w:p>
          <w:p>
            <w:pPr>
              <w:spacing w:after="0" w:before="0" w:line="240"/>
              <w:ind w:left="0" w:firstLine="0"/>
              <w:jc w:val="center"/>
            </w:pPr>
            <w:r>
              <w:rPr>
                <w:rFonts w:ascii="Times New Roman" w:cs="Times New Roman" w:eastAsia="Times New Roman" w:hAnsi="Times New Roman"/>
                <w:sz w:val="24"/>
                <w:szCs w:val="24"/>
              </w:rPr>
              <w:t xml:space="preserve">15</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.587</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1.59 [0.50, 5.04]</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1.76 [0.54, 5.75]</w:t>
            </w:r>
          </w:p>
        </w:tc>
      </w:tr>
      <w:tr>
        <w:trPr>
          <w:cantSplit/>
        </w:trPr>
        <w:tc>
          <w:tcPr>
            <w:tcW w:type="dxa" w:w="35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12. Team unpreparedness raises my stress †</w:t>
            </w:r>
          </w:p>
        </w:tc>
        <w:tc>
          <w:tcPr>
            <w:tcW w:type="dxa" w:w="1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w:t>
            </w:r>
          </w:p>
          <w:p>
            <w:pPr>
              <w:spacing w:after="0" w:before="0" w:line="240"/>
              <w:ind w:left="0" w:firstLine="0"/>
              <w:jc w:val="center"/>
            </w:pPr>
            <w:r>
              <w:rPr>
                <w:rFonts w:ascii="Times New Roman" w:cs="Times New Roman" w:eastAsia="Times New Roman" w:hAnsi="Times New Roman"/>
                <w:sz w:val="24"/>
                <w:szCs w:val="24"/>
              </w:rPr>
              <w:t xml:space="preserve">3</w:t>
            </w:r>
          </w:p>
          <w:p>
            <w:pPr>
              <w:spacing w:after="0" w:before="0" w:line="240"/>
              <w:ind w:left="0" w:firstLine="0"/>
              <w:jc w:val="center"/>
            </w:pPr>
            <w:r>
              <w:rPr>
                <w:rFonts w:ascii="Times New Roman" w:cs="Times New Roman" w:eastAsia="Times New Roman" w:hAnsi="Times New Roman"/>
                <w:sz w:val="24"/>
                <w:szCs w:val="24"/>
              </w:rPr>
              <w:t xml:space="preserve">6</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12</w:t>
            </w:r>
          </w:p>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4</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11</w:t>
            </w:r>
          </w:p>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3</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.677</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0.66 [0.21, 2.05]</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0.62 [0.20, 1.98]</w:t>
            </w:r>
          </w:p>
        </w:tc>
      </w:tr>
      <w:tr>
        <w:trPr>
          <w:cantSplit/>
        </w:trPr>
        <w:tc>
          <w:tcPr>
            <w:tcW w:type="dxa" w:w="35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8. Team overly dependent on me †</w:t>
            </w:r>
          </w:p>
        </w:tc>
        <w:tc>
          <w:tcPr>
            <w:tcW w:type="dxa" w:w="15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15</w:t>
            </w:r>
          </w:p>
          <w:p>
            <w:pPr>
              <w:spacing w:after="0" w:before="0" w:line="240"/>
              <w:ind w:left="0" w:firstLine="0"/>
              <w:jc w:val="center"/>
            </w:pPr>
            <w:r>
              <w:rPr>
                <w:rFonts w:ascii="Times New Roman" w:cs="Times New Roman" w:eastAsia="Times New Roman" w:hAnsi="Times New Roman"/>
                <w:sz w:val="24"/>
                <w:szCs w:val="24"/>
              </w:rPr>
              <w:t xml:space="preserve">3</w:t>
            </w:r>
          </w:p>
          <w:p>
            <w:pPr>
              <w:spacing w:after="0" w:before="0" w:line="240"/>
              <w:ind w:left="0" w:firstLine="0"/>
              <w:jc w:val="center"/>
            </w:pPr>
            <w:r>
              <w:rPr>
                <w:rFonts w:ascii="Times New Roman" w:cs="Times New Roman" w:eastAsia="Times New Roman" w:hAnsi="Times New Roman"/>
                <w:sz w:val="24"/>
                <w:szCs w:val="24"/>
              </w:rPr>
              <w:t xml:space="preserve">2</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14</w:t>
            </w:r>
          </w:p>
          <w:p>
            <w:pPr>
              <w:spacing w:after="0" w:before="0" w:line="240"/>
              <w:ind w:left="0" w:firstLine="0"/>
              <w:jc w:val="center"/>
            </w:pPr>
            <w:r>
              <w:rPr>
                <w:rFonts w:ascii="Times New Roman" w:cs="Times New Roman" w:eastAsia="Times New Roman" w:hAnsi="Times New Roman"/>
                <w:sz w:val="24"/>
                <w:szCs w:val="24"/>
              </w:rPr>
              <w:t xml:space="preserve">5</w:t>
            </w:r>
          </w:p>
          <w:p>
            <w:pPr>
              <w:spacing w:after="0" w:before="0" w:line="240"/>
              <w:ind w:left="0" w:firstLine="0"/>
              <w:jc w:val="center"/>
            </w:pPr>
            <w:r>
              <w:rPr>
                <w:rFonts w:ascii="Times New Roman" w:cs="Times New Roman" w:eastAsia="Times New Roman" w:hAnsi="Times New Roman"/>
                <w:sz w:val="24"/>
                <w:szCs w:val="24"/>
              </w:rPr>
              <w:t xml:space="preserve">3</w:t>
            </w:r>
          </w:p>
        </w:tc>
        <w:tc>
          <w:tcPr>
            <w:tcW w:type="dxa" w:w="12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12</w:t>
            </w:r>
          </w:p>
          <w:p>
            <w:pPr>
              <w:spacing w:after="0" w:before="0" w:line="240"/>
              <w:ind w:left="0" w:firstLine="0"/>
              <w:jc w:val="center"/>
            </w:pPr>
            <w:r>
              <w:rPr>
                <w:rFonts w:ascii="Times New Roman" w:cs="Times New Roman" w:eastAsia="Times New Roman" w:hAnsi="Times New Roman"/>
                <w:sz w:val="24"/>
                <w:szCs w:val="24"/>
              </w:rPr>
              <w:t xml:space="preserve">2</w:t>
            </w:r>
          </w:p>
          <w:p>
            <w:pPr>
              <w:spacing w:after="0" w:before="0" w:line="240"/>
              <w:ind w:left="0" w:firstLine="0"/>
              <w:jc w:val="center"/>
            </w:pPr>
            <w:r>
              <w:rPr>
                <w:rFonts w:ascii="Times New Roman" w:cs="Times New Roman" w:eastAsia="Times New Roman" w:hAnsi="Times New Roman"/>
                <w:sz w:val="24"/>
                <w:szCs w:val="24"/>
              </w:rPr>
              <w:t xml:space="preserve">4</w:t>
            </w:r>
          </w:p>
        </w:tc>
        <w:tc>
          <w:tcPr>
            <w:tcW w:type="dxa" w:w="7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.812</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1.43 [0.48, 4.26]</w:t>
            </w:r>
          </w:p>
        </w:tc>
        <w:tc>
          <w:tcPr>
            <w:tcW w:type="dxa" w:w="22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1.27 [0.38, 4.30]</w:t>
            </w:r>
          </w:p>
        </w:tc>
      </w:tr>
      <w:tr>
        <w:trPr>
          <w:cantSplit/>
        </w:trPr>
        <w:tc>
          <w:tcPr>
            <w:tcW w:type="dxa" w:w="35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14. Support from senior management</w:t>
            </w:r>
          </w:p>
        </w:tc>
        <w:tc>
          <w:tcPr>
            <w:tcW w:type="dxa" w:w="15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disagree</w:t>
            </w:r>
          </w:p>
          <w:p>
            <w:pPr>
              <w:spacing w:after="0" w:before="0" w:line="240"/>
              <w:ind w:left="0" w:firstLine="0"/>
              <w:jc w:val="left"/>
            </w:pPr>
            <w:r>
              <w:rPr>
                <w:rFonts w:ascii="Times New Roman" w:cs="Times New Roman" w:eastAsia="Times New Roman" w:hAnsi="Times New Roman"/>
                <w:sz w:val="24"/>
                <w:szCs w:val="24"/>
              </w:rPr>
              <w:t xml:space="preserve">(2) neutral</w:t>
            </w:r>
          </w:p>
          <w:p>
            <w:pPr>
              <w:spacing w:after="0" w:before="0" w:line="240"/>
              <w:ind w:left="0" w:firstLine="0"/>
              <w:jc w:val="left"/>
            </w:pPr>
            <w:r>
              <w:rPr>
                <w:rFonts w:ascii="Times New Roman" w:cs="Times New Roman" w:eastAsia="Times New Roman" w:hAnsi="Times New Roman"/>
                <w:sz w:val="24"/>
                <w:szCs w:val="24"/>
              </w:rPr>
              <w:t xml:space="preserve">(3) agree</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4</w:t>
            </w:r>
          </w:p>
          <w:p>
            <w:pPr>
              <w:spacing w:after="0" w:before="0" w:line="240"/>
              <w:ind w:left="0" w:firstLine="0"/>
              <w:jc w:val="center"/>
            </w:pPr>
            <w:r>
              <w:rPr>
                <w:rFonts w:ascii="Times New Roman" w:cs="Times New Roman" w:eastAsia="Times New Roman" w:hAnsi="Times New Roman"/>
                <w:sz w:val="24"/>
                <w:szCs w:val="24"/>
              </w:rPr>
              <w:t xml:space="preserve">11</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w:t>
            </w:r>
          </w:p>
          <w:p>
            <w:pPr>
              <w:spacing w:after="0" w:before="0" w:line="240"/>
              <w:ind w:left="0" w:firstLine="0"/>
              <w:jc w:val="center"/>
            </w:pPr>
            <w:r>
              <w:rPr>
                <w:rFonts w:ascii="Times New Roman" w:cs="Times New Roman" w:eastAsia="Times New Roman" w:hAnsi="Times New Roman"/>
                <w:sz w:val="24"/>
                <w:szCs w:val="24"/>
              </w:rPr>
              <w:t xml:space="preserve">1</w:t>
            </w:r>
          </w:p>
          <w:p>
            <w:pPr>
              <w:spacing w:after="0" w:before="0" w:line="240"/>
              <w:ind w:left="0" w:firstLine="0"/>
              <w:jc w:val="center"/>
            </w:pPr>
            <w:r>
              <w:rPr>
                <w:rFonts w:ascii="Times New Roman" w:cs="Times New Roman" w:eastAsia="Times New Roman" w:hAnsi="Times New Roman"/>
                <w:sz w:val="24"/>
                <w:szCs w:val="24"/>
              </w:rPr>
              <w:t xml:space="preserve">13</w:t>
            </w:r>
          </w:p>
        </w:tc>
        <w:tc>
          <w:tcPr>
            <w:tcW w:type="dxa" w:w="12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w:t>
            </w:r>
          </w:p>
          <w:p>
            <w:pPr>
              <w:spacing w:after="0" w:before="0" w:line="240"/>
              <w:ind w:left="0" w:firstLine="0"/>
              <w:jc w:val="center"/>
            </w:pPr>
            <w:r>
              <w:rPr>
                <w:rFonts w:ascii="Times New Roman" w:cs="Times New Roman" w:eastAsia="Times New Roman" w:hAnsi="Times New Roman"/>
                <w:sz w:val="24"/>
                <w:szCs w:val="24"/>
              </w:rPr>
              <w:t xml:space="preserve">5</w:t>
            </w:r>
          </w:p>
          <w:p>
            <w:pPr>
              <w:spacing w:after="0" w:before="0" w:line="240"/>
              <w:ind w:left="0" w:firstLine="0"/>
              <w:jc w:val="center"/>
            </w:pPr>
            <w:r>
              <w:rPr>
                <w:rFonts w:ascii="Times New Roman" w:cs="Times New Roman" w:eastAsia="Times New Roman" w:hAnsi="Times New Roman"/>
                <w:sz w:val="24"/>
                <w:szCs w:val="24"/>
              </w:rPr>
              <w:t xml:space="preserve">10</w:t>
            </w:r>
          </w:p>
        </w:tc>
        <w:tc>
          <w:tcPr>
            <w:tcW w:type="dxa" w:w="7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.822</w:t>
            </w:r>
          </w:p>
        </w:tc>
        <w:tc>
          <w:tcPr>
            <w:tcW w:type="dxa" w:w="22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1.19 [0.38, 3.72]</w:t>
            </w:r>
          </w:p>
        </w:tc>
        <w:tc>
          <w:tcPr>
            <w:tcW w:type="dxa" w:w="22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1.45 [0.45, 4.70]</w:t>
            </w:r>
          </w:p>
        </w:tc>
      </w:tr>
    </w:tbl>
    <w:p>
      <w:pPr>
        <w:spacing w:after="240" w:before="60" w:line="240"/>
        <w:ind w:left="0" w:firstLine="0"/>
        <w:jc w:val="left"/>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 confidence interval.</w:t>
      </w:r>
    </w:p>
    <w:p>
      <w:pPr>
        <w:sectPr>
          <w:headerReference r:id="rId35" w:type="default"/>
          <w:headerReference r:id="rId36" w:type="first"/>
          <w:headerReference r:id="rId37" w:type="even"/>
          <w:footerReference r:id="rId38" w:type="default"/>
          <w:footerReference r:id="rId39" w:type="first"/>
          <w:footerReference r:id="rId40" w:type="even"/>
          <w:pgSz w:h="11900" w:w="16837" w:orient="landscape"/>
          <w:pgMar w:bottom="1440" w:top="1440" w:left="1440" w:right="1440" w:header="624" w:footer="709" w:gutter="0"/>
        </w:sectPr>
      </w:pPr>
    </w:p>
    <w:p>
      <w:pPr>
        <w:keepNext/>
        <w:spacing w:after="0" w:before="0" w:line="480"/>
        <w:ind w:left="0" w:firstLine="0"/>
        <w:jc w:val="left"/>
      </w:pPr>
      <w:r>
        <w:rPr>
          <w:rFonts w:ascii="Times New Roman" w:cs="Times New Roman" w:eastAsia="Times New Roman" w:hAnsi="Times New Roman"/>
          <w:b/>
          <w:bCs/>
          <w:sz w:val="24"/>
          <w:szCs w:val="24"/>
        </w:rPr>
        <w:t xml:space="preserve">Employees</w:t>
      </w:r>
    </w:p>
    <w:p>
      <w:pPr>
        <w:spacing w:after="0" w:before="0" w:line="480"/>
        <w:ind w:firstLine="720"/>
        <w:jc w:val="both"/>
      </w:pPr>
      <w:r>
        <w:rPr>
          <w:rFonts w:ascii="Times New Roman" w:cs="Times New Roman" w:eastAsia="Times New Roman" w:hAnsi="Times New Roman"/>
          <w:sz w:val="24"/>
          <w:szCs w:val="24"/>
        </w:rPr>
        <w:t xml:space="preserve">Two of the 38 employee items changed between waves (Tables A1 and A2). The share answering often or always to freedom to organize one’s activities fell from 87% at T1 to 75% at T2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0.52,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[0.31, 0.87],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.012). For encouragement to use creativity and knowledge, it fell from 77% to 71%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0.54,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[0.33, 0.90],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.017). The other 36 items did not change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from .064 to .934). Across leaders and employees, 2 of 46 tests had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.05.</w:t>
      </w:r>
    </w:p>
    <w:p>
      <w:pPr>
        <w:spacing w:after="0" w:before="0" w:line="480"/>
        <w:ind w:firstLine="720"/>
        <w:jc w:val="both"/>
      </w:pPr>
      <w:r>
        <w:rPr>
          <w:rFonts w:ascii="Times New Roman" w:cs="Times New Roman" w:eastAsia="Times New Roman" w:hAnsi="Times New Roman"/>
          <w:sz w:val="24"/>
          <w:szCs w:val="24"/>
        </w:rPr>
        <w:t xml:space="preserve">Figure 1 shows the percentage of employees answering often or always to each item, grouped into symptoms and emotional regulation (items 1 to 30), satisfaction with oneself (item 31) and psychosocial work factors (items 32 to 47). This percentage was lower at T2 than at T1 for 18 of the 20 symptom risk items, with the largest difference for difficulty sleeping (28% to 14%;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.160). Among the 14 work factor items, it was lower at T2 for 8 items and higher for 6 items. The share of employees with less than one year in their company was 61.8% at T1 and 69.0% at T2.</w:t>
      </w:r>
    </w:p>
    <w:p>
      <w:pPr>
        <w:keepNext/>
        <w:spacing w:after="0" w:before="240" w:line="480"/>
        <w:ind w:left="0" w:firstLine="0"/>
        <w:jc w:val="left"/>
      </w:pPr>
      <w:r>
        <w:rPr>
          <w:rFonts w:ascii="Times New Roman" w:cs="Times New Roman" w:eastAsia="Times New Roman" w:hAnsi="Times New Roman"/>
          <w:b/>
          <w:bCs/>
          <w:sz w:val="24"/>
          <w:szCs w:val="24"/>
        </w:rPr>
        <w:t xml:space="preserve">Figure 1</w:t>
      </w:r>
    </w:p>
    <w:p>
      <w:pPr>
        <w:keepNext/>
        <w:spacing w:after="0" w:line="480"/>
        <w:ind w:left="0" w:firstLine="0"/>
        <w:jc w:val="left"/>
      </w:pPr>
      <w:r>
        <w:rPr>
          <w:rFonts w:ascii="Times New Roman" w:cs="Times New Roman" w:eastAsia="Times New Roman" w:hAnsi="Times New Roman"/>
          <w:i/>
          <w:iCs/>
          <w:sz w:val="24"/>
          <w:szCs w:val="24"/>
        </w:rPr>
        <w:t xml:space="preserve">Percentage of Employees Answering Often or Always to Each Stable Item by Wave</w:t>
      </w:r>
    </w:p>
    <w:p>
      <w:pPr>
        <w:spacing w:after="240" w:before="120"/>
        <w:ind w:left="0" w:firstLine="0"/>
        <w:jc w:val="center"/>
      </w:pPr>
      <w:r>
        <w:drawing>
          <wp:inline distT="0" distB="0" distL="0" distR="0">
            <wp:extent cx="46482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PEP1" cstate="none"/>
                    <a:srcRect/>
                    <a:stretch>
                      <a:fillRect/>
                    </a:stretch>
                  </pic:blipFill>
                  <pic:spPr bwMode="auto">
                    <a:xfrm>
                      <a:off x="0" y="0"/>
                      <a:ext cx="4648200" cy="5810250"/>
                    </a:xfrm>
                    <a:prstGeom prst="rect">
                      <a:avLst/>
                    </a:prstGeom>
                  </pic:spPr>
                </pic:pic>
              </a:graphicData>
            </a:graphic>
          </wp:inline>
        </w:drawing>
      </w:r>
    </w:p>
    <w:p>
      <w:pPr>
        <w:keepNext/>
        <w:spacing w:after="0" w:before="0" w:line="480"/>
        <w:ind w:left="0" w:firstLine="0"/>
        <w:jc w:val="center"/>
      </w:pPr>
      <w:r>
        <w:rPr>
          <w:rFonts w:ascii="Times New Roman" w:cs="Times New Roman" w:eastAsia="Times New Roman" w:hAnsi="Times New Roman"/>
          <w:b/>
          <w:bCs/>
          <w:sz w:val="24"/>
          <w:szCs w:val="24"/>
        </w:rPr>
        <w:t xml:space="preserve">Discussion</w:t>
      </w:r>
    </w:p>
    <w:p>
      <w:pPr>
        <w:spacing w:after="0" w:before="0" w:line="480"/>
        <w:ind w:firstLine="720"/>
        <w:jc w:val="both"/>
      </w:pPr>
      <w:r>
        <w:rPr>
          <w:rFonts w:ascii="Times New Roman" w:cs="Times New Roman" w:eastAsia="Times New Roman" w:hAnsi="Times New Roman"/>
          <w:sz w:val="24"/>
          <w:szCs w:val="24"/>
        </w:rPr>
        <w:t xml:space="preserve">Companies subject to NR-1 need to know whether the psychosocial risk indicators they collect remain stable between assessments. This study described these indicators across anonymous monitoring waves in two Brazilian companies. As expected, most indicators were stable. No leader item changed over three waves, and 36 of 38 employee items did not change between two waves. The two changes were decreases in job resources related to autonomy.</w:t>
      </w:r>
    </w:p>
    <w:p>
      <w:pPr>
        <w:spacing w:after="0" w:before="0" w:line="480"/>
        <w:ind w:firstLine="720"/>
        <w:jc w:val="both"/>
      </w:pPr>
      <w:r>
        <w:rPr>
          <w:rFonts w:ascii="Times New Roman" w:cs="Times New Roman" w:eastAsia="Times New Roman" w:hAnsi="Times New Roman"/>
          <w:sz w:val="24"/>
          <w:szCs w:val="24"/>
        </w:rPr>
        <w:t xml:space="preserve">The predominance of stability is consistent with our expectation and with the view of psychosocial risk factors as conditions of work design, organization and management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"AGEM23", "properties": {"formattedCitation": "(International Organization for Standardization, 2021; Teixeira et al., 2025)", "plainCitation": "(International Organization for Standardization, 2021; Teixeira et al., 2025)", "noteIndex": 0}, "citationItems": [{"id": "iso", "uris": ["http://zotero.org/users/local/agempep/items/ISO"],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{"id": "teixeira", "uris": ["http://zotero.org/users/local/agempep/items/TEIXEIRA"], "itemData": {"id": "teixeira", "type": "article-journal", "author": [{"family": "Teixeira", "given": "IDN"}, {"family": "Silva", "given": "IS"}, {"family": "Cadime", "given": "IMD"}], "title": "Psychosocial risks at work: integrative review and conceptual perspectives", "container-title": "Revista Brasileira de Medicina do Trabalho", "container-title-short": "Rev Bras Med Trab", "issued": {"date-parts": [[2025]]}, "volume": "23", "issue": "2", "page": "e20251464", "DOI": "10.47626/1679-4435-2025-1464"}}],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 Teixeira et al., 2025)</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Scales of psychosocial work factors have shown acceptable test retest reliability among Brazilian workers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"AGEM24", "properties": {"formattedCitation": "(Gonçalves et al., 2021)", "plainCitation": "(Gonçalves et al., 2021)", "noteIndex": 0}, "citationItems": [{"id": "goncalves", "uris": ["http://zotero.org/users/local/agempep/items/GONCALVES"], "itemData": {"type": "article-journal", "author": [{"family": "Gonçalves", "given": "JS"}, {"family": "Moriguchi", "given": "CS"}, {"family": "Chaves", "given": "TC"}, {"family": "Sato", "given": "TO"}], "title": "Cross-cultural adaptation and psychometric properties of the short version of COPSOQ II-Brazil", "container-title": "Revista de Saúde Pública", "issued": {"date-parts": [[2021]]}, "volume": "55", "page": "69", "DOI": "10.11606/s1518-8787.2021055003123", "PMID": "34706043", "id": "goncalves"}}],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(Gonçalves et al.,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so stable responses are expected when working conditions do not change. Two significant results among 46 tests is close to the 2.3 expected by chance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 .05. In a prospective cohort, persistent low job control showed a stronger association with later major depression than intermittent low job control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"AGEM25", "properties": {"formattedCitation": "(Taouk et al., 2024)", "plainCitation": "(Taouk et al., 2024)", "noteIndex": 0}, "citationItems": [{"id": "taouk", "uris": ["http://zotero.org/users/local/agempep/items/TAOUK"], "itemData": {"type": "article-journal", "author": [{"family": "Taouk", "given": "Y"}, {"family": "Aitken", "given": "Z"}, {"family": "LaMontagne", "given": "AD"}, {"family": "King", "given": "T"}], "title": "Persistent low job control and subsequent major depression: a prospective cohort study of Australian working males", "container-title": "Social Science &amp; Medicine", "issued": {"date-parts": [[2024]]}, "volume": "359", "page": "117283", "DOI": "10.1016/j.socscimed.2024.117283", "PMID": "39232379", "id": "taouk"}}],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(Taouk et al.,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 short reduction in autonomy may therefore not be reflected in symptoms within a few months, which is consistent with the absence of change in the symptom items.</w:t>
      </w:r>
    </w:p>
    <w:p>
      <w:pPr>
        <w:spacing w:after="0" w:before="0" w:line="480"/>
        <w:ind w:firstLine="720"/>
        <w:jc w:val="both"/>
      </w:pPr>
      <w:r>
        <w:rPr>
          <w:rFonts w:ascii="Times New Roman" w:cs="Times New Roman" w:eastAsia="Times New Roman" w:hAnsi="Times New Roman"/>
          <w:sz w:val="24"/>
          <w:szCs w:val="24"/>
        </w:rPr>
        <w:t xml:space="preserve">Within the risk management cycle, these results point to where tailored interventions could be directed. The two items that changed describe autonomy, a job resource in the Job Demands-Resources model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"AGEM26", "properties": {"formattedCitation": "(Bakker &amp; Demerouti, 2007; Demerouti et al., 2001)", "plainCitation": "(Bakker &amp; Demerouti, 2007; Demerouti et al., 2001)", "noteIndex": 0}, "citationItems": [{"id": "bakker", "uris": ["http://zotero.org/users/local/agempep/items/BAKKER"], "itemData": {"id": "bakker", "type": "article-journal", "author": [{"family": "Bakker", "given": "AB"}, {"family": "Demerouti", "given": "E"}], "title": "The Job Demands-Resources model: state of the art", "container-title": "Journal of Managerial Psychology", "container-title-short": "J Manag Psychol", "issued": {"date-parts": [[2007]]}, "volume": "22", "issue": "3", "page": "309-328", "DOI": "10.1108/02683940710733115"}}, {"id": "demerouti", "uris": ["http://zotero.org/users/local/agempep/items/DEMEROUTI"], "itemData": {"id": "demerouti", "type": "article-journal", "author": [{"family": "Demerouti", "given": "E"}, {"family": "Bakker", "given": "AB"}, {"family": "Nachreiner", "given": "F"}, {"family": "Schaufeli", "given": "WB"}], "title": "The job demands-resources model of burnout", "container-title": "Journal of Applied Psychology", "container-title-short": "J Appl Psychol", "issued": {"date-parts": [[2001]]}, "volume": "86", "issue": "3", "page": "499-512", "DOI": "10.1037/0021-9010.86.3.499"}}],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(Bakker &amp; Demerouti, 2007; Demerouti et al., 2001)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persistent low job control has predicted later major depression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"AGEM27", "properties": {"formattedCitation": "(Taouk et al., 2024)", "plainCitation": "(Taouk et al., 2024)", "noteIndex": 0}, "citationItems": [{"id": "taouk", "uris": ["http://zotero.org/users/local/agempep/items/TAOUK"], "itemData": {"type": "article-journal", "author": [{"family": "Taouk", "given": "Y"}, {"family": "Aitken", "given": "Z"}, {"family": "LaMontagne", "given": "AD"}, {"family": "King", "given": "T"}], "title": "Persistent low job control and subsequent major depression: a prospective cohort study of Australian working males", "container-title": "Social Science &amp; Medicine", "issued": {"date-parts": [[2024]]}, "volume": "359", "page": "117283", "DOI": "10.1016/j.socscimed.2024.117283", "PMID": "39232379", "id": "taouk"}}],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(Taouk et al., 2024)</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Interventions aimed at autonomy would therefore act on the work environment rather than on individual workers, and organizational level interventions of this kind can improve the psychosocial work environment and the health of employees (Aust et al., 2023). Among leaders, agreement that the burden of responsibility is high rose descriptively from 19% to 44%, a result that did not reach significance but could be followed in later waves. Repeating the same measurement after such interventions would close the cycle by showing whether the targeted indicators changed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"AGEM28", "properties": {"formattedCitation": "(International Organization for Standardization, 2021)", "plainCitation": "(International Organization for Standardization, 2021)", "noteIndex": 0}, "citationItems": [{"id": "iso", "uris": ["http://zotero.org/users/local/agempep/items/ISO"], "itemData": {"id": "iso", "type": "standard", "author": [{"literal": "International Organization for Standardization"}], "title": "Occupational health and safety management: Psychological health and safety at work: Guidelines for managing psychosocial risks (ISO Standard No. 45003:2021)", "publisher": "ISO", "publisher-place": "Geneva", "issued": {"date-parts": [[2021]]}, "URL": "https://www.iso.org/standard/64283.html"}}],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(International Organization for Standardization, 2021)</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w:t>
      </w:r>
    </w:p>
    <w:p>
      <w:pPr>
        <w:spacing w:after="0" w:before="0" w:line="480"/>
        <w:ind w:firstLine="720"/>
        <w:jc w:val="both"/>
      </w:pPr>
      <w:r>
        <w:rPr>
          <w:rFonts w:ascii="Times New Roman" w:cs="Times New Roman" w:eastAsia="Times New Roman" w:hAnsi="Times New Roman"/>
          <w:sz w:val="24"/>
          <w:szCs w:val="24"/>
        </w:rPr>
        <w:t xml:space="preserve">The data also show three requirements for monitoring under NR-1. First, item wording must be fixed before the first wave, because changes between forms removed 12 of the 20 leader items from the comparison. Second, anonymous responses need a linking code, because without one changes in the composition of the workforce cannot be separated from changes within workers. Third, samples of about 20 leaders per wave yield odds ratio intervals too wide to detect anything but large shifts.</w:t>
      </w:r>
    </w:p>
    <w:p>
      <w:pPr>
        <w:keepNext/>
        <w:spacing w:after="0" w:before="0" w:line="480"/>
        <w:ind w:left="0" w:firstLine="0"/>
        <w:jc w:val="left"/>
      </w:pPr>
      <w:r>
        <w:rPr>
          <w:rFonts w:ascii="Times New Roman" w:cs="Times New Roman" w:eastAsia="Times New Roman" w:hAnsi="Times New Roman"/>
          <w:b/>
          <w:bCs/>
          <w:sz w:val="24"/>
          <w:szCs w:val="24"/>
        </w:rPr>
        <w:t xml:space="preserve">Limitations</w:t>
      </w:r>
    </w:p>
    <w:p>
      <w:pPr>
        <w:spacing w:after="0" w:before="0" w:line="480"/>
        <w:ind w:firstLine="720"/>
        <w:jc w:val="both"/>
      </w:pPr>
      <w:r>
        <w:rPr>
          <w:rFonts w:ascii="Times New Roman" w:cs="Times New Roman" w:eastAsia="Times New Roman" w:hAnsi="Times New Roman"/>
          <w:sz w:val="24"/>
          <w:szCs w:val="24"/>
        </w:rPr>
        <w:t xml:space="preserve">Responses could not be linked across waves, and the share of employees with less than one year in their company rose from 61.8% to 69.0%, so turnover may have contributed to the results. The leader samples were small, and the internal consistency of the leader items was low and unstable. The items have not been validated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"AGEM29", "properties": {"formattedCitation": "(Authors, 2026)", "plainCitation": "(Authors, 2026)", "noteIndex": 0}, "citationItems": [{"id": "masked", "uris": ["http://zotero.org/users/local/agempep/items/MASKED"], "itemData": {"type": "manuscript", "author": [{"literal": "Authors"}], "title": "Details omitted for masked review", "issued": {"date-parts": [[2026]]}, "id": "masked"}}],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(Authors, 2026)</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and the proportional odds assumption was not tested. The program delivered between waves and the absence of a comparison group prevent any causal interpretation. All data were self reported, which exposes the comparisons to common method bias </w:t>
      </w: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ZOTERO_ITEM CSL_CITATION {"citationID": "AGEM30", "properties": {"formattedCitation": "(Podsakoff et al., 2003)", "plainCitation": "(Podsakoff et al., 2003)", "noteIndex": 0}, "citationItems": [{"id": "podsakoff", "uris": ["http://zotero.org/users/local/agempep/items/PODSAKOFF"], "itemData": {"id": "podsakoff", "type": "article-journal", "author": [{"family": "Podsakoff", "given": "PM"}, {"family": "MacKenzie", "given": "SB"}, {"family": "Lee", "given": "JY"}, {"family": "Podsakoff", "given": "NP"}], "title": "Common method biases in behavioral research: a critical review of the literature and recommended remedies", "container-title": "Journal of Applied Psychology", "container-title-short": "J Appl Psychol", "issued": {"date-parts": [[2003]]}, "volume": "88", "issue": "5", "page": "879-903", "DOI": "10.1037/0021-9010.88.5.879"}}], "schema": "https://github.com/citation-style-language/schema/raw/master/csl-citation.json"}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(Podsakoff et al., 2003)</w:t>
      </w:r>
      <w:r>
        <w:rPr>
          <w:rFonts w:ascii="Times New Roman" w:cs="Times New Roman" w:eastAsia="Times New Roman" w:hAnsi="Times New Roman"/>
          <w:sz w:val="24"/>
          <w:szCs w:val="24"/>
        </w:rPr>
        <w:fldChar w:fldCharType="end"/>
      </w:r>
      <w:r>
        <w:rPr>
          <w:rFonts w:ascii="Times New Roman" w:cs="Times New Roman" w:eastAsia="Times New Roman" w:hAnsi="Times New Roman"/>
          <w:sz w:val="24"/>
          <w:szCs w:val="24"/>
        </w:rPr>
        <w:t xml:space="preserve">. For these reasons, the results should be regarded as preliminary.</w:t>
      </w:r>
    </w:p>
    <w:p>
      <w:pPr>
        <w:keepNext/>
        <w:spacing w:after="0" w:before="0" w:line="480"/>
        <w:ind w:left="0" w:firstLine="0"/>
        <w:jc w:val="left"/>
      </w:pPr>
      <w:r>
        <w:rPr>
          <w:rFonts w:ascii="Times New Roman" w:cs="Times New Roman" w:eastAsia="Times New Roman" w:hAnsi="Times New Roman"/>
          <w:b/>
          <w:bCs/>
          <w:sz w:val="24"/>
          <w:szCs w:val="24"/>
        </w:rPr>
        <w:t xml:space="preserve">Future Directions and Conclusion</w:t>
      </w:r>
    </w:p>
    <w:p>
      <w:pPr>
        <w:spacing w:after="0" w:before="0" w:line="480"/>
        <w:ind w:firstLine="720"/>
        <w:jc w:val="both"/>
      </w:pPr>
      <w:r>
        <w:rPr>
          <w:rFonts w:ascii="Times New Roman" w:cs="Times New Roman" w:eastAsia="Times New Roman" w:hAnsi="Times New Roman"/>
          <w:sz w:val="24"/>
          <w:szCs w:val="24"/>
        </w:rPr>
        <w:t xml:space="preserve">Future studies should implement interventions tailored to the risks identified in monitoring, and evaluate them with fixed item wording, anonymous linking codes, more waves and companies, validated scales and a comparison group. In this preliminary study, psychosocial risk indicators among leaders and employees of two Brazilian companies were largely stable over three to eight months, as expected given the short interval, and the decrease in autonomy identified a target for tailored organizational interventions.</w:t>
      </w:r>
    </w:p>
    <w:p>
      <w:pPr>
        <w:keepNext/>
        <w:spacing w:after="0" w:before="0" w:line="480"/>
        <w:ind w:left="0" w:firstLine="0"/>
        <w:jc w:val="center"/>
      </w:pPr>
      <w:r>
        <w:rPr>
          <w:rFonts w:ascii="Times New Roman" w:cs="Times New Roman" w:eastAsia="Times New Roman" w:hAnsi="Times New Roman"/>
          <w:b/>
          <w:bCs/>
          <w:sz w:val="24"/>
          <w:szCs w:val="24"/>
        </w:rPr>
        <w:t xml:space="preserve">References</w:t>
      </w:r>
    </w:p>
    <w:p>
      <w:pPr>
        <w:spacing w:after="0" w:before="0" w:line="480"/>
        <w:ind w:left="720" w:hanging="720"/>
        <w:jc w:val="lef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 ADDIN ZOTERO_BIBL {"uncited":[],"omitted":[],"custom":[]} CSL_BIBLIOGRAPHY </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t xml:space="preserve">Aust, B., Møller, J. L., Nordentoft, M., Frydendall, K. B., Bengtsen, E., Jensen, A. B., Garde, A. H., Kompier, M., Semmer, N., Rugulies, R., &amp; Jaspers, S. Ø. (2023). How effective are organizational-level interventions in improving the psychosocial work environment, health, and retention of workers? A systematic overview of systematic reviews. </w:t>
      </w:r>
      <w:r>
        <w:rPr>
          <w:rFonts w:ascii="Times New Roman" w:cs="Times New Roman" w:eastAsia="Times New Roman" w:hAnsi="Times New Roman"/>
          <w:i/>
          <w:iCs/>
          <w:sz w:val="24"/>
          <w:szCs w:val="24"/>
        </w:rPr>
        <w:t xml:space="preserve">Scandinavian Journal of Work, Environment &amp; Health, 49</w:t>
      </w:r>
      <w:r>
        <w:rPr>
          <w:rFonts w:ascii="Times New Roman" w:cs="Times New Roman" w:eastAsia="Times New Roman" w:hAnsi="Times New Roman"/>
          <w:sz w:val="24"/>
          <w:szCs w:val="24"/>
        </w:rPr>
        <w:t xml:space="preserve">(5), 315–329. https://doi.org/10.5271/sjweh.4097</w:t>
      </w:r>
    </w:p>
    <w:p>
      <w:pPr>
        <w:spacing w:after="0" w:before="0" w:line="480"/>
        <w:ind w:left="720" w:hanging="720"/>
        <w:jc w:val="left"/>
      </w:pPr>
      <w:r>
        <w:rPr>
          <w:rFonts w:ascii="Times New Roman" w:cs="Times New Roman" w:eastAsia="Times New Roman" w:hAnsi="Times New Roman"/>
          <w:sz w:val="24"/>
          <w:szCs w:val="24"/>
        </w:rPr>
        <w:t xml:space="preserve">Authors. (2026). [Details omitted for masked review].</w:t>
      </w:r>
    </w:p>
    <w:p>
      <w:pPr>
        <w:spacing w:after="0" w:before="0" w:line="480"/>
        <w:ind w:left="720" w:hanging="720"/>
        <w:jc w:val="left"/>
      </w:pPr>
      <w:r>
        <w:rPr>
          <w:rFonts w:ascii="Times New Roman" w:cs="Times New Roman" w:eastAsia="Times New Roman" w:hAnsi="Times New Roman"/>
          <w:sz w:val="24"/>
          <w:szCs w:val="24"/>
        </w:rPr>
        <w:t xml:space="preserve">Bakker, A. B., &amp; Demerouti, E. (2007). The Job Demands-Resources model: State of the art. </w:t>
      </w:r>
      <w:r>
        <w:rPr>
          <w:rFonts w:ascii="Times New Roman" w:cs="Times New Roman" w:eastAsia="Times New Roman" w:hAnsi="Times New Roman"/>
          <w:i/>
          <w:iCs/>
          <w:sz w:val="24"/>
          <w:szCs w:val="24"/>
        </w:rPr>
        <w:t xml:space="preserve">Journal of Managerial Psychology, 22</w:t>
      </w:r>
      <w:r>
        <w:rPr>
          <w:rFonts w:ascii="Times New Roman" w:cs="Times New Roman" w:eastAsia="Times New Roman" w:hAnsi="Times New Roman"/>
          <w:sz w:val="24"/>
          <w:szCs w:val="24"/>
        </w:rPr>
        <w:t xml:space="preserve">(3), 309–328. https://doi.org/10.1108/02683940710733115</w:t>
      </w:r>
    </w:p>
    <w:p>
      <w:pPr>
        <w:spacing w:after="0" w:before="0" w:line="480"/>
        <w:ind w:left="720" w:hanging="720"/>
        <w:jc w:val="left"/>
      </w:pPr>
      <w:r>
        <w:rPr>
          <w:rFonts w:ascii="Times New Roman" w:cs="Times New Roman" w:eastAsia="Times New Roman" w:hAnsi="Times New Roman"/>
          <w:sz w:val="24"/>
          <w:szCs w:val="24"/>
        </w:rPr>
        <w:t xml:space="preserve">Bouzada, D. F., Sol, N. A. A., &amp; da Silva, C. A. M. (2023). Absenteeism due to mental and behavioral disorder in employees of a federal university. </w:t>
      </w:r>
      <w:r>
        <w:rPr>
          <w:rFonts w:ascii="Times New Roman" w:cs="Times New Roman" w:eastAsia="Times New Roman" w:hAnsi="Times New Roman"/>
          <w:i/>
          <w:iCs/>
          <w:sz w:val="24"/>
          <w:szCs w:val="24"/>
        </w:rPr>
        <w:t xml:space="preserve">Revista Brasileira de Medicina do Trabalho, 20</w:t>
      </w:r>
      <w:r>
        <w:rPr>
          <w:rFonts w:ascii="Times New Roman" w:cs="Times New Roman" w:eastAsia="Times New Roman" w:hAnsi="Times New Roman"/>
          <w:sz w:val="24"/>
          <w:szCs w:val="24"/>
        </w:rPr>
        <w:t xml:space="preserve">(4), 515–523. https://doi.org/10.47626/1679-4435-2022-763</w:t>
      </w:r>
    </w:p>
    <w:p>
      <w:pPr>
        <w:spacing w:after="0" w:before="0" w:line="480"/>
        <w:ind w:left="720" w:hanging="720"/>
        <w:jc w:val="left"/>
      </w:pPr>
      <w:r>
        <w:rPr>
          <w:rFonts w:ascii="Times New Roman" w:cs="Times New Roman" w:eastAsia="Times New Roman" w:hAnsi="Times New Roman"/>
          <w:sz w:val="24"/>
          <w:szCs w:val="24"/>
        </w:rPr>
        <w:t xml:space="preserve">Burr, H., Kersten, N., Sørensen, K., Sørensen, J. K., Dalsager, L., Madsen, I. E. H., Schöllgen, I., d’Errico, A., Rose, U., &amp; Rugulies, R. (2025). A comparison among employees in Germany and Denmark of associations between quality of leadership and subsequent 5-year development of mental distress. </w:t>
      </w:r>
      <w:r>
        <w:rPr>
          <w:rFonts w:ascii="Times New Roman" w:cs="Times New Roman" w:eastAsia="Times New Roman" w:hAnsi="Times New Roman"/>
          <w:i/>
          <w:iCs/>
          <w:sz w:val="24"/>
          <w:szCs w:val="24"/>
        </w:rPr>
        <w:t xml:space="preserve">Scientific Reports, 15</w:t>
      </w:r>
      <w:r>
        <w:rPr>
          <w:rFonts w:ascii="Times New Roman" w:cs="Times New Roman" w:eastAsia="Times New Roman" w:hAnsi="Times New Roman"/>
          <w:sz w:val="24"/>
          <w:szCs w:val="24"/>
        </w:rPr>
        <w:t xml:space="preserve">(1), Article 7802. https://doi.org/10.1038/s41598-025-92650-0</w:t>
      </w:r>
    </w:p>
    <w:p>
      <w:pPr>
        <w:spacing w:after="0" w:before="0" w:line="480"/>
        <w:ind w:left="720" w:hanging="720"/>
        <w:jc w:val="left"/>
      </w:pPr>
      <w:r>
        <w:rPr>
          <w:rFonts w:ascii="Times New Roman" w:cs="Times New Roman" w:eastAsia="Times New Roman" w:hAnsi="Times New Roman"/>
          <w:sz w:val="24"/>
          <w:szCs w:val="24"/>
        </w:rPr>
        <w:t xml:space="preserve">de Lucca, S. R., Silva Junior, J. S., &amp; Bandini, M. (2025). Critical analysis of psychosocial factors at work within the Risk Management Program of Regulatory Standard-1. </w:t>
      </w:r>
      <w:r>
        <w:rPr>
          <w:rFonts w:ascii="Times New Roman" w:cs="Times New Roman" w:eastAsia="Times New Roman" w:hAnsi="Times New Roman"/>
          <w:i/>
          <w:iCs/>
          <w:sz w:val="24"/>
          <w:szCs w:val="24"/>
        </w:rPr>
        <w:t xml:space="preserve">Revista Brasileira de Medicina do Trabalho, 23</w:t>
      </w:r>
      <w:r>
        <w:rPr>
          <w:rFonts w:ascii="Times New Roman" w:cs="Times New Roman" w:eastAsia="Times New Roman" w:hAnsi="Times New Roman"/>
          <w:sz w:val="24"/>
          <w:szCs w:val="24"/>
        </w:rPr>
        <w:t xml:space="preserve">(1), Article e20251425. https://doi.org/10.47626/1679-4435-2025-1425</w:t>
      </w:r>
    </w:p>
    <w:p>
      <w:pPr>
        <w:spacing w:after="0" w:before="0" w:line="480"/>
        <w:ind w:left="720" w:hanging="720"/>
        <w:jc w:val="left"/>
      </w:pPr>
      <w:r>
        <w:rPr>
          <w:rFonts w:ascii="Times New Roman" w:cs="Times New Roman" w:eastAsia="Times New Roman" w:hAnsi="Times New Roman"/>
          <w:sz w:val="24"/>
          <w:szCs w:val="24"/>
        </w:rPr>
        <w:t xml:space="preserve">Demerouti, E., Bakker, A. B., Nachreiner, F., &amp; Schaufeli, W. B. (2001). The job demands-resources model of burnout. </w:t>
      </w:r>
      <w:r>
        <w:rPr>
          <w:rFonts w:ascii="Times New Roman" w:cs="Times New Roman" w:eastAsia="Times New Roman" w:hAnsi="Times New Roman"/>
          <w:i/>
          <w:iCs/>
          <w:sz w:val="24"/>
          <w:szCs w:val="24"/>
        </w:rPr>
        <w:t xml:space="preserve">Journal of Applied Psychology, 86</w:t>
      </w:r>
      <w:r>
        <w:rPr>
          <w:rFonts w:ascii="Times New Roman" w:cs="Times New Roman" w:eastAsia="Times New Roman" w:hAnsi="Times New Roman"/>
          <w:sz w:val="24"/>
          <w:szCs w:val="24"/>
        </w:rPr>
        <w:t xml:space="preserve">(3), 499–512. https://doi.org/10.1037/0021-9010.86.3.499</w:t>
      </w:r>
    </w:p>
    <w:p>
      <w:pPr>
        <w:spacing w:after="0" w:before="0" w:line="480"/>
        <w:ind w:left="720" w:hanging="720"/>
        <w:jc w:val="left"/>
      </w:pPr>
      <w:r>
        <w:rPr>
          <w:rFonts w:ascii="Times New Roman" w:cs="Times New Roman" w:eastAsia="Times New Roman" w:hAnsi="Times New Roman"/>
          <w:sz w:val="24"/>
          <w:szCs w:val="24"/>
        </w:rPr>
        <w:t xml:space="preserve">Fløvik, L., Knardahl, S., &amp; Christensen, J. O. (2020). How leadership behaviors influence the effects of job predictability and perceived employability on employee mental health: A multilevel, prospective study. </w:t>
      </w:r>
      <w:r>
        <w:rPr>
          <w:rFonts w:ascii="Times New Roman" w:cs="Times New Roman" w:eastAsia="Times New Roman" w:hAnsi="Times New Roman"/>
          <w:i/>
          <w:iCs/>
          <w:sz w:val="24"/>
          <w:szCs w:val="24"/>
        </w:rPr>
        <w:t xml:space="preserve">Scandinavian Journal of Work, Environment &amp; Health, 46</w:t>
      </w:r>
      <w:r>
        <w:rPr>
          <w:rFonts w:ascii="Times New Roman" w:cs="Times New Roman" w:eastAsia="Times New Roman" w:hAnsi="Times New Roman"/>
          <w:sz w:val="24"/>
          <w:szCs w:val="24"/>
        </w:rPr>
        <w:t xml:space="preserve">(4), 392–401. https://doi.org/10.5271/sjweh.3880</w:t>
      </w:r>
    </w:p>
    <w:p>
      <w:pPr>
        <w:spacing w:after="0" w:before="0" w:line="480"/>
        <w:ind w:left="720" w:hanging="720"/>
        <w:jc w:val="left"/>
      </w:pPr>
      <w:r>
        <w:rPr>
          <w:rFonts w:ascii="Times New Roman" w:cs="Times New Roman" w:eastAsia="Times New Roman" w:hAnsi="Times New Roman"/>
          <w:sz w:val="24"/>
          <w:szCs w:val="24"/>
        </w:rPr>
        <w:t xml:space="preserve">Gonçalves, J. S., Moriguchi, C. S., Chaves, T. C., &amp; Sato, T. O. (2021). Cross-cultural adaptation and psychometric properties of the short version of COPSOQ II-Brazil. </w:t>
      </w:r>
      <w:r>
        <w:rPr>
          <w:rFonts w:ascii="Times New Roman" w:cs="Times New Roman" w:eastAsia="Times New Roman" w:hAnsi="Times New Roman"/>
          <w:i/>
          <w:iCs/>
          <w:sz w:val="24"/>
          <w:szCs w:val="24"/>
        </w:rPr>
        <w:t xml:space="preserve">Revista de Saúde Pública, 55</w:t>
      </w:r>
      <w:r>
        <w:rPr>
          <w:rFonts w:ascii="Times New Roman" w:cs="Times New Roman" w:eastAsia="Times New Roman" w:hAnsi="Times New Roman"/>
          <w:sz w:val="24"/>
          <w:szCs w:val="24"/>
        </w:rPr>
        <w:t xml:space="preserve">, Article 69. https://doi.org/10.11606/s1518-8787.2021055003123</w:t>
      </w:r>
    </w:p>
    <w:p>
      <w:pPr>
        <w:spacing w:after="0" w:before="0" w:line="480"/>
        <w:ind w:left="720" w:hanging="720"/>
        <w:jc w:val="left"/>
      </w:pPr>
      <w:r>
        <w:rPr>
          <w:rFonts w:ascii="Times New Roman" w:cs="Times New Roman" w:eastAsia="Times New Roman" w:hAnsi="Times New Roman"/>
          <w:sz w:val="24"/>
          <w:szCs w:val="24"/>
        </w:rPr>
        <w:t xml:space="preserve">International Organization for Standardization. (2021). </w:t>
      </w:r>
      <w:r>
        <w:rPr>
          <w:rFonts w:ascii="Times New Roman" w:cs="Times New Roman" w:eastAsia="Times New Roman" w:hAnsi="Times New Roman"/>
          <w:i/>
          <w:iCs/>
          <w:sz w:val="24"/>
          <w:szCs w:val="24"/>
        </w:rPr>
        <w:t xml:space="preserve">Occupational health and safety management: Psychological health and safety at work: Guidelines for managing psychosocial risks</w:t>
      </w:r>
      <w:r>
        <w:rPr>
          <w:rFonts w:ascii="Times New Roman" w:cs="Times New Roman" w:eastAsia="Times New Roman" w:hAnsi="Times New Roman"/>
          <w:sz w:val="24"/>
          <w:szCs w:val="24"/>
        </w:rPr>
        <w:t xml:space="preserve"> (ISO Standard No. 45003:2021). https://www.iso.org/standard/64283.html</w:t>
      </w:r>
    </w:p>
    <w:p>
      <w:pPr>
        <w:spacing w:after="0" w:before="0" w:line="480"/>
        <w:ind w:left="720" w:hanging="720"/>
        <w:jc w:val="left"/>
      </w:pPr>
      <w:r>
        <w:rPr>
          <w:rFonts w:ascii="Times New Roman" w:cs="Times New Roman" w:eastAsia="Times New Roman" w:hAnsi="Times New Roman"/>
          <w:sz w:val="24"/>
          <w:szCs w:val="24"/>
        </w:rPr>
        <w:t xml:space="preserve">Jain, A., Torres, L. D., Teoh, K., &amp; Leka, S. (2022). The impact of national legislation on psychosocial risks on organisational action plans, psychosocial working conditions, and employee work-related stress in Europe. </w:t>
      </w:r>
      <w:r>
        <w:rPr>
          <w:rFonts w:ascii="Times New Roman" w:cs="Times New Roman" w:eastAsia="Times New Roman" w:hAnsi="Times New Roman"/>
          <w:i/>
          <w:iCs/>
          <w:sz w:val="24"/>
          <w:szCs w:val="24"/>
        </w:rPr>
        <w:t xml:space="preserve">Social Science &amp; Medicine, 302</w:t>
      </w:r>
      <w:r>
        <w:rPr>
          <w:rFonts w:ascii="Times New Roman" w:cs="Times New Roman" w:eastAsia="Times New Roman" w:hAnsi="Times New Roman"/>
          <w:sz w:val="24"/>
          <w:szCs w:val="24"/>
        </w:rPr>
        <w:t xml:space="preserve">, Article 114987. https://doi.org/10.1016/j.socscimed.2022.114987</w:t>
      </w:r>
    </w:p>
    <w:p>
      <w:pPr>
        <w:spacing w:after="0" w:before="0" w:line="480"/>
        <w:ind w:left="720" w:hanging="720"/>
        <w:jc w:val="left"/>
      </w:pPr>
      <w:r>
        <w:rPr>
          <w:rFonts w:ascii="Times New Roman" w:cs="Times New Roman" w:eastAsia="Times New Roman" w:hAnsi="Times New Roman"/>
          <w:sz w:val="24"/>
          <w:szCs w:val="24"/>
        </w:rPr>
        <w:t xml:space="preserve">Niedhammer, I., Bertrais, S., &amp; Witt, K. (2021). Psychosocial work exposures and health outcomes: A meta-review of 72 literature reviews with meta-analysis. </w:t>
      </w:r>
      <w:r>
        <w:rPr>
          <w:rFonts w:ascii="Times New Roman" w:cs="Times New Roman" w:eastAsia="Times New Roman" w:hAnsi="Times New Roman"/>
          <w:i/>
          <w:iCs/>
          <w:sz w:val="24"/>
          <w:szCs w:val="24"/>
        </w:rPr>
        <w:t xml:space="preserve">Scandinavian Journal of Work, Environment &amp; Health, 47</w:t>
      </w:r>
      <w:r>
        <w:rPr>
          <w:rFonts w:ascii="Times New Roman" w:cs="Times New Roman" w:eastAsia="Times New Roman" w:hAnsi="Times New Roman"/>
          <w:sz w:val="24"/>
          <w:szCs w:val="24"/>
        </w:rPr>
        <w:t xml:space="preserve">(7), 489–508. https://doi.org/10.5271/sjweh.3968</w:t>
      </w:r>
    </w:p>
    <w:p>
      <w:pPr>
        <w:spacing w:after="0" w:before="0" w:line="480"/>
        <w:ind w:left="720" w:hanging="720"/>
        <w:jc w:val="left"/>
      </w:pPr>
      <w:r>
        <w:rPr>
          <w:rFonts w:ascii="Times New Roman" w:cs="Times New Roman" w:eastAsia="Times New Roman" w:hAnsi="Times New Roman"/>
          <w:sz w:val="24"/>
          <w:szCs w:val="24"/>
        </w:rPr>
        <w:t xml:space="preserve">Podsakoff, P. M., MacKenzie, S. B., Lee, J.-Y., &amp; Podsakoff, N. P. (2003). Common method biases in behavioral research: A critical review of the literature and recommended remedies. </w:t>
      </w:r>
      <w:r>
        <w:rPr>
          <w:rFonts w:ascii="Times New Roman" w:cs="Times New Roman" w:eastAsia="Times New Roman" w:hAnsi="Times New Roman"/>
          <w:i/>
          <w:iCs/>
          <w:sz w:val="24"/>
          <w:szCs w:val="24"/>
        </w:rPr>
        <w:t xml:space="preserve">Journal of Applied Psychology, 88</w:t>
      </w:r>
      <w:r>
        <w:rPr>
          <w:rFonts w:ascii="Times New Roman" w:cs="Times New Roman" w:eastAsia="Times New Roman" w:hAnsi="Times New Roman"/>
          <w:sz w:val="24"/>
          <w:szCs w:val="24"/>
        </w:rPr>
        <w:t xml:space="preserve">(5), 879–903. https://doi.org/10.1037/0021-9010.88.5.879</w:t>
      </w:r>
    </w:p>
    <w:p>
      <w:pPr>
        <w:spacing w:after="0" w:before="0" w:line="480"/>
        <w:ind w:left="720" w:hanging="720"/>
        <w:jc w:val="left"/>
      </w:pPr>
      <w:r>
        <w:rPr>
          <w:rFonts w:ascii="Times New Roman" w:cs="Times New Roman" w:eastAsia="Times New Roman" w:hAnsi="Times New Roman"/>
          <w:sz w:val="24"/>
          <w:szCs w:val="24"/>
        </w:rPr>
        <w:t xml:space="preserve">Portaria MTE n. 1.419 de 27 de agosto de 2024. (2024). Aprova a nova redação do capítulo 1.5 “Gerenciamento de Riscos Ocupacionais” e altera o Anexo I “Termos e Definições” da Norma Regulamentadora nº 1. Diário Oficial da União, Brasília. https://www.gov.br/trabalho-e-emprego/pt-br/assuntos/inspecao-do-trabalho/seguranca-e-saude-no-trabalho/sst-portarias/2024/portaria-mte-no-1-419-nr-01-gro-nova-redacao.pdf</w:t>
      </w:r>
    </w:p>
    <w:p>
      <w:pPr>
        <w:spacing w:after="0" w:before="0" w:line="480"/>
        <w:ind w:left="720" w:hanging="720"/>
        <w:jc w:val="left"/>
      </w:pPr>
      <w:r>
        <w:rPr>
          <w:rFonts w:ascii="Times New Roman" w:cs="Times New Roman" w:eastAsia="Times New Roman" w:hAnsi="Times New Roman"/>
          <w:sz w:val="24"/>
          <w:szCs w:val="24"/>
        </w:rPr>
        <w:t xml:space="preserve">Resolução CNS n. 510 de 7 de abril de 2016. (2016). Dispõe sobre as normas aplicáveis a pesquisas em Ciências Humanas e Sociais. Diário Oficial da União, Brasília. https://bvsms.saude.gov.br/bvs/saudelegis/cns/2016/res0510_07_04_2016.html</w:t>
      </w:r>
    </w:p>
    <w:p>
      <w:pPr>
        <w:spacing w:after="0" w:before="0" w:line="480"/>
        <w:ind w:left="720" w:hanging="720"/>
        <w:jc w:val="left"/>
      </w:pPr>
      <w:r>
        <w:rPr>
          <w:rFonts w:ascii="Times New Roman" w:cs="Times New Roman" w:eastAsia="Times New Roman" w:hAnsi="Times New Roman"/>
          <w:sz w:val="24"/>
          <w:szCs w:val="24"/>
        </w:rPr>
        <w:t xml:space="preserve">Rugulies, R., Aust, B., Greiner, B. A., Arensman, E., Kawakami, N., LaMontagne, A. D., &amp; Madsen, I. E. H. (2023). Work-related causes of mental health conditions and interventions for their improvement in workplaces. </w:t>
      </w:r>
      <w:r>
        <w:rPr>
          <w:rFonts w:ascii="Times New Roman" w:cs="Times New Roman" w:eastAsia="Times New Roman" w:hAnsi="Times New Roman"/>
          <w:i/>
          <w:iCs/>
          <w:sz w:val="24"/>
          <w:szCs w:val="24"/>
        </w:rPr>
        <w:t xml:space="preserve">The Lancet, 402</w:t>
      </w:r>
      <w:r>
        <w:rPr>
          <w:rFonts w:ascii="Times New Roman" w:cs="Times New Roman" w:eastAsia="Times New Roman" w:hAnsi="Times New Roman"/>
          <w:sz w:val="24"/>
          <w:szCs w:val="24"/>
        </w:rPr>
        <w:t xml:space="preserve">(10410), 1368–1381. https://doi.org/10.1016/S0140-6736(23)00869-3</w:t>
      </w:r>
    </w:p>
    <w:p>
      <w:pPr>
        <w:spacing w:after="0" w:before="0" w:line="480"/>
        <w:ind w:left="720" w:hanging="720"/>
        <w:jc w:val="left"/>
      </w:pPr>
      <w:r>
        <w:rPr>
          <w:rFonts w:ascii="Times New Roman" w:cs="Times New Roman" w:eastAsia="Times New Roman" w:hAnsi="Times New Roman"/>
          <w:sz w:val="24"/>
          <w:szCs w:val="24"/>
        </w:rPr>
        <w:t xml:space="preserve">Schulte, P. A., Sauter, S. L., Pandalai, S. P., Tiesman, H. M., Chosewood, L. C., Cunningham, T. R., Wurzelbacher, S. J., Pana-Cryan, R., Swanson, N. G., Chang, C.-C., Nigam, J. A. S., Reissman, D. B., Ray, T. K., &amp; Howard, J. (2024). An urgent call to address work-related psychosocial hazards and improve worker well-being. </w:t>
      </w:r>
      <w:r>
        <w:rPr>
          <w:rFonts w:ascii="Times New Roman" w:cs="Times New Roman" w:eastAsia="Times New Roman" w:hAnsi="Times New Roman"/>
          <w:i/>
          <w:iCs/>
          <w:sz w:val="24"/>
          <w:szCs w:val="24"/>
        </w:rPr>
        <w:t xml:space="preserve">American Journal of Industrial Medicine, 67</w:t>
      </w:r>
      <w:r>
        <w:rPr>
          <w:rFonts w:ascii="Times New Roman" w:cs="Times New Roman" w:eastAsia="Times New Roman" w:hAnsi="Times New Roman"/>
          <w:sz w:val="24"/>
          <w:szCs w:val="24"/>
        </w:rPr>
        <w:t xml:space="preserve">(6), 499–514. https://doi.org/10.1002/ajim.23583</w:t>
      </w:r>
    </w:p>
    <w:p>
      <w:pPr>
        <w:spacing w:after="0" w:before="0" w:line="480"/>
        <w:ind w:left="720" w:hanging="720"/>
        <w:jc w:val="left"/>
      </w:pPr>
      <w:r>
        <w:rPr>
          <w:rFonts w:ascii="Times New Roman" w:cs="Times New Roman" w:eastAsia="Times New Roman" w:hAnsi="Times New Roman"/>
          <w:sz w:val="24"/>
          <w:szCs w:val="24"/>
        </w:rPr>
        <w:t xml:space="preserve">Taouk, Y., Aitken, Z., LaMontagne, A. D., &amp; King, T. (2024). Persistent low job control and subsequent major depression: A prospective cohort study of Australian working males. </w:t>
      </w:r>
      <w:r>
        <w:rPr>
          <w:rFonts w:ascii="Times New Roman" w:cs="Times New Roman" w:eastAsia="Times New Roman" w:hAnsi="Times New Roman"/>
          <w:i/>
          <w:iCs/>
          <w:sz w:val="24"/>
          <w:szCs w:val="24"/>
        </w:rPr>
        <w:t xml:space="preserve">Social Science &amp; Medicine, 359</w:t>
      </w:r>
      <w:r>
        <w:rPr>
          <w:rFonts w:ascii="Times New Roman" w:cs="Times New Roman" w:eastAsia="Times New Roman" w:hAnsi="Times New Roman"/>
          <w:sz w:val="24"/>
          <w:szCs w:val="24"/>
        </w:rPr>
        <w:t xml:space="preserve">, Article 117283. https://doi.org/10.1016/j.socscimed.2024.117283</w:t>
      </w:r>
    </w:p>
    <w:p>
      <w:pPr>
        <w:spacing w:after="0" w:before="0" w:line="480"/>
        <w:ind w:left="720" w:hanging="720"/>
        <w:jc w:val="left"/>
      </w:pPr>
      <w:r>
        <w:rPr>
          <w:rFonts w:ascii="Times New Roman" w:cs="Times New Roman" w:eastAsia="Times New Roman" w:hAnsi="Times New Roman"/>
          <w:sz w:val="24"/>
          <w:szCs w:val="24"/>
        </w:rPr>
        <w:t xml:space="preserve">Teixeira, I. D. N., Silva, I. S., &amp; Cadime, I. M. D. (2025). Psychosocial risks at work: Integrative review and conceptual perspectives. </w:t>
      </w:r>
      <w:r>
        <w:rPr>
          <w:rFonts w:ascii="Times New Roman" w:cs="Times New Roman" w:eastAsia="Times New Roman" w:hAnsi="Times New Roman"/>
          <w:i/>
          <w:iCs/>
          <w:sz w:val="24"/>
          <w:szCs w:val="24"/>
        </w:rPr>
        <w:t xml:space="preserve">Revista Brasileira de Medicina do Trabalho, 23</w:t>
      </w:r>
      <w:r>
        <w:rPr>
          <w:rFonts w:ascii="Times New Roman" w:cs="Times New Roman" w:eastAsia="Times New Roman" w:hAnsi="Times New Roman"/>
          <w:sz w:val="24"/>
          <w:szCs w:val="24"/>
        </w:rPr>
        <w:t xml:space="preserve">(2), Article e20251464. https://doi.org/10.47626/1679-4435-2025-1464</w:t>
      </w:r>
    </w:p>
    <w:p>
      <w:pPr>
        <w:spacing w:after="0" w:before="0" w:line="480"/>
        <w:ind w:left="720" w:hanging="720"/>
        <w:jc w:val="left"/>
      </w:pPr>
      <w:r>
        <w:rPr>
          <w:rFonts w:ascii="Times New Roman" w:cs="Times New Roman" w:eastAsia="Times New Roman" w:hAnsi="Times New Roman"/>
          <w:sz w:val="24"/>
          <w:szCs w:val="24"/>
        </w:rPr>
        <w:t xml:space="preserve">von Elm, E., Altman, D. G., Egger, M., Pocock, S. J., Gøtzsche, P. C., &amp; Vandenbroucke, J. P. (2007). The Strengthening the Reporting of Observational Studies in Epidemiology (STROBE) statement: Guidelines for reporting observational studies. </w:t>
      </w:r>
      <w:r>
        <w:rPr>
          <w:rFonts w:ascii="Times New Roman" w:cs="Times New Roman" w:eastAsia="Times New Roman" w:hAnsi="Times New Roman"/>
          <w:i/>
          <w:iCs/>
          <w:sz w:val="24"/>
          <w:szCs w:val="24"/>
        </w:rPr>
        <w:t xml:space="preserve">The Lancet, 370</w:t>
      </w:r>
      <w:r>
        <w:rPr>
          <w:rFonts w:ascii="Times New Roman" w:cs="Times New Roman" w:eastAsia="Times New Roman" w:hAnsi="Times New Roman"/>
          <w:sz w:val="24"/>
          <w:szCs w:val="24"/>
        </w:rPr>
        <w:t xml:space="preserve">(9596), 1453–1457. https://doi.org/10.1016/S0140-6736(07)61602-X</w:t>
      </w:r>
    </w:p>
    <w:p>
      <w:pPr>
        <w:spacing w:after="0" w:before="0" w:line="480"/>
        <w:ind w:left="720" w:hanging="720"/>
        <w:jc w:val="left"/>
      </w:pPr>
      <w:r>
        <w:rPr>
          <w:rFonts w:ascii="Times New Roman" w:cs="Times New Roman" w:eastAsia="Times New Roman" w:hAnsi="Times New Roman"/>
          <w:sz w:val="24"/>
          <w:szCs w:val="24"/>
        </w:rPr>
        <w:t xml:space="preserve">World Health Organization. (2022). </w:t>
      </w:r>
      <w:r>
        <w:rPr>
          <w:rFonts w:ascii="Times New Roman" w:cs="Times New Roman" w:eastAsia="Times New Roman" w:hAnsi="Times New Roman"/>
          <w:i/>
          <w:iCs/>
          <w:sz w:val="24"/>
          <w:szCs w:val="24"/>
        </w:rPr>
        <w:t xml:space="preserve">WHO guidelines on mental health at work</w:t>
      </w:r>
      <w:r>
        <w:rPr>
          <w:rFonts w:ascii="Times New Roman" w:cs="Times New Roman" w:eastAsia="Times New Roman" w:hAnsi="Times New Roman"/>
          <w:sz w:val="24"/>
          <w:szCs w:val="24"/>
        </w:rPr>
        <w:t xml:space="preserve">. https://www.who.int/publications/i/item/9789240053052</w:t>
      </w:r>
    </w:p>
    <w:p>
      <w:pPr>
        <w:spacing w:after="0" w:before="0" w:line="480"/>
        <w:ind w:left="720" w:hanging="720"/>
        <w:jc w:val="left"/>
      </w:pPr>
      <w:r>
        <w:rPr>
          <w:rFonts w:ascii="Times New Roman" w:cs="Times New Roman" w:eastAsia="Times New Roman" w:hAnsi="Times New Roman"/>
          <w:sz w:val="24"/>
          <w:szCs w:val="24"/>
        </w:rPr>
        <w:t xml:space="preserve">Zumbo, B. D., Gadermann, A. M., &amp; Zeisser, C. (2007). Ordinal versions of coefficients alpha and theta for Likert rating scales. </w:t>
      </w:r>
      <w:r>
        <w:rPr>
          <w:rFonts w:ascii="Times New Roman" w:cs="Times New Roman" w:eastAsia="Times New Roman" w:hAnsi="Times New Roman"/>
          <w:i/>
          <w:iCs/>
          <w:sz w:val="24"/>
          <w:szCs w:val="24"/>
        </w:rPr>
        <w:t xml:space="preserve">Journal of Modern Applied Statistical Methods, 6</w:t>
      </w:r>
      <w:r>
        <w:rPr>
          <w:rFonts w:ascii="Times New Roman" w:cs="Times New Roman" w:eastAsia="Times New Roman" w:hAnsi="Times New Roman"/>
          <w:sz w:val="24"/>
          <w:szCs w:val="24"/>
        </w:rPr>
        <w:t xml:space="preserve">(1), 21–29. https://doi.org/10.22237/jmasm/1177992180</w:t>
      </w:r>
      <w:r>
        <w:rPr>
          <w:rFonts w:ascii="Times New Roman" w:cs="Times New Roman" w:eastAsia="Times New Roman" w:hAnsi="Times New Roman"/>
          <w:sz w:val="24"/>
          <w:szCs w:val="24"/>
        </w:rPr>
        <w:fldChar w:fldCharType="end"/>
      </w:r>
    </w:p>
    <w:p>
      <w:pPr>
        <w:pageBreakBefore/>
        <w:spacing w:line="480"/>
        <w:ind w:left="0" w:firstLine="0"/>
        <w:jc w:val="center"/>
      </w:pPr>
      <w:r>
        <w:rPr>
          <w:rFonts w:ascii="Times New Roman" w:cs="Times New Roman" w:eastAsia="Times New Roman" w:hAnsi="Times New Roman"/>
          <w:b/>
          <w:bCs/>
          <w:sz w:val="24"/>
          <w:szCs w:val="24"/>
        </w:rPr>
        <w:t xml:space="preserve">Annex A</w:t>
      </w:r>
    </w:p>
    <w:p>
      <w:pPr>
        <w:keepNext/>
        <w:spacing w:after="0" w:before="0" w:line="480"/>
        <w:ind w:left="0" w:firstLine="0"/>
        <w:jc w:val="center"/>
      </w:pPr>
      <w:r>
        <w:rPr>
          <w:rFonts w:ascii="Times New Roman" w:cs="Times New Roman" w:eastAsia="Times New Roman" w:hAnsi="Times New Roman"/>
          <w:b/>
          <w:bCs/>
          <w:sz w:val="24"/>
          <w:szCs w:val="24"/>
        </w:rPr>
        <w:t xml:space="preserve">Employee Responses by Wave</w:t>
      </w:r>
    </w:p>
    <w:p>
      <w:pPr>
        <w:keepNext/>
        <w:spacing w:after="0" w:before="0" w:line="480"/>
        <w:ind w:firstLine="720"/>
        <w:jc w:val="both"/>
      </w:pPr>
      <w:r>
        <w:rPr>
          <w:rFonts w:ascii="Times New Roman" w:cs="Times New Roman" w:eastAsia="Times New Roman" w:hAnsi="Times New Roman"/>
          <w:sz w:val="24"/>
          <w:szCs w:val="24"/>
        </w:rPr>
        <w:t xml:space="preserve">Table A1 reports, for each symptom and emotional regulation item, the percentage of employees answering often or always at each wave, with the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value and odds ratio of T2 against T1.</w:t>
      </w:r>
    </w:p>
    <w:p>
      <w:pPr>
        <w:keepNext/>
        <w:spacing w:after="0" w:before="240" w:line="480"/>
        <w:ind w:left="0" w:firstLine="0"/>
        <w:jc w:val="left"/>
      </w:pPr>
      <w:r>
        <w:rPr>
          <w:rFonts w:ascii="Times New Roman" w:cs="Times New Roman" w:eastAsia="Times New Roman" w:hAnsi="Times New Roman"/>
          <w:b/>
          <w:bCs/>
          <w:sz w:val="24"/>
          <w:szCs w:val="24"/>
        </w:rPr>
        <w:t xml:space="preserve">Table A1</w:t>
      </w:r>
    </w:p>
    <w:p>
      <w:pPr>
        <w:keepNext/>
        <w:spacing w:after="0" w:line="480"/>
        <w:ind w:left="0" w:firstLine="0"/>
        <w:jc w:val="left"/>
      </w:pPr>
      <w:r>
        <w:rPr>
          <w:rFonts w:ascii="Times New Roman" w:cs="Times New Roman" w:eastAsia="Times New Roman" w:hAnsi="Times New Roman"/>
          <w:i/>
          <w:iCs/>
          <w:sz w:val="24"/>
          <w:szCs w:val="24"/>
        </w:rPr>
        <w:t xml:space="preserve">Employees Answering Often or Always to Symptom and Emotional Regulation Items by Wave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100"/>
        <w:gridCol w:w="950"/>
        <w:gridCol w:w="950"/>
        <w:gridCol w:w="800"/>
        <w:gridCol w:w="2226"/>
      </w:tblGrid>
      <w:tr>
        <w:trPr>
          <w:tblHeader/>
        </w:trPr>
        <w:tc>
          <w:tcPr>
            <w:tcW w:type="dxa" w:w="41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left"/>
            </w:pPr>
            <w:r>
              <w:rPr>
                <w:rFonts w:ascii="Times New Roman" w:cs="Times New Roman" w:eastAsia="Times New Roman" w:hAnsi="Times New Roman"/>
                <w:sz w:val="24"/>
                <w:szCs w:val="24"/>
              </w:rPr>
              <w:t xml:space="preserve">Item</w:t>
            </w:r>
          </w:p>
        </w:tc>
        <w:tc>
          <w:tcPr>
            <w:tcW w:type="dxa" w:w="9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sz w:val="24"/>
                <w:szCs w:val="24"/>
              </w:rPr>
              <w:t xml:space="preserve">% T1</w:t>
            </w:r>
          </w:p>
        </w:tc>
        <w:tc>
          <w:tcPr>
            <w:tcW w:type="dxa" w:w="9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sz w:val="24"/>
                <w:szCs w:val="24"/>
              </w:rPr>
              <w:t xml:space="preserve">% T2</w:t>
            </w:r>
          </w:p>
        </w:tc>
        <w:tc>
          <w:tcPr>
            <w:tcW w:type="dxa" w:w="8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i/>
                <w:iCs/>
                <w:sz w:val="24"/>
                <w:szCs w:val="24"/>
              </w:rPr>
              <w:t xml:space="preserve">p</w:t>
            </w:r>
          </w:p>
        </w:tc>
        <w:tc>
          <w:tcPr>
            <w:tcW w:type="dxa" w:w="2226"/>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r>
      <w:tr>
        <w:trPr>
          <w:cantSplit/>
        </w:trPr>
        <w:tc>
          <w:tcPr>
            <w:tcW w:type="dxa" w:w="41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 Copes with frustration</w:t>
            </w:r>
          </w:p>
        </w:tc>
        <w:tc>
          <w:tcPr>
            <w:tcW w:type="dxa" w:w="9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56</w:t>
            </w:r>
          </w:p>
        </w:tc>
        <w:tc>
          <w:tcPr>
            <w:tcW w:type="dxa" w:w="9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64</w:t>
            </w:r>
          </w:p>
        </w:tc>
        <w:tc>
          <w:tcPr>
            <w:tcW w:type="dxa" w:w="8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.100</w:t>
            </w:r>
          </w:p>
        </w:tc>
        <w:tc>
          <w:tcPr>
            <w:tcW w:type="dxa" w:w="222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1.53 [0.92, 2.55]</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 Self control under stress</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71</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67</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.135</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0.68 [0.41, 1.13]</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 Assertive without aggression</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82</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79</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.161</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0.69 [0.41, 1.16]</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 Excessive self demand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79</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73</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.072</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0.63 [0.39, 1.04]</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6. Anticipatory worry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65</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60</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.306</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0.78 [0.48, 1.26]</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7. Rumination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37</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32</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.831</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0.95 [0.59, 1.53]</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10. Shyness or insecurity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24</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23</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.301</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1.29 [0.80, 2.08]</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15. Headache or muscle pain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45</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36</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.300</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0.78 [0.48, 1.25]</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16. Tiredness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52</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46</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.904</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0.97 [0.60, 1.57]</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17. Sleep difficulty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28</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14</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.160</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0.71 [0.44, 1.15]</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18. Low motivation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22</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16</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.872</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1.04 [0.64, 1.70]</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19. Sad or depressed mood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22</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15</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.774</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0.93 [0.57, 1.51]</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20. Difficulty concentrating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22</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17</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.915</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1.03 [0.63, 1.68]</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21. Forgetfulness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32</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25</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.133</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0.69 [0.43, 1.12]</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22. Stomach or bowel problems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19</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19</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.354</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1.25 [0.78, 2.03]</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23. Feelings of inferiority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28</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31</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.501</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1.18 [0.73, 1.90]</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24. Decreased libido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21</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20</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.565</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1.15 [0.71, 1.86]</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25. Appetite change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44</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34</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.256</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0.76 [0.47, 1.22]</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26. Anxiety or distress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43</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33</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.467</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0.84 [0.52, 1.35]</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27. Hair loss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27</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25</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.834</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0.95 [0.59, 1.54]</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28. Disturbing thoughts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30</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24</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.856</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0.96 [0.59, 1.55]</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29. Crying more †</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21</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14</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.893</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0.97 [0.59, 1.57]</w:t>
            </w:r>
          </w:p>
        </w:tc>
      </w:tr>
      <w:tr>
        <w:trPr>
          <w:cantSplit/>
        </w:trPr>
        <w:tc>
          <w:tcPr>
            <w:tcW w:type="dxa" w:w="41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30. Wish to stop living †</w:t>
            </w:r>
          </w:p>
        </w:tc>
        <w:tc>
          <w:tcPr>
            <w:tcW w:type="dxa" w:w="9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w:t>
            </w:r>
          </w:p>
        </w:tc>
        <w:tc>
          <w:tcPr>
            <w:tcW w:type="dxa" w:w="9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w:t>
            </w:r>
          </w:p>
        </w:tc>
        <w:tc>
          <w:tcPr>
            <w:tcW w:type="dxa" w:w="8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.419</w:t>
            </w:r>
          </w:p>
        </w:tc>
        <w:tc>
          <w:tcPr>
            <w:tcW w:type="dxa" w:w="2226"/>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0.80 [0.46, 1.38]</w:t>
            </w:r>
          </w:p>
        </w:tc>
      </w:tr>
    </w:tbl>
    <w:p>
      <w:pPr>
        <w:spacing w:after="240" w:before="60" w:line="240"/>
        <w:ind w:left="0" w:firstLine="0"/>
        <w:jc w:val="left"/>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 confidence interval.</w:t>
      </w:r>
    </w:p>
    <w:p>
      <w:pPr>
        <w:keepNext/>
        <w:spacing w:after="0" w:before="0" w:line="480"/>
        <w:ind w:firstLine="720"/>
        <w:jc w:val="both"/>
      </w:pPr>
      <w:r>
        <w:rPr>
          <w:rFonts w:ascii="Times New Roman" w:cs="Times New Roman" w:eastAsia="Times New Roman" w:hAnsi="Times New Roman"/>
          <w:sz w:val="24"/>
          <w:szCs w:val="24"/>
        </w:rPr>
        <w:t xml:space="preserve">Table A2 reports the same results for satisfaction with oneself (item 31) and the psychosocial work factor items.</w:t>
      </w:r>
    </w:p>
    <w:p>
      <w:pPr>
        <w:keepNext/>
        <w:spacing w:after="0" w:before="240" w:line="480"/>
        <w:ind w:left="0" w:firstLine="0"/>
        <w:jc w:val="left"/>
      </w:pPr>
      <w:r>
        <w:rPr>
          <w:rFonts w:ascii="Times New Roman" w:cs="Times New Roman" w:eastAsia="Times New Roman" w:hAnsi="Times New Roman"/>
          <w:b/>
          <w:bCs/>
          <w:sz w:val="24"/>
          <w:szCs w:val="24"/>
        </w:rPr>
        <w:t xml:space="preserve">Table A2</w:t>
      </w:r>
    </w:p>
    <w:p>
      <w:pPr>
        <w:keepNext/>
        <w:spacing w:after="0" w:line="480"/>
        <w:ind w:left="0" w:firstLine="0"/>
        <w:jc w:val="left"/>
      </w:pPr>
      <w:r>
        <w:rPr>
          <w:rFonts w:ascii="Times New Roman" w:cs="Times New Roman" w:eastAsia="Times New Roman" w:hAnsi="Times New Roman"/>
          <w:i/>
          <w:iCs/>
          <w:sz w:val="24"/>
          <w:szCs w:val="24"/>
        </w:rPr>
        <w:t xml:space="preserve">Employees Answering Often or Always to Satisfaction and Work Factor Items by Wave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100"/>
        <w:gridCol w:w="950"/>
        <w:gridCol w:w="950"/>
        <w:gridCol w:w="800"/>
        <w:gridCol w:w="2226"/>
      </w:tblGrid>
      <w:tr>
        <w:trPr>
          <w:tblHeader/>
        </w:trPr>
        <w:tc>
          <w:tcPr>
            <w:tcW w:type="dxa" w:w="41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left"/>
            </w:pPr>
            <w:r>
              <w:rPr>
                <w:rFonts w:ascii="Times New Roman" w:cs="Times New Roman" w:eastAsia="Times New Roman" w:hAnsi="Times New Roman"/>
                <w:sz w:val="24"/>
                <w:szCs w:val="24"/>
              </w:rPr>
              <w:t xml:space="preserve">Item</w:t>
            </w:r>
          </w:p>
        </w:tc>
        <w:tc>
          <w:tcPr>
            <w:tcW w:type="dxa" w:w="9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sz w:val="24"/>
                <w:szCs w:val="24"/>
              </w:rPr>
              <w:t xml:space="preserve">% T1</w:t>
            </w:r>
          </w:p>
        </w:tc>
        <w:tc>
          <w:tcPr>
            <w:tcW w:type="dxa" w:w="95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sz w:val="24"/>
                <w:szCs w:val="24"/>
              </w:rPr>
              <w:t xml:space="preserve">% T2</w:t>
            </w:r>
          </w:p>
        </w:tc>
        <w:tc>
          <w:tcPr>
            <w:tcW w:type="dxa" w:w="800"/>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i/>
                <w:iCs/>
                <w:sz w:val="24"/>
                <w:szCs w:val="24"/>
              </w:rPr>
              <w:t xml:space="preserve">p</w:t>
            </w:r>
          </w:p>
        </w:tc>
        <w:tc>
          <w:tcPr>
            <w:tcW w:type="dxa" w:w="2226"/>
            <w:tcBorders>
              <w:top w:val="single" w:color="000000" w:sz="4"/>
              <w:left w:val="none" w:color="FFFFFF" w:sz="0"/>
              <w:bottom w:val="single" w:color="000000" w:sz="4"/>
              <w:right w:val="none" w:color="FFFFFF" w:sz="0"/>
            </w:tcBorders>
            <w:tcMar>
              <w:top w:type="dxa" w:w="0"/>
              <w:left w:type="dxa" w:w="60"/>
              <w:bottom w:type="dxa" w:w="60"/>
              <w:right w:type="dxa" w:w="60"/>
            </w:tcMar>
            <w:vAlign w:val="bottom"/>
          </w:tcPr>
          <w:p>
            <w:pPr>
              <w:spacing w:after="0" w:before="0" w:line="240"/>
              <w:ind w:left="0" w:firstLine="0"/>
              <w:jc w:val="center"/>
            </w:pP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T2 [95%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w:t>
            </w:r>
          </w:p>
        </w:tc>
      </w:tr>
      <w:tr>
        <w:trPr>
          <w:cantSplit/>
        </w:trPr>
        <w:tc>
          <w:tcPr>
            <w:tcW w:type="dxa" w:w="41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31. Satisfied with oneself</w:t>
            </w:r>
          </w:p>
        </w:tc>
        <w:tc>
          <w:tcPr>
            <w:tcW w:type="dxa" w:w="9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57</w:t>
            </w:r>
          </w:p>
        </w:tc>
        <w:tc>
          <w:tcPr>
            <w:tcW w:type="dxa" w:w="95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49</w:t>
            </w:r>
          </w:p>
        </w:tc>
        <w:tc>
          <w:tcPr>
            <w:tcW w:type="dxa" w:w="8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.064</w:t>
            </w:r>
          </w:p>
        </w:tc>
        <w:tc>
          <w:tcPr>
            <w:tcW w:type="dxa" w:w="222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0.62 [0.37, 1.03]</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32. Satisfied with role</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68</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63</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.140</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0.69 [0.42, 1.13]</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33. Trusted to decide</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66</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60</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.150</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0.69 [0.42, 1.14]</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34. Freedom to organize activities</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87</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75</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.012</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0.52 [0.31, 0.87]</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35. Encouraged to use creativity</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77</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71</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.017</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0.54 [0.33, 0.90]</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36. Mutual respect</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78</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73</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.536</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0.85 [0.52, 1.41]</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37. Sense of belonging</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85</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77</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.104</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0.65 [0.39, 1.09]</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38. Teamwork</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81</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83</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.788</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1.07 [0.64, 1.79]</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40. Equal opportunities</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59</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61</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.838</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0.95 [0.58, 1.55]</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42. Fair treatment</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81</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87</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.716</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1.11 [0.64, 1.89]</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43. Adequate equipment</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90</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92</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.934</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1.03 [0.55, 1.92]</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44. Comfortable talking to leader</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78</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72</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.226</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0.73 [0.44, 1.21]</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45. Receives feedback</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74</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63</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.104</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0.66 [0.40, 1.09]</w:t>
            </w:r>
          </w:p>
        </w:tc>
      </w:tr>
      <w:tr>
        <w:trPr>
          <w:cantSplit/>
        </w:trPr>
        <w:tc>
          <w:tcPr>
            <w:tcW w:type="dxa" w:w="41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46. Adequate training</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69</w:t>
            </w:r>
          </w:p>
        </w:tc>
        <w:tc>
          <w:tcPr>
            <w:tcW w:type="dxa" w:w="95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72</w:t>
            </w:r>
          </w:p>
        </w:tc>
        <w:tc>
          <w:tcPr>
            <w:tcW w:type="dxa" w:w="800"/>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.699</w:t>
            </w:r>
          </w:p>
        </w:tc>
        <w:tc>
          <w:tcPr>
            <w:tcW w:type="dxa" w:w="2226"/>
            <w:tcBorders>
              <w:top w:val="none" w:color="FFFFFF" w:sz="0"/>
              <w:left w:val="none" w:color="FFFFFF" w:sz="0"/>
              <w:bottom w:val="none" w:color="FFFFFF" w:sz="0"/>
              <w:right w:val="none" w:color="FFFFFF" w:sz="0"/>
            </w:tcBorders>
            <w:tcMar>
              <w:top w:type="dxa" w:w="40"/>
              <w:left w:type="dxa" w:w="60"/>
              <w:bottom w:type="dxa" w:w="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1.10 [0.67, 1.82]</w:t>
            </w:r>
          </w:p>
        </w:tc>
      </w:tr>
      <w:tr>
        <w:trPr>
          <w:cantSplit/>
        </w:trPr>
        <w:tc>
          <w:tcPr>
            <w:tcW w:type="dxa" w:w="41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left"/>
            </w:pPr>
            <w:r>
              <w:rPr>
                <w:rFonts w:ascii="Times New Roman" w:cs="Times New Roman" w:eastAsia="Times New Roman" w:hAnsi="Times New Roman"/>
                <w:sz w:val="24"/>
                <w:szCs w:val="24"/>
              </w:rPr>
              <w:t xml:space="preserve">47. Leader shows concern</w:t>
            </w:r>
          </w:p>
        </w:tc>
        <w:tc>
          <w:tcPr>
            <w:tcW w:type="dxa" w:w="9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68</w:t>
            </w:r>
          </w:p>
        </w:tc>
        <w:tc>
          <w:tcPr>
            <w:tcW w:type="dxa" w:w="95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71</w:t>
            </w:r>
          </w:p>
        </w:tc>
        <w:tc>
          <w:tcPr>
            <w:tcW w:type="dxa" w:w="800"/>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.200</w:t>
            </w:r>
          </w:p>
        </w:tc>
        <w:tc>
          <w:tcPr>
            <w:tcW w:type="dxa" w:w="2226"/>
            <w:tcBorders>
              <w:top w:val="none" w:color="FFFFFF" w:sz="0"/>
              <w:left w:val="none" w:color="FFFFFF" w:sz="0"/>
              <w:bottom w:val="single" w:color="000000" w:sz="4"/>
              <w:right w:val="none" w:color="FFFFFF" w:sz="0"/>
            </w:tcBorders>
            <w:tcMar>
              <w:top w:type="dxa" w:w="40"/>
              <w:left w:type="dxa" w:w="60"/>
              <w:bottom w:type="dxa" w:w="60"/>
              <w:right w:type="dxa" w:w="60"/>
            </w:tcMar>
            <w:vAlign w:val="top"/>
          </w:tcPr>
          <w:p>
            <w:pPr>
              <w:spacing w:after="0" w:before="0" w:line="240"/>
              <w:ind w:left="0" w:firstLine="0"/>
              <w:jc w:val="center"/>
            </w:pPr>
            <w:r>
              <w:rPr>
                <w:rFonts w:ascii="Times New Roman" w:cs="Times New Roman" w:eastAsia="Times New Roman" w:hAnsi="Times New Roman"/>
                <w:sz w:val="24"/>
                <w:szCs w:val="24"/>
              </w:rPr>
              <w:t xml:space="preserve">0.72 [0.44, 1.19]</w:t>
            </w:r>
          </w:p>
        </w:tc>
      </w:tr>
    </w:tbl>
    <w:p>
      <w:pPr>
        <w:spacing w:after="240" w:before="60" w:line="240"/>
        <w:ind w:left="0" w:firstLine="0"/>
        <w:jc w:val="left"/>
      </w:pPr>
      <w:r>
        <w:rPr>
          <w:rFonts w:ascii="Times New Roman" w:cs="Times New Roman" w:eastAsia="Times New Roman" w:hAnsi="Times New Roman"/>
          <w:i/>
          <w:iCs/>
          <w:sz w:val="24"/>
          <w:szCs w:val="24"/>
        </w:rPr>
        <w:t xml:space="preserve">Note.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 odds ratio; </w:t>
      </w:r>
      <w:r>
        <w:rPr>
          <w:rFonts w:ascii="Times New Roman" w:cs="Times New Roman" w:eastAsia="Times New Roman" w:hAnsi="Times New Roman"/>
          <w:i/>
          <w:iCs/>
          <w:sz w:val="24"/>
          <w:szCs w:val="24"/>
        </w:rPr>
        <w:t xml:space="preserve">CI</w:t>
      </w:r>
      <w:r>
        <w:rPr>
          <w:rFonts w:ascii="Times New Roman" w:cs="Times New Roman" w:eastAsia="Times New Roman" w:hAnsi="Times New Roman"/>
          <w:sz w:val="24"/>
          <w:szCs w:val="24"/>
        </w:rPr>
        <w:t xml:space="preserve"> = confidence interval.</w:t>
      </w:r>
    </w:p>
    <w:p>
      <w:pPr>
        <w:pageBreakBefore/>
        <w:spacing w:line="480"/>
        <w:ind w:left="0" w:firstLine="0"/>
        <w:jc w:val="center"/>
      </w:pPr>
      <w:r>
        <w:rPr>
          <w:rFonts w:ascii="Times New Roman" w:cs="Times New Roman" w:eastAsia="Times New Roman" w:hAnsi="Times New Roman"/>
          <w:b/>
          <w:bCs/>
          <w:sz w:val="24"/>
          <w:szCs w:val="24"/>
        </w:rPr>
        <w:t xml:space="preserve">Annex B</w:t>
      </w:r>
    </w:p>
    <w:p>
      <w:pPr>
        <w:keepNext/>
        <w:spacing w:after="0" w:before="0" w:line="480"/>
        <w:ind w:left="0" w:firstLine="0"/>
        <w:jc w:val="center"/>
      </w:pPr>
      <w:r>
        <w:rPr>
          <w:rFonts w:ascii="Times New Roman" w:cs="Times New Roman" w:eastAsia="Times New Roman" w:hAnsi="Times New Roman"/>
          <w:b/>
          <w:bCs/>
          <w:sz w:val="24"/>
          <w:szCs w:val="24"/>
        </w:rPr>
        <w:t xml:space="preserve">Wording of the Analyzed Items</w:t>
      </w:r>
    </w:p>
    <w:p>
      <w:pPr>
        <w:spacing w:after="0" w:before="0" w:line="480"/>
        <w:ind w:firstLine="720"/>
        <w:jc w:val="both"/>
      </w:pPr>
      <w:r>
        <w:rPr>
          <w:rFonts w:ascii="Times New Roman" w:cs="Times New Roman" w:eastAsia="Times New Roman" w:hAnsi="Times New Roman"/>
          <w:sz w:val="24"/>
          <w:szCs w:val="24"/>
        </w:rPr>
        <w:t xml:space="preserve">Items are listed by number, short label and English translation of the Portuguese wording. Risk items are marked with a dagger (†).</w:t>
      </w:r>
    </w:p>
    <w:p>
      <w:pPr>
        <w:keepNext/>
        <w:spacing w:after="0" w:before="0" w:line="480"/>
        <w:ind w:left="0" w:firstLine="0"/>
        <w:jc w:val="left"/>
      </w:pPr>
      <w:r>
        <w:rPr>
          <w:rFonts w:ascii="Times New Roman" w:cs="Times New Roman" w:eastAsia="Times New Roman" w:hAnsi="Times New Roman"/>
          <w:b/>
          <w:bCs/>
          <w:sz w:val="24"/>
          <w:szCs w:val="24"/>
        </w:rPr>
        <w:t xml:space="preserve">Leader Inventory</w:t>
      </w:r>
    </w:p>
    <w:p>
      <w:pPr>
        <w:spacing w:after="0" w:before="0" w:line="480"/>
        <w:jc w:val="both"/>
      </w:pPr>
      <w:r>
        <w:rPr>
          <w:rFonts w:ascii="Times New Roman" w:cs="Times New Roman" w:eastAsia="Times New Roman" w:hAnsi="Times New Roman"/>
          <w:sz w:val="24"/>
          <w:szCs w:val="24"/>
        </w:rPr>
        <w:t xml:space="preserve">1. High decision responsibility †: “I feel that the burden of responsibility for decisions is high.”</w:t>
      </w:r>
    </w:p>
    <w:p>
      <w:pPr>
        <w:spacing w:after="0" w:before="0" w:line="480"/>
        <w:jc w:val="both"/>
      </w:pPr>
      <w:r>
        <w:rPr>
          <w:rFonts w:ascii="Times New Roman" w:cs="Times New Roman" w:eastAsia="Times New Roman" w:hAnsi="Times New Roman"/>
          <w:sz w:val="24"/>
          <w:szCs w:val="24"/>
        </w:rPr>
        <w:t xml:space="preserve">3. Clear responsibilities and authority: “My responsibilities and limits of authority are clear (e.g., I know how far I can decide alone and when I need to escalate).”</w:t>
      </w:r>
    </w:p>
    <w:p>
      <w:pPr>
        <w:spacing w:after="0" w:before="0" w:line="480"/>
        <w:jc w:val="both"/>
      </w:pPr>
      <w:r>
        <w:rPr>
          <w:rFonts w:ascii="Times New Roman" w:cs="Times New Roman" w:eastAsia="Times New Roman" w:hAnsi="Times New Roman"/>
          <w:sz w:val="24"/>
          <w:szCs w:val="24"/>
        </w:rPr>
        <w:t xml:space="preserve">7. Frequent conflict intervention †: “I often need to intervene in conflicts that wear down my work routine.”</w:t>
      </w:r>
    </w:p>
    <w:p>
      <w:pPr>
        <w:spacing w:after="0" w:before="0" w:line="480"/>
        <w:jc w:val="both"/>
      </w:pPr>
      <w:r>
        <w:rPr>
          <w:rFonts w:ascii="Times New Roman" w:cs="Times New Roman" w:eastAsia="Times New Roman" w:hAnsi="Times New Roman"/>
          <w:sz w:val="24"/>
          <w:szCs w:val="24"/>
        </w:rPr>
        <w:t xml:space="preserve">8. Team overly dependent on me †: “I feel that my team depends excessively on me to solve simple problems (e.g., recurring questions that could be solved without direct supervision).”</w:t>
      </w:r>
    </w:p>
    <w:p>
      <w:pPr>
        <w:spacing w:after="0" w:before="0" w:line="480"/>
        <w:jc w:val="both"/>
      </w:pPr>
      <w:r>
        <w:rPr>
          <w:rFonts w:ascii="Times New Roman" w:cs="Times New Roman" w:eastAsia="Times New Roman" w:hAnsi="Times New Roman"/>
          <w:sz w:val="24"/>
          <w:szCs w:val="24"/>
        </w:rPr>
        <w:t xml:space="preserve">9. Satisfied with team performance: “I am satisfied with my team's overall performance.”</w:t>
      </w:r>
    </w:p>
    <w:p>
      <w:pPr>
        <w:spacing w:after="0" w:before="0" w:line="480"/>
        <w:jc w:val="both"/>
      </w:pPr>
      <w:r>
        <w:rPr>
          <w:rFonts w:ascii="Times New Roman" w:cs="Times New Roman" w:eastAsia="Times New Roman" w:hAnsi="Times New Roman"/>
          <w:sz w:val="24"/>
          <w:szCs w:val="24"/>
        </w:rPr>
        <w:t xml:space="preserve">12. Team unpreparedness raises my stress †: “The team's lack of technical or behavioral preparation increases my stress level.”</w:t>
      </w:r>
    </w:p>
    <w:p>
      <w:pPr>
        <w:spacing w:after="0" w:before="0" w:line="480"/>
        <w:jc w:val="both"/>
      </w:pPr>
      <w:r>
        <w:rPr>
          <w:rFonts w:ascii="Times New Roman" w:cs="Times New Roman" w:eastAsia="Times New Roman" w:hAnsi="Times New Roman"/>
          <w:sz w:val="24"/>
          <w:szCs w:val="24"/>
        </w:rPr>
        <w:t xml:space="preserve">14. Support from senior management: “I receive feedback and support from senior management when needed.”</w:t>
      </w:r>
    </w:p>
    <w:p>
      <w:pPr>
        <w:spacing w:after="0" w:before="0" w:line="480"/>
        <w:jc w:val="both"/>
      </w:pPr>
      <w:r>
        <w:rPr>
          <w:rFonts w:ascii="Times New Roman" w:cs="Times New Roman" w:eastAsia="Times New Roman" w:hAnsi="Times New Roman"/>
          <w:sz w:val="24"/>
          <w:szCs w:val="24"/>
        </w:rPr>
        <w:t xml:space="preserve">19. Decisions affecting others †: “My work requires constant decisions that affect the safety, well being or performance of other people (e.g., reallocating people, giving difficult feedback, setting priorities).”</w:t>
      </w:r>
    </w:p>
    <w:p>
      <w:pPr>
        <w:keepNext/>
        <w:spacing w:after="0" w:before="0" w:line="480"/>
        <w:ind w:left="0" w:firstLine="0"/>
        <w:jc w:val="left"/>
      </w:pPr>
      <w:r>
        <w:rPr>
          <w:rFonts w:ascii="Times New Roman" w:cs="Times New Roman" w:eastAsia="Times New Roman" w:hAnsi="Times New Roman"/>
          <w:b/>
          <w:bCs/>
          <w:sz w:val="24"/>
          <w:szCs w:val="24"/>
        </w:rPr>
        <w:t xml:space="preserve">Employee Inventory</w:t>
      </w:r>
    </w:p>
    <w:p>
      <w:pPr>
        <w:spacing w:after="0" w:before="0" w:line="480"/>
        <w:jc w:val="both"/>
      </w:pPr>
      <w:r>
        <w:rPr>
          <w:rFonts w:ascii="Times New Roman" w:cs="Times New Roman" w:eastAsia="Times New Roman" w:hAnsi="Times New Roman"/>
          <w:sz w:val="24"/>
          <w:szCs w:val="24"/>
        </w:rPr>
        <w:t xml:space="preserve">1. Copes with frustration: “Do you cope well with frustrations and unexpected events? (e.g., staying calm even when you miss a deadline)”</w:t>
      </w:r>
    </w:p>
    <w:p>
      <w:pPr>
        <w:spacing w:after="0" w:before="0" w:line="480"/>
        <w:jc w:val="both"/>
      </w:pPr>
      <w:r>
        <w:rPr>
          <w:rFonts w:ascii="Times New Roman" w:cs="Times New Roman" w:eastAsia="Times New Roman" w:hAnsi="Times New Roman"/>
          <w:sz w:val="24"/>
          <w:szCs w:val="24"/>
        </w:rPr>
        <w:t xml:space="preserve">2. Self control under stress: “Do you keep your self control in situations of stress or conflict? (e.g., not losing your temper in arguments)”</w:t>
      </w:r>
    </w:p>
    <w:p>
      <w:pPr>
        <w:spacing w:after="0" w:before="0" w:line="480"/>
        <w:jc w:val="both"/>
      </w:pPr>
      <w:r>
        <w:rPr>
          <w:rFonts w:ascii="Times New Roman" w:cs="Times New Roman" w:eastAsia="Times New Roman" w:hAnsi="Times New Roman"/>
          <w:sz w:val="24"/>
          <w:szCs w:val="24"/>
        </w:rPr>
        <w:t xml:space="preserve">3. Assertive without aggression: “Can you be assertive without raising your voice or being aggressive? (e.g., saying what you need to say without shouting)”</w:t>
      </w:r>
    </w:p>
    <w:p>
      <w:pPr>
        <w:spacing w:after="0" w:before="0" w:line="480"/>
        <w:jc w:val="both"/>
      </w:pPr>
      <w:r>
        <w:rPr>
          <w:rFonts w:ascii="Times New Roman" w:cs="Times New Roman" w:eastAsia="Times New Roman" w:hAnsi="Times New Roman"/>
          <w:sz w:val="24"/>
          <w:szCs w:val="24"/>
        </w:rPr>
        <w:t xml:space="preserve">4. Excessive self demand †: “Do you demand too much of yourself? (e.g., feeling that you have never done enough)”</w:t>
      </w:r>
    </w:p>
    <w:p>
      <w:pPr>
        <w:spacing w:after="0" w:before="0" w:line="480"/>
        <w:jc w:val="both"/>
      </w:pPr>
      <w:r>
        <w:rPr>
          <w:rFonts w:ascii="Times New Roman" w:cs="Times New Roman" w:eastAsia="Times New Roman" w:hAnsi="Times New Roman"/>
          <w:sz w:val="24"/>
          <w:szCs w:val="24"/>
        </w:rPr>
        <w:t xml:space="preserve">6. Anticipatory worry †: “Do you suffer in anticipation? (e.g., worrying about something that has not happened yet)”</w:t>
      </w:r>
    </w:p>
    <w:p>
      <w:pPr>
        <w:spacing w:after="0" w:before="0" w:line="480"/>
        <w:jc w:val="both"/>
      </w:pPr>
      <w:r>
        <w:rPr>
          <w:rFonts w:ascii="Times New Roman" w:cs="Times New Roman" w:eastAsia="Times New Roman" w:hAnsi="Times New Roman"/>
          <w:sz w:val="24"/>
          <w:szCs w:val="24"/>
        </w:rPr>
        <w:t xml:space="preserve">7. Rumination †: “Do you dwell on past situations? (e.g., often recalling old hurts)”</w:t>
      </w:r>
    </w:p>
    <w:p>
      <w:pPr>
        <w:spacing w:after="0" w:before="0" w:line="480"/>
        <w:jc w:val="both"/>
      </w:pPr>
      <w:r>
        <w:rPr>
          <w:rFonts w:ascii="Times New Roman" w:cs="Times New Roman" w:eastAsia="Times New Roman" w:hAnsi="Times New Roman"/>
          <w:sz w:val="24"/>
          <w:szCs w:val="24"/>
        </w:rPr>
        <w:t xml:space="preserve">10. Shyness or insecurity †: “Do you consider yourself shy or insecure?”</w:t>
      </w:r>
    </w:p>
    <w:p>
      <w:pPr>
        <w:spacing w:after="0" w:before="0" w:line="480"/>
        <w:jc w:val="both"/>
      </w:pPr>
      <w:r>
        <w:rPr>
          <w:rFonts w:ascii="Times New Roman" w:cs="Times New Roman" w:eastAsia="Times New Roman" w:hAnsi="Times New Roman"/>
          <w:sz w:val="24"/>
          <w:szCs w:val="24"/>
        </w:rPr>
        <w:t xml:space="preserve">15. Headache or muscle pain †: “Do you have headaches or muscle pain?”</w:t>
      </w:r>
    </w:p>
    <w:p>
      <w:pPr>
        <w:spacing w:after="0" w:before="0" w:line="480"/>
        <w:jc w:val="both"/>
      </w:pPr>
      <w:r>
        <w:rPr>
          <w:rFonts w:ascii="Times New Roman" w:cs="Times New Roman" w:eastAsia="Times New Roman" w:hAnsi="Times New Roman"/>
          <w:sz w:val="24"/>
          <w:szCs w:val="24"/>
        </w:rPr>
        <w:t xml:space="preserve">16. Tiredness †: “Do you often feel tired? (e.g., waking up without energy even after sleeping)”</w:t>
      </w:r>
    </w:p>
    <w:p>
      <w:pPr>
        <w:spacing w:after="0" w:before="0" w:line="480"/>
        <w:jc w:val="both"/>
      </w:pPr>
      <w:r>
        <w:rPr>
          <w:rFonts w:ascii="Times New Roman" w:cs="Times New Roman" w:eastAsia="Times New Roman" w:hAnsi="Times New Roman"/>
          <w:sz w:val="24"/>
          <w:szCs w:val="24"/>
        </w:rPr>
        <w:t xml:space="preserve">17. Sleep difficulty †: “Do you have difficulty sleeping?”</w:t>
      </w:r>
    </w:p>
    <w:p>
      <w:pPr>
        <w:spacing w:after="0" w:before="0" w:line="480"/>
        <w:jc w:val="both"/>
      </w:pPr>
      <w:r>
        <w:rPr>
          <w:rFonts w:ascii="Times New Roman" w:cs="Times New Roman" w:eastAsia="Times New Roman" w:hAnsi="Times New Roman"/>
          <w:sz w:val="24"/>
          <w:szCs w:val="24"/>
        </w:rPr>
        <w:t xml:space="preserve">18. Low motivation †: “Do you feel unmotivated or discouraged? (e.g., no desire to start simple tasks)”</w:t>
      </w:r>
    </w:p>
    <w:p>
      <w:pPr>
        <w:spacing w:after="0" w:before="0" w:line="480"/>
        <w:jc w:val="both"/>
      </w:pPr>
      <w:r>
        <w:rPr>
          <w:rFonts w:ascii="Times New Roman" w:cs="Times New Roman" w:eastAsia="Times New Roman" w:hAnsi="Times New Roman"/>
          <w:sz w:val="24"/>
          <w:szCs w:val="24"/>
        </w:rPr>
        <w:t xml:space="preserve">19. Sad or depressed mood †: “Do you perceive yourself as sad or in a depressed mood? (e.g., lack of pleasure in daily activities)”</w:t>
      </w:r>
    </w:p>
    <w:p>
      <w:pPr>
        <w:spacing w:after="0" w:before="0" w:line="480"/>
        <w:jc w:val="both"/>
      </w:pPr>
      <w:r>
        <w:rPr>
          <w:rFonts w:ascii="Times New Roman" w:cs="Times New Roman" w:eastAsia="Times New Roman" w:hAnsi="Times New Roman"/>
          <w:sz w:val="24"/>
          <w:szCs w:val="24"/>
        </w:rPr>
        <w:t xml:space="preserve">20. Difficulty concentrating †: “Do you often have difficulty concentrating? (e.g., starting tasks and not finishing them)”</w:t>
      </w:r>
    </w:p>
    <w:p>
      <w:pPr>
        <w:spacing w:after="0" w:before="0" w:line="480"/>
        <w:jc w:val="both"/>
      </w:pPr>
      <w:r>
        <w:rPr>
          <w:rFonts w:ascii="Times New Roman" w:cs="Times New Roman" w:eastAsia="Times New Roman" w:hAnsi="Times New Roman"/>
          <w:sz w:val="24"/>
          <w:szCs w:val="24"/>
        </w:rPr>
        <w:t xml:space="preserve">21. Forgetfulness †: “Have you been forgetful or had memory lapses? (e.g., forgetting appointments or names)”</w:t>
      </w:r>
    </w:p>
    <w:p>
      <w:pPr>
        <w:spacing w:after="0" w:before="0" w:line="480"/>
        <w:jc w:val="both"/>
      </w:pPr>
      <w:r>
        <w:rPr>
          <w:rFonts w:ascii="Times New Roman" w:cs="Times New Roman" w:eastAsia="Times New Roman" w:hAnsi="Times New Roman"/>
          <w:sz w:val="24"/>
          <w:szCs w:val="24"/>
        </w:rPr>
        <w:t xml:space="preserve">22. Stomach or bowel problems †: “Do you have stomach aches or bowel problems?”</w:t>
      </w:r>
    </w:p>
    <w:p>
      <w:pPr>
        <w:spacing w:after="0" w:before="0" w:line="480"/>
        <w:jc w:val="both"/>
      </w:pPr>
      <w:r>
        <w:rPr>
          <w:rFonts w:ascii="Times New Roman" w:cs="Times New Roman" w:eastAsia="Times New Roman" w:hAnsi="Times New Roman"/>
          <w:sz w:val="24"/>
          <w:szCs w:val="24"/>
        </w:rPr>
        <w:t xml:space="preserve">23. Feelings of inferiority †: “Do you have feelings of inferiority? (e.g., believing you are not good enough)”</w:t>
      </w:r>
    </w:p>
    <w:p>
      <w:pPr>
        <w:spacing w:after="0" w:before="0" w:line="480"/>
        <w:jc w:val="both"/>
      </w:pPr>
      <w:r>
        <w:rPr>
          <w:rFonts w:ascii="Times New Roman" w:cs="Times New Roman" w:eastAsia="Times New Roman" w:hAnsi="Times New Roman"/>
          <w:sz w:val="24"/>
          <w:szCs w:val="24"/>
        </w:rPr>
        <w:t xml:space="preserve">24. Decreased libido †: “Do you notice decreased libido? (e.g., loss of sexual interest)”</w:t>
      </w:r>
    </w:p>
    <w:p>
      <w:pPr>
        <w:spacing w:after="0" w:before="0" w:line="480"/>
        <w:jc w:val="both"/>
      </w:pPr>
      <w:r>
        <w:rPr>
          <w:rFonts w:ascii="Times New Roman" w:cs="Times New Roman" w:eastAsia="Times New Roman" w:hAnsi="Times New Roman"/>
          <w:sz w:val="24"/>
          <w:szCs w:val="24"/>
        </w:rPr>
        <w:t xml:space="preserve">25. Appetite change †: “Do you have a lack or excess of appetite? (e.g., raiding the fridge at night or skipping meals)”</w:t>
      </w:r>
    </w:p>
    <w:p>
      <w:pPr>
        <w:spacing w:after="0" w:before="0" w:line="480"/>
        <w:jc w:val="both"/>
      </w:pPr>
      <w:r>
        <w:rPr>
          <w:rFonts w:ascii="Times New Roman" w:cs="Times New Roman" w:eastAsia="Times New Roman" w:hAnsi="Times New Roman"/>
          <w:sz w:val="24"/>
          <w:szCs w:val="24"/>
        </w:rPr>
        <w:t xml:space="preserve">26. Anxiety or distress †: “Do you often feel anxiety or distress? (e.g., tightness in the chest for no clear reason)”</w:t>
      </w:r>
    </w:p>
    <w:p>
      <w:pPr>
        <w:spacing w:after="0" w:before="0" w:line="480"/>
        <w:jc w:val="both"/>
      </w:pPr>
      <w:r>
        <w:rPr>
          <w:rFonts w:ascii="Times New Roman" w:cs="Times New Roman" w:eastAsia="Times New Roman" w:hAnsi="Times New Roman"/>
          <w:sz w:val="24"/>
          <w:szCs w:val="24"/>
        </w:rPr>
        <w:t xml:space="preserve">27. Hair loss †: “Do you have hair loss with no apparent cause?”</w:t>
      </w:r>
    </w:p>
    <w:p>
      <w:pPr>
        <w:spacing w:after="0" w:before="0" w:line="480"/>
        <w:jc w:val="both"/>
      </w:pPr>
      <w:r>
        <w:rPr>
          <w:rFonts w:ascii="Times New Roman" w:cs="Times New Roman" w:eastAsia="Times New Roman" w:hAnsi="Times New Roman"/>
          <w:sz w:val="24"/>
          <w:szCs w:val="24"/>
        </w:rPr>
        <w:t xml:space="preserve">28. Disturbing thoughts †: “Do you have disturbing thoughts? (e.g., imagining negative scenarios or distressing thoughts)”</w:t>
      </w:r>
    </w:p>
    <w:p>
      <w:pPr>
        <w:spacing w:after="0" w:before="0" w:line="480"/>
        <w:jc w:val="both"/>
      </w:pPr>
      <w:r>
        <w:rPr>
          <w:rFonts w:ascii="Times New Roman" w:cs="Times New Roman" w:eastAsia="Times New Roman" w:hAnsi="Times New Roman"/>
          <w:sz w:val="24"/>
          <w:szCs w:val="24"/>
        </w:rPr>
        <w:t xml:space="preserve">29. Crying more †: “Have you been crying more lately? (e.g., crying over small things)”</w:t>
      </w:r>
    </w:p>
    <w:p>
      <w:pPr>
        <w:spacing w:after="0" w:before="0" w:line="480"/>
        <w:jc w:val="both"/>
      </w:pPr>
      <w:r>
        <w:rPr>
          <w:rFonts w:ascii="Times New Roman" w:cs="Times New Roman" w:eastAsia="Times New Roman" w:hAnsi="Times New Roman"/>
          <w:sz w:val="24"/>
          <w:szCs w:val="24"/>
        </w:rPr>
        <w:t xml:space="preserve">30. Wish to stop living †: “Do you feel like giving up on living? (e.g., thoughts about death or not going on)”</w:t>
      </w:r>
    </w:p>
    <w:p>
      <w:pPr>
        <w:spacing w:after="0" w:before="0" w:line="480"/>
        <w:jc w:val="both"/>
      </w:pPr>
      <w:r>
        <w:rPr>
          <w:rFonts w:ascii="Times New Roman" w:cs="Times New Roman" w:eastAsia="Times New Roman" w:hAnsi="Times New Roman"/>
          <w:sz w:val="24"/>
          <w:szCs w:val="24"/>
        </w:rPr>
        <w:t xml:space="preserve">31. Satisfied with oneself: “Are you satisfied with yourself and your choices? (e.g., believing you are on the right path)”</w:t>
      </w:r>
    </w:p>
    <w:p>
      <w:pPr>
        <w:spacing w:after="0" w:before="0" w:line="480"/>
        <w:jc w:val="both"/>
      </w:pPr>
      <w:r>
        <w:rPr>
          <w:rFonts w:ascii="Times New Roman" w:cs="Times New Roman" w:eastAsia="Times New Roman" w:hAnsi="Times New Roman"/>
          <w:sz w:val="24"/>
          <w:szCs w:val="24"/>
        </w:rPr>
        <w:t xml:space="preserve">32. Satisfied with role: “Are you satisfied with your current role? (e.g., feeling that your role suits you)”</w:t>
      </w:r>
    </w:p>
    <w:p>
      <w:pPr>
        <w:spacing w:after="0" w:before="0" w:line="480"/>
        <w:jc w:val="both"/>
      </w:pPr>
      <w:r>
        <w:rPr>
          <w:rFonts w:ascii="Times New Roman" w:cs="Times New Roman" w:eastAsia="Times New Roman" w:hAnsi="Times New Roman"/>
          <w:sz w:val="24"/>
          <w:szCs w:val="24"/>
        </w:rPr>
        <w:t xml:space="preserve">33. Trusted to decide: “Does the company trust your ability to make decisions? (e.g., solving problems without asking permission for everything)”</w:t>
      </w:r>
    </w:p>
    <w:p>
      <w:pPr>
        <w:spacing w:after="0" w:before="0" w:line="480"/>
        <w:jc w:val="both"/>
      </w:pPr>
      <w:r>
        <w:rPr>
          <w:rFonts w:ascii="Times New Roman" w:cs="Times New Roman" w:eastAsia="Times New Roman" w:hAnsi="Times New Roman"/>
          <w:sz w:val="24"/>
          <w:szCs w:val="24"/>
        </w:rPr>
        <w:t xml:space="preserve">34. Freedom to organize activities: “Are you free to organize your activities? (e.g., choosing the order of tasks)”</w:t>
      </w:r>
    </w:p>
    <w:p>
      <w:pPr>
        <w:spacing w:after="0" w:before="0" w:line="480"/>
        <w:jc w:val="both"/>
      </w:pPr>
      <w:r>
        <w:rPr>
          <w:rFonts w:ascii="Times New Roman" w:cs="Times New Roman" w:eastAsia="Times New Roman" w:hAnsi="Times New Roman"/>
          <w:sz w:val="24"/>
          <w:szCs w:val="24"/>
        </w:rPr>
        <w:t xml:space="preserve">35. Encouraged to use creativity: “Are you encouraged to use your creativity and knowledge? (e.g., suggesting improvements or new ideas)”</w:t>
      </w:r>
    </w:p>
    <w:p>
      <w:pPr>
        <w:spacing w:after="0" w:before="0" w:line="480"/>
        <w:jc w:val="both"/>
      </w:pPr>
      <w:r>
        <w:rPr>
          <w:rFonts w:ascii="Times New Roman" w:cs="Times New Roman" w:eastAsia="Times New Roman" w:hAnsi="Times New Roman"/>
          <w:sz w:val="24"/>
          <w:szCs w:val="24"/>
        </w:rPr>
        <w:t xml:space="preserve">36. Mutual respect: “Do employees respect and care about one another? (e.g., absence of humiliation or toxic competition)”</w:t>
      </w:r>
    </w:p>
    <w:p>
      <w:pPr>
        <w:spacing w:after="0" w:before="0" w:line="480"/>
        <w:jc w:val="both"/>
      </w:pPr>
      <w:r>
        <w:rPr>
          <w:rFonts w:ascii="Times New Roman" w:cs="Times New Roman" w:eastAsia="Times New Roman" w:hAnsi="Times New Roman"/>
          <w:sz w:val="24"/>
          <w:szCs w:val="24"/>
        </w:rPr>
        <w:t xml:space="preserve">37. Sense of belonging: “Do you feel you belong to the team and the company? (e.g., feeling part of the group)”</w:t>
      </w:r>
    </w:p>
    <w:p>
      <w:pPr>
        <w:spacing w:after="0" w:before="0" w:line="480"/>
        <w:jc w:val="both"/>
      </w:pPr>
      <w:r>
        <w:rPr>
          <w:rFonts w:ascii="Times New Roman" w:cs="Times New Roman" w:eastAsia="Times New Roman" w:hAnsi="Times New Roman"/>
          <w:sz w:val="24"/>
          <w:szCs w:val="24"/>
        </w:rPr>
        <w:t xml:space="preserve">38. Teamwork: “Is there a sense of teamwork? (e.g., collaboration among professionals)”</w:t>
      </w:r>
    </w:p>
    <w:p>
      <w:pPr>
        <w:spacing w:after="0" w:before="0" w:line="480"/>
        <w:jc w:val="both"/>
      </w:pPr>
      <w:r>
        <w:rPr>
          <w:rFonts w:ascii="Times New Roman" w:cs="Times New Roman" w:eastAsia="Times New Roman" w:hAnsi="Times New Roman"/>
          <w:sz w:val="24"/>
          <w:szCs w:val="24"/>
        </w:rPr>
        <w:t xml:space="preserve">40. Equal opportunities: “Do employees have the same opportunities? (e.g., promotions without favoritism)”</w:t>
      </w:r>
    </w:p>
    <w:p>
      <w:pPr>
        <w:spacing w:after="0" w:before="0" w:line="480"/>
        <w:jc w:val="both"/>
      </w:pPr>
      <w:r>
        <w:rPr>
          <w:rFonts w:ascii="Times New Roman" w:cs="Times New Roman" w:eastAsia="Times New Roman" w:hAnsi="Times New Roman"/>
          <w:sz w:val="24"/>
          <w:szCs w:val="24"/>
        </w:rPr>
        <w:t xml:space="preserve">42. Fair treatment: “Is everyone treated well regardless of personal differences? (e.g., absence of prejudice based on age, gender or ethnicity)”</w:t>
      </w:r>
    </w:p>
    <w:p>
      <w:pPr>
        <w:spacing w:after="0" w:before="0" w:line="480"/>
        <w:jc w:val="both"/>
      </w:pPr>
      <w:r>
        <w:rPr>
          <w:rFonts w:ascii="Times New Roman" w:cs="Times New Roman" w:eastAsia="Times New Roman" w:hAnsi="Times New Roman"/>
          <w:sz w:val="24"/>
          <w:szCs w:val="24"/>
        </w:rPr>
        <w:t xml:space="preserve">43. Adequate equipment: “Do you have access to adequate equipment and materials to do your tasks?”</w:t>
      </w:r>
    </w:p>
    <w:p>
      <w:pPr>
        <w:spacing w:after="0" w:before="0" w:line="480"/>
        <w:jc w:val="both"/>
      </w:pPr>
      <w:r>
        <w:rPr>
          <w:rFonts w:ascii="Times New Roman" w:cs="Times New Roman" w:eastAsia="Times New Roman" w:hAnsi="Times New Roman"/>
          <w:sz w:val="24"/>
          <w:szCs w:val="24"/>
        </w:rPr>
        <w:t xml:space="preserve">44. Comfortable talking to leader: “Do you feel comfortable talking to your leader? (e.g., expressing expectations and conflicts without fear)”</w:t>
      </w:r>
    </w:p>
    <w:p>
      <w:pPr>
        <w:spacing w:after="0" w:before="0" w:line="480"/>
        <w:jc w:val="both"/>
      </w:pPr>
      <w:r>
        <w:rPr>
          <w:rFonts w:ascii="Times New Roman" w:cs="Times New Roman" w:eastAsia="Times New Roman" w:hAnsi="Times New Roman"/>
          <w:sz w:val="24"/>
          <w:szCs w:val="24"/>
        </w:rPr>
        <w:t xml:space="preserve">45. Receives feedback: “Do you receive feedback to improve your performance? (e.g., clear and useful guidance)”</w:t>
      </w:r>
    </w:p>
    <w:p>
      <w:pPr>
        <w:spacing w:after="0" w:before="0" w:line="480"/>
        <w:jc w:val="both"/>
      </w:pPr>
      <w:r>
        <w:rPr>
          <w:rFonts w:ascii="Times New Roman" w:cs="Times New Roman" w:eastAsia="Times New Roman" w:hAnsi="Times New Roman"/>
          <w:sz w:val="24"/>
          <w:szCs w:val="24"/>
        </w:rPr>
        <w:t xml:space="preserve">46. Adequate training: “Do you receive adequate training? (e.g., learning what is needed to do your job)”</w:t>
      </w:r>
    </w:p>
    <w:p>
      <w:pPr>
        <w:spacing w:after="0" w:before="0" w:line="480"/>
        <w:jc w:val="both"/>
      </w:pPr>
      <w:r>
        <w:rPr>
          <w:rFonts w:ascii="Times New Roman" w:cs="Times New Roman" w:eastAsia="Times New Roman" w:hAnsi="Times New Roman"/>
          <w:sz w:val="24"/>
          <w:szCs w:val="24"/>
        </w:rPr>
        <w:t xml:space="preserve">47. Leader shows concern: “Does your leader show concern for your well being? (e.g., asking how you are and offering support)”</w:t>
      </w:r>
    </w:p>
    <w:sectPr>
      <w:headerReference r:id="rId35" w:type="default"/>
      <w:headerReference r:id="rId36" w:type="first"/>
      <w:headerReference r:id="rId37" w:type="even"/>
      <w:footerReference r:id="rId38" w:type="default"/>
      <w:footerReference r:id="rId39" w:type="first"/>
      <w:footerReference r:id="rId40" w:type="even"/>
      <w:pgSz w:h="16837" w:w="11900" w:orient="portrait"/>
      <w:pgMar w:bottom="1440" w:top="1440" w:left="1440" w:right="1440" w:header="624" w:footer="709"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Bdr>
        <w:top w:space="0" w:sz="0" w:val="nil"/>
        <w:left w:space="0" w:sz="0" w:val="nil"/>
        <w:bottom w:space="0" w:sz="0" w:val="nil"/>
        <w:right w:space="0" w:sz="0" w:val="nil"/>
        <w:between w:space="0" w:sz="0" w:val="nil"/>
      </w:pBdr>
      <w:spacing w:line="240" w:lineRule="auto"/>
      <w:ind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1"/>
      <w:pBdr>
        <w:top w:space="0" w:sz="0" w:val="nil"/>
        <w:left w:space="0" w:sz="0" w:val="nil"/>
        <w:bottom w:space="0" w:sz="0" w:val="nil"/>
        <w:right w:space="0" w:sz="0" w:val="nil"/>
        <w:between w:space="0" w:sz="0" w:val="nil"/>
      </w:pBdr>
      <w:ind w:hanging="2"/>
      <w:rPr>
        <w:rFonts w:ascii="Calibri" w:cs="Calibri" w:eastAsia="Calibri" w:hAnsi="Calibri"/>
        <w:color w:val="000000"/>
      </w:rPr>
    </w:pPr>
    <w:r w:rsidDel="00000000" w:rsidR="00000000" w:rsidRPr="00000000">
      <w:rPr>
        <w:i w:val="1"/>
        <w:iCs w:val="1"/>
        <w:color w:val="808080"/>
        <w:sz w:val="18"/>
        <w:szCs w:val="18"/>
        <w:rtl w:val="0"/>
      </w:rPr>
      <w:t xml:space="preserve">Autores</w:t>
    </w:r>
    <w:r w:rsidDel="00000000" w:rsidR="00000000" w:rsidRPr="00000000">
      <w:rPr>
        <w:color w:val="808080"/>
        <w:sz w:val="18"/>
        <w:szCs w:val="18"/>
        <w:rtl w:val="0"/>
      </w:rPr>
      <w:tab/>
    </w:r>
    <w:r w:rsidDel="00000000" w:rsidR="00000000" w:rsidRPr="00000000">
      <w:rPr>
        <w:i w:val="1"/>
        <w:iCs w:val="1"/>
        <w:color w:val="808080"/>
        <w:sz w:val="18"/>
        <w:szCs w:val="18"/>
        <w:rtl w:val="0"/>
      </w:rPr>
      <w:tab/>
      <w:tab/>
      <w:tab/>
      <w:tab/>
      <w:tab/>
      <w:tab/>
      <w:tab/>
      <w:tab/>
      <w:tab/>
      <w:tab/>
      <w:t xml:space="preserve">            Página</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pBdr>
        <w:top w:space="0" w:sz="0" w:val="nil"/>
        <w:left w:space="0" w:sz="0" w:val="nil"/>
        <w:bottom w:space="0" w:sz="0" w:val="nil"/>
        <w:right w:space="0" w:sz="0" w:val="nil"/>
        <w:between w:space="0" w:sz="0" w:val="nil"/>
      </w:pBdr>
      <w:ind w:hanging="2"/>
      <w:rPr>
        <w:rFonts w:ascii="Calibri" w:cs="Calibri" w:eastAsia="Calibri" w:hAnsi="Calibri"/>
        <w:color w:val="000000"/>
      </w:rPr>
    </w:pPr>
    <w:r w:rsidDel="00000000" w:rsidR="00000000" w:rsidRPr="00000000">
      <w:rPr>
        <w:rtl w:val="0"/>
      </w:rPr>
    </w:r>
  </w:p>
  <w:tbl>
    <w:tblPr>
      <w:tblStyle w:val="Table8"/>
      <w:tblW w:w="9322.0" w:type="dxa"/>
      <w:jc w:val="left"/>
      <w:tblInd w:w="-113.0" w:type="dxa"/>
      <w:tblBorders>
        <w:top w:color="000000" w:space="0" w:sz="4" w:val="single"/>
      </w:tblBorders>
      <w:tblLayout w:type="fixed"/>
      <w:tblLook w:val="0000"/>
    </w:tblPr>
    <w:tblGrid>
      <w:gridCol w:w="6912"/>
      <w:gridCol w:w="114"/>
      <w:gridCol w:w="122"/>
      <w:gridCol w:w="2174"/>
      <w:tblGridChange w:id="0">
        <w:tblGrid>
          <w:gridCol w:w="6912"/>
          <w:gridCol w:w="114"/>
          <w:gridCol w:w="122"/>
          <w:gridCol w:w="2174"/>
        </w:tblGrid>
      </w:tblGridChange>
    </w:tblGrid>
    <w:tr>
      <w:trPr>
        <w:cantSplit w:val="0"/>
        <w:trHeight w:val="485" w:hRule="atLeast"/>
        <w:tblHeader w:val="0"/>
      </w:trPr>
      <w:tc>
        <w:tcPr>
          <w:gridSpan w:val="2"/>
          <w:tcMar>
            <w:top w:w="0.0" w:type="dxa"/>
            <w:left w:w="108.0" w:type="dxa"/>
            <w:bottom w:w="0.0" w:type="dxa"/>
            <w:right w:w="108.0" w:type="dxa"/>
          </w:tcMar>
        </w:tcPr>
        <w:p w:rsidR="00000000" w:rsidDel="00000000" w:rsidP="00000000" w:rsidRDefault="00000000" w:rsidRPr="00000000" w14:paraId="000001CA">
          <w:pPr>
            <w:keepNext w:val="1"/>
            <w:pBdr>
              <w:top w:space="0" w:sz="0" w:val="nil"/>
              <w:left w:space="0" w:sz="0" w:val="nil"/>
              <w:bottom w:space="0" w:sz="0" w:val="nil"/>
              <w:right w:space="0" w:sz="0" w:val="nil"/>
              <w:between w:space="0" w:sz="0" w:val="nil"/>
            </w:pBdr>
            <w:ind w:hanging="2"/>
            <w:rPr>
              <w:color w:val="808080"/>
              <w:sz w:val="18"/>
              <w:szCs w:val="18"/>
            </w:rPr>
          </w:pPr>
          <w:r w:rsidDel="00000000" w:rsidR="00000000" w:rsidRPr="00000000">
            <w:rPr>
              <w:rtl w:val="0"/>
            </w:rPr>
          </w:r>
        </w:p>
      </w:tc>
      <w:tc>
        <w:tcPr>
          <w:gridSpan w:val="2"/>
          <w:tcMar>
            <w:top w:w="0.0" w:type="dxa"/>
            <w:left w:w="108.0" w:type="dxa"/>
            <w:bottom w:w="0.0" w:type="dxa"/>
            <w:right w:w="108.0" w:type="dxa"/>
          </w:tcMar>
        </w:tcPr>
        <w:p w:rsidR="00000000" w:rsidDel="00000000" w:rsidP="00000000" w:rsidRDefault="00000000" w:rsidRPr="00000000" w14:paraId="000001CC">
          <w:pPr>
            <w:keepNext w:val="1"/>
            <w:pBdr>
              <w:top w:space="0" w:sz="0" w:val="nil"/>
              <w:left w:space="0" w:sz="0" w:val="nil"/>
              <w:bottom w:space="0" w:sz="0" w:val="nil"/>
              <w:right w:space="0" w:sz="0" w:val="nil"/>
              <w:between w:space="0" w:sz="0" w:val="nil"/>
            </w:pBdr>
            <w:ind w:hanging="2"/>
            <w:rPr>
              <w:color w:val="808080"/>
              <w:sz w:val="18"/>
              <w:szCs w:val="18"/>
            </w:rPr>
          </w:pPr>
          <w:r w:rsidDel="00000000" w:rsidR="00000000" w:rsidRPr="00000000">
            <w:rPr>
              <w:rtl w:val="0"/>
            </w:rPr>
          </w:r>
        </w:p>
      </w:tc>
    </w:tr>
    <w:tr>
      <w:trPr>
        <w:cantSplit w:val="0"/>
        <w:trHeight w:val="485" w:hRule="atLeast"/>
        <w:tblHeader w:val="0"/>
      </w:trPr>
      <w:tc>
        <w:tcPr>
          <w:tcMar>
            <w:top w:w="0.0" w:type="dxa"/>
            <w:left w:w="108.0" w:type="dxa"/>
            <w:bottom w:w="0.0" w:type="dxa"/>
            <w:right w:w="108.0" w:type="dxa"/>
          </w:tcMar>
        </w:tcPr>
        <w:p w:rsidR="00000000" w:rsidDel="00000000" w:rsidP="00000000" w:rsidRDefault="00000000" w:rsidRPr="00000000" w14:paraId="000001CE">
          <w:pPr>
            <w:keepNext w:val="1"/>
            <w:pBdr>
              <w:top w:space="0" w:sz="0" w:val="nil"/>
              <w:left w:space="0" w:sz="0" w:val="nil"/>
              <w:bottom w:space="0" w:sz="0" w:val="nil"/>
              <w:right w:space="0" w:sz="0" w:val="nil"/>
              <w:between w:space="0" w:sz="0" w:val="nil"/>
            </w:pBdr>
            <w:ind w:hanging="2"/>
            <w:rPr>
              <w:color w:val="808080"/>
              <w:sz w:val="18"/>
              <w:szCs w:val="18"/>
            </w:rPr>
          </w:pPr>
          <w:r w:rsidDel="00000000" w:rsidR="00000000" w:rsidRPr="00000000">
            <w:rPr>
              <w:rtl w:val="0"/>
            </w:rPr>
          </w:r>
        </w:p>
      </w:tc>
      <w:tc>
        <w:tcPr>
          <w:gridSpan w:val="2"/>
          <w:tcMar>
            <w:top w:w="0.0" w:type="dxa"/>
            <w:left w:w="108.0" w:type="dxa"/>
            <w:bottom w:w="0.0" w:type="dxa"/>
            <w:right w:w="108.0" w:type="dxa"/>
          </w:tcMar>
        </w:tcPr>
        <w:p w:rsidR="00000000" w:rsidDel="00000000" w:rsidP="00000000" w:rsidRDefault="00000000" w:rsidRPr="00000000" w14:paraId="000001CF">
          <w:pPr>
            <w:keepNext w:val="1"/>
            <w:pBdr>
              <w:top w:space="0" w:sz="0" w:val="nil"/>
              <w:left w:space="0" w:sz="0" w:val="nil"/>
              <w:bottom w:space="0" w:sz="0" w:val="nil"/>
              <w:right w:space="0" w:sz="0" w:val="nil"/>
              <w:between w:space="0" w:sz="0" w:val="nil"/>
            </w:pBdr>
            <w:ind w:hanging="2"/>
            <w:jc w:val="center"/>
            <w:rPr>
              <w:color w:val="808080"/>
              <w:sz w:val="18"/>
              <w:szCs w:val="18"/>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center" w:leader="none" w:pos="4320"/>
              <w:tab w:val="right" w:leader="none" w:pos="8640"/>
            </w:tabs>
            <w:ind w:hanging="2"/>
            <w:jc w:val="right"/>
            <w:rPr/>
          </w:pPr>
          <w:r w:rsidDel="00000000" w:rsidR="00000000" w:rsidRPr="00000000">
            <w:rPr/>
            <w:drawing>
              <wp:inline distB="0" distT="0" distL="114300" distR="114300">
                <wp:extent cx="808990" cy="283210"/>
                <wp:effectExtent b="0" l="0" r="0" t="0"/>
                <wp:docPr descr="https://mirrors.creativecommons.org/presskit/buttons/88x31/png/by-nc.png" id="3" name="image1.png"/>
                <a:graphic>
                  <a:graphicData uri="http://schemas.openxmlformats.org/drawingml/2006/picture">
                    <pic:pic>
                      <pic:nvPicPr>
                        <pic:cNvPr descr="https://mirrors.creativecommons.org/presskit/buttons/88x31/png/by-nc.png" id="0" name="image1.png"/>
                        <pic:cNvPicPr preferRelativeResize="0"/>
                      </pic:nvPicPr>
                      <pic:blipFill>
                        <a:blip r:embed="rId1"/>
                        <a:srcRect b="0" l="0" r="0" t="0"/>
                        <a:stretch>
                          <a:fillRect/>
                        </a:stretch>
                      </pic:blipFill>
                      <pic:spPr>
                        <a:xfrm>
                          <a:off x="0" y="0"/>
                          <a:ext cx="808990" cy="2832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center" w:leader="none" w:pos="4320"/>
        <w:tab w:val="right" w:leader="none" w:pos="8640"/>
      </w:tabs>
      <w:ind w:firstLine="0"/>
      <w:rPr>
        <w:rFonts w:ascii="Calibri" w:cs="Calibri" w:eastAsia="Calibri" w:hAnsi="Calibri"/>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40" w:lineRule="auto"/>
        <w:ind w:hanging="2"/>
        <w:rPr>
          <w:color w:val="000000"/>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color w:val="000000"/>
          <w:sz w:val="20"/>
          <w:szCs w:val="20"/>
          <w:rtl w:val="0"/>
        </w:rPr>
        <w:t xml:space="preserve"> </w:t>
      </w:r>
      <w:r w:rsidDel="00000000" w:rsidR="00000000" w:rsidRPr="00000000">
        <w:rPr>
          <w:color w:val="000000"/>
          <w:sz w:val="20"/>
          <w:szCs w:val="20"/>
          <w:rtl w:val="0"/>
        </w:rPr>
        <w:t xml:space="preserve">Apenas no momento da publicação do artigo aprovado, aqui será incluída a filiação institucional (a filiação deve ser de quando o trabalho foi conduzido e não a filiação atual do autor), o e-mail e o orcid do(a) autor(a)</w:t>
      </w:r>
    </w:p>
  </w:footnote>
  <w:footnote w:id="1">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40" w:lineRule="auto"/>
        <w:ind w:hanging="2"/>
        <w:rPr>
          <w:rFonts w:ascii="Calibri" w:cs="Calibri" w:eastAsia="Calibri" w:hAnsi="Calibri"/>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Apenas no momento da publicação do artigo aprovado, aqui será incluída a filiação institucional (a filiação deve ser de quando o trabalho foi conduzido e não a filiação atual do autor), o e-mail e o orcid do(a) autor(a)</w:t>
      </w:r>
      <w:r w:rsidDel="00000000" w:rsidR="00000000" w:rsidRPr="00000000">
        <w:rPr>
          <w:rtl w:val="0"/>
        </w:rPr>
      </w:r>
    </w:p>
  </w:footnote>
  <w:footnote w:id="2">
    <w:p w:rsidR="00000000" w:rsidDel="00000000" w:rsidP="00000000" w:rsidRDefault="00000000" w:rsidRPr="00000000" w14:paraId="000001B5">
      <w:pPr>
        <w:spacing w:line="240" w:lineRule="auto"/>
        <w:ind w:hanging="2"/>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Exemplo de nota de rodapé. O espaçamento entre linhas das notas de rodapé, será simples e o tamanho da letra de 10pt.</w:t>
      </w:r>
    </w:p>
  </w:footnote>
  <w:footnote w:id="3">
    <w:p w:rsidR="00000000" w:rsidDel="00000000" w:rsidP="00000000" w:rsidRDefault="00000000" w:rsidRPr="00000000" w14:paraId="000001B6">
      <w:pPr>
        <w:spacing w:line="240" w:lineRule="auto"/>
        <w:ind w:hanging="2"/>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 a pu voir que les femmes dans des activités masculines adoptaient des stéréotypes masculins.” (Doutre, 2014, p. 332)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40" w:lineRule="auto"/>
      <w:ind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ind w:hanging="2"/>
      <w:rPr>
        <w:rFonts w:ascii="Calibri" w:cs="Calibri" w:eastAsia="Calibri" w:hAnsi="Calibri"/>
        <w:color w:val="000000"/>
        <w:sz w:val="20"/>
        <w:szCs w:val="20"/>
      </w:rPr>
    </w:pPr>
    <w:r w:rsidDel="00000000" w:rsidR="00000000" w:rsidRPr="00000000">
      <w:rPr>
        <w:rtl w:val="0"/>
      </w:rPr>
    </w:r>
  </w:p>
  <w:tbl>
    <w:tblPr>
      <w:tblStyle w:val="Table6"/>
      <w:tblW w:w="9289.0" w:type="dxa"/>
      <w:jc w:val="left"/>
      <w:tblInd w:w="-108.0" w:type="dxa"/>
      <w:tblBorders>
        <w:bottom w:color="000000" w:space="0" w:sz="4" w:val="single"/>
      </w:tblBorders>
      <w:tblLayout w:type="fixed"/>
      <w:tblLook w:val="0000"/>
    </w:tblPr>
    <w:tblGrid>
      <w:gridCol w:w="4729"/>
      <w:gridCol w:w="1062"/>
      <w:gridCol w:w="3498"/>
      <w:tblGridChange w:id="0">
        <w:tblGrid>
          <w:gridCol w:w="4729"/>
          <w:gridCol w:w="1062"/>
          <w:gridCol w:w="3498"/>
        </w:tblGrid>
      </w:tblGridChange>
    </w:tblGrid>
    <w:tr>
      <w:trPr>
        <w:cantSplit w:val="0"/>
        <w:trHeight w:val="792" w:hRule="atLeast"/>
        <w:tblHeader w:val="0"/>
      </w:trPr>
      <w:tc>
        <w:tcPr>
          <w:tcMar>
            <w:top w:w="0.0" w:type="dxa"/>
            <w:left w:w="108.0" w:type="dxa"/>
            <w:bottom w:w="0.0" w:type="dxa"/>
            <w:right w:w="108.0" w:type="dxa"/>
          </w:tcMar>
        </w:tcPr>
        <w:p w:rsidR="00000000" w:rsidDel="00000000" w:rsidP="00000000" w:rsidRDefault="00000000" w:rsidRPr="00000000" w14:paraId="000001B9">
          <w:pPr>
            <w:keepNext w:val="1"/>
            <w:pBdr>
              <w:top w:space="0" w:sz="0" w:val="nil"/>
              <w:left w:space="0" w:sz="0" w:val="nil"/>
              <w:bottom w:space="0" w:sz="0" w:val="nil"/>
              <w:right w:space="0" w:sz="0" w:val="nil"/>
              <w:between w:space="0" w:sz="0" w:val="nil"/>
            </w:pBdr>
            <w:spacing w:after="120" w:before="120" w:lineRule="auto"/>
            <w:ind w:hanging="2"/>
            <w:rPr>
              <w:color w:val="808080"/>
              <w:sz w:val="18"/>
              <w:szCs w:val="18"/>
              <w:highlight w:val="yellow"/>
            </w:rPr>
          </w:pPr>
          <w:r w:rsidDel="00000000" w:rsidR="00000000" w:rsidRPr="00000000">
            <w:rPr>
              <w:i w:val="1"/>
              <w:iCs w:val="1"/>
              <w:color w:val="808080"/>
              <w:sz w:val="18"/>
              <w:szCs w:val="18"/>
              <w:rtl w:val="0"/>
            </w:rPr>
            <w:t xml:space="preserve">Psicol. Pesqui. | Volume | Paginação | Ano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A">
          <w:pPr>
            <w:keepNext w:val="1"/>
            <w:pBdr>
              <w:top w:space="0" w:sz="0" w:val="nil"/>
              <w:left w:space="0" w:sz="0" w:val="nil"/>
              <w:bottom w:space="0" w:sz="0" w:val="nil"/>
              <w:right w:space="0" w:sz="0" w:val="nil"/>
              <w:between w:space="0" w:sz="0" w:val="nil"/>
            </w:pBdr>
            <w:spacing w:after="120" w:before="120" w:lineRule="auto"/>
            <w:ind w:hanging="2"/>
            <w:jc w:val="center"/>
            <w:rPr>
              <w:color w:val="808080"/>
              <w:sz w:val="18"/>
              <w:szCs w:val="18"/>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BB">
          <w:pPr>
            <w:keepNext w:val="1"/>
            <w:pBdr>
              <w:top w:space="0" w:sz="0" w:val="nil"/>
              <w:left w:space="0" w:sz="0" w:val="nil"/>
              <w:bottom w:space="0" w:sz="0" w:val="nil"/>
              <w:right w:space="0" w:sz="0" w:val="nil"/>
              <w:between w:space="0" w:sz="0" w:val="nil"/>
            </w:pBdr>
            <w:spacing w:after="120" w:before="120" w:lineRule="auto"/>
            <w:ind w:hanging="2"/>
            <w:rPr>
              <w:color w:val="808080"/>
              <w:sz w:val="18"/>
              <w:szCs w:val="18"/>
            </w:rPr>
          </w:pPr>
          <w:r w:rsidDel="00000000" w:rsidR="00000000" w:rsidRPr="00000000">
            <w:rPr>
              <w:i w:val="1"/>
              <w:iCs w:val="1"/>
              <w:color w:val="808080"/>
              <w:sz w:val="18"/>
              <w:szCs w:val="18"/>
              <w:rtl w:val="0"/>
            </w:rPr>
            <w:t xml:space="preserve">DOI:</w:t>
          </w:r>
          <w:r w:rsidDel="00000000" w:rsidR="00000000" w:rsidRPr="00000000">
            <w:rPr>
              <w:rtl w:val="0"/>
            </w:rPr>
          </w:r>
        </w:p>
      </w:tc>
    </w:tr>
  </w:tbl>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left" w:leader="none" w:pos="9733"/>
      </w:tabs>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76" w:lineRule="auto"/>
      <w:ind w:hanging="2"/>
      <w:rPr>
        <w:rFonts w:ascii="Calibri" w:cs="Calibri" w:eastAsia="Calibri" w:hAnsi="Calibri"/>
        <w:color w:val="000000"/>
        <w:sz w:val="20"/>
        <w:szCs w:val="20"/>
      </w:rPr>
    </w:pPr>
    <w:r w:rsidDel="00000000" w:rsidR="00000000" w:rsidRPr="00000000">
      <w:rPr>
        <w:rtl w:val="0"/>
      </w:rPr>
    </w:r>
  </w:p>
  <w:tbl>
    <w:tblPr>
      <w:tblStyle w:val="Table7"/>
      <w:tblW w:w="10396.0" w:type="dxa"/>
      <w:jc w:val="center"/>
      <w:tblLayout w:type="fixed"/>
      <w:tblLook w:val="0000"/>
    </w:tblPr>
    <w:tblGrid>
      <w:gridCol w:w="1413"/>
      <w:gridCol w:w="7513"/>
      <w:gridCol w:w="1470"/>
      <w:tblGridChange w:id="0">
        <w:tblGrid>
          <w:gridCol w:w="1413"/>
          <w:gridCol w:w="7513"/>
          <w:gridCol w:w="1470"/>
        </w:tblGrid>
      </w:tblGridChange>
    </w:tblGrid>
    <w:tr>
      <w:trPr>
        <w:cantSplit w:val="0"/>
        <w:trHeight w:val="40" w:hRule="atLeast"/>
        <w:tblHeader w:val="0"/>
      </w:trPr>
      <w:tc>
        <w:tcPr>
          <w:shd w:fill="fdfdfd" w:val="clear"/>
          <w:tcMar>
            <w:top w:w="0.0" w:type="dxa"/>
            <w:left w:w="108.0" w:type="dxa"/>
            <w:bottom w:w="0.0" w:type="dxa"/>
            <w:right w:w="108.0" w:type="dxa"/>
          </w:tcMar>
        </w:tcPr>
        <w:p w:rsidR="00000000" w:rsidDel="00000000" w:rsidP="00000000" w:rsidRDefault="00000000" w:rsidRPr="00000000" w14:paraId="000001BE">
          <w:pPr>
            <w:pBdr>
              <w:top w:space="0" w:sz="0" w:val="nil"/>
              <w:left w:space="0" w:sz="0" w:val="nil"/>
              <w:bottom w:space="0" w:sz="0" w:val="nil"/>
              <w:right w:space="0" w:sz="0" w:val="nil"/>
              <w:between w:space="0" w:sz="0" w:val="nil"/>
            </w:pBdr>
            <w:ind w:hanging="2"/>
            <w:rPr/>
          </w:pPr>
          <w:r w:rsidDel="00000000" w:rsidR="00000000" w:rsidRPr="00000000">
            <w:rPr>
              <w:rtl w:val="0"/>
            </w:rPr>
          </w:r>
        </w:p>
      </w:tc>
      <w:tc>
        <w:tcPr>
          <w:shd w:fill="fdfdfd" w:val="clear"/>
          <w:tcMar>
            <w:top w:w="0.0" w:type="dxa"/>
            <w:left w:w="108.0" w:type="dxa"/>
            <w:bottom w:w="0.0" w:type="dxa"/>
            <w:right w:w="108.0" w:type="dxa"/>
          </w:tcMar>
        </w:tcPr>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before="120" w:lineRule="auto"/>
            <w:ind w:hanging="2"/>
            <w:jc w:val="center"/>
            <w:rPr>
              <w:sz w:val="20"/>
              <w:szCs w:val="20"/>
            </w:rPr>
          </w:pPr>
          <w:r w:rsidDel="00000000" w:rsidR="00000000" w:rsidRPr="00000000">
            <w:rPr>
              <w:sz w:val="20"/>
              <w:szCs w:val="20"/>
              <w:rtl w:val="0"/>
            </w:rPr>
            <w:t xml:space="preserve">Volume XX, 20XX, eXXXXX</w:t>
          </w:r>
        </w:p>
      </w:tc>
      <w:tc>
        <w:tcPr>
          <w:tcBorders>
            <w:left w:color="000000" w:space="0" w:sz="0" w:val="nil"/>
          </w:tcBorders>
          <w:shd w:fill="fdfdfd" w:val="clear"/>
          <w:tcMar>
            <w:top w:w="0.0" w:type="dxa"/>
            <w:left w:w="108.0" w:type="dxa"/>
            <w:bottom w:w="0.0" w:type="dxa"/>
            <w:right w:w="108.0" w:type="dxa"/>
          </w:tcMa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320"/>
              <w:tab w:val="left" w:leader="none" w:pos="6804"/>
              <w:tab w:val="right" w:leader="none" w:pos="8640"/>
            </w:tabs>
            <w:ind w:hanging="2"/>
            <w:rPr/>
          </w:pPr>
          <w:r w:rsidDel="00000000" w:rsidR="00000000" w:rsidRPr="00000000">
            <w:rPr>
              <w:rtl w:val="0"/>
            </w:rPr>
          </w:r>
        </w:p>
      </w:tc>
    </w:tr>
    <w:tr>
      <w:trPr>
        <w:cantSplit w:val="0"/>
        <w:trHeight w:val="1460" w:hRule="atLeast"/>
        <w:tblHeader w:val="0"/>
      </w:trPr>
      <w:tc>
        <w:tcPr>
          <w:shd w:fill="fdfdfd" w:val="clear"/>
          <w:tcMar>
            <w:top w:w="0.0" w:type="dxa"/>
            <w:left w:w="108.0" w:type="dxa"/>
            <w:bottom w:w="0.0" w:type="dxa"/>
            <w:right w:w="108.0" w:type="dxa"/>
          </w:tcMa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spacing w:line="276" w:lineRule="auto"/>
            <w:ind w:hanging="2"/>
            <w:rPr>
              <w:color w:val="ff0000"/>
              <w:sz w:val="20"/>
              <w:szCs w:val="20"/>
            </w:rPr>
          </w:pPr>
          <w:r w:rsidDel="00000000" w:rsidR="00000000" w:rsidRPr="00000000">
            <w:rPr>
              <w:rtl w:val="0"/>
            </w:rPr>
          </w:r>
        </w:p>
      </w:tc>
      <w:tc>
        <w:tcPr>
          <w:shd w:fill="b8cce4" w:val="clear"/>
          <w:tcMar>
            <w:top w:w="0.0" w:type="dxa"/>
            <w:left w:w="108.0" w:type="dxa"/>
            <w:bottom w:w="0.0" w:type="dxa"/>
            <w:right w:w="108.0" w:type="dxa"/>
          </w:tcM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tabs>
              <w:tab w:val="center" w:leader="none" w:pos="3223"/>
              <w:tab w:val="right" w:leader="none" w:pos="6446"/>
            </w:tabs>
            <w:spacing w:line="276" w:lineRule="auto"/>
            <w:ind w:left="3" w:hanging="5"/>
            <w:jc w:val="center"/>
            <w:rPr>
              <w:sz w:val="48"/>
              <w:szCs w:val="48"/>
            </w:rPr>
          </w:pPr>
          <w:r w:rsidDel="00000000" w:rsidR="00000000" w:rsidRPr="00000000">
            <w:rPr>
              <w:b w:val="1"/>
              <w:bCs w:val="1"/>
              <w:sz w:val="48"/>
              <w:szCs w:val="48"/>
              <w:rtl w:val="0"/>
            </w:rPr>
            <w:t xml:space="preserve">Psicologia em Pesquisa</w:t>
          </w: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b8cce4" w:val="clear"/>
            <w:tabs>
              <w:tab w:val="center" w:leader="none" w:pos="4320"/>
              <w:tab w:val="left" w:leader="none" w:pos="5040"/>
              <w:tab w:val="right" w:leader="none" w:pos="8640"/>
            </w:tabs>
            <w:spacing w:line="276" w:lineRule="auto"/>
            <w:ind w:hanging="2"/>
            <w:jc w:val="cente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before="120" w:line="276" w:lineRule="auto"/>
            <w:ind w:hanging="2"/>
            <w:jc w:val="center"/>
            <w:rPr>
              <w:color w:val="ff0000"/>
              <w:sz w:val="20"/>
              <w:szCs w:val="20"/>
            </w:rPr>
          </w:pPr>
          <w:r w:rsidDel="00000000" w:rsidR="00000000" w:rsidRPr="00000000">
            <w:rPr>
              <w:sz w:val="20"/>
              <w:szCs w:val="20"/>
              <w:rtl w:val="0"/>
            </w:rPr>
            <w:t xml:space="preserve">https://periodicos.ufjf.br/index.php/psicologiaempesquisa</w:t>
          </w:r>
          <w:r w:rsidDel="00000000" w:rsidR="00000000" w:rsidRPr="00000000">
            <w:rPr>
              <w:rtl w:val="0"/>
            </w:rPr>
          </w:r>
        </w:p>
      </w:tc>
      <w:tc>
        <w:tcPr>
          <w:tcBorders>
            <w:left w:color="000000" w:space="0" w:sz="0" w:val="nil"/>
          </w:tcBorders>
          <w:shd w:fill="fdfdfd" w:val="clear"/>
          <w:tcMar>
            <w:top w:w="0.0" w:type="dxa"/>
            <w:left w:w="108.0" w:type="dxa"/>
            <w:bottom w:w="0.0" w:type="dxa"/>
            <w:right w:w="108.0" w:type="dxa"/>
          </w:tcMa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line="276" w:lineRule="auto"/>
            <w:ind w:hanging="2"/>
            <w:rPr>
              <w:color w:val="ff0000"/>
              <w:sz w:val="20"/>
              <w:szCs w:val="20"/>
            </w:rPr>
          </w:pPr>
          <w:r w:rsidDel="00000000" w:rsidR="00000000" w:rsidRPr="00000000">
            <w:rPr>
              <w:rtl w:val="0"/>
            </w:rPr>
          </w:r>
        </w:p>
      </w:tc>
    </w:tr>
  </w:tbl>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252"/>
        <w:tab w:val="right" w:leader="none" w:pos="8504"/>
      </w:tabs>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18" w:hanging="360"/>
      </w:pPr>
      <w:rPr/>
    </w:lvl>
    <w:lvl w:ilvl="1">
      <w:start w:val="1"/>
      <w:numFmt w:val="lowerLetter"/>
      <w:lvlText w:val="%2."/>
      <w:lvlJc w:val="left"/>
      <w:pPr>
        <w:ind w:left="1438" w:hanging="360"/>
      </w:pPr>
      <w:rPr/>
    </w:lvl>
    <w:lvl w:ilvl="2">
      <w:start w:val="1"/>
      <w:numFmt w:val="lowerRoman"/>
      <w:lvlText w:val="%3."/>
      <w:lvlJc w:val="right"/>
      <w:pPr>
        <w:ind w:left="2158" w:hanging="180"/>
      </w:pPr>
      <w:rPr/>
    </w:lvl>
    <w:lvl w:ilvl="3">
      <w:start w:val="1"/>
      <w:numFmt w:val="decimal"/>
      <w:lvlText w:val="%4."/>
      <w:lvlJc w:val="left"/>
      <w:pPr>
        <w:ind w:left="2878" w:hanging="360"/>
      </w:pPr>
      <w:rPr/>
    </w:lvl>
    <w:lvl w:ilvl="4">
      <w:start w:val="1"/>
      <w:numFmt w:val="lowerLetter"/>
      <w:lvlText w:val="%5."/>
      <w:lvlJc w:val="left"/>
      <w:pPr>
        <w:ind w:left="3598" w:hanging="360"/>
      </w:pPr>
      <w:rPr/>
    </w:lvl>
    <w:lvl w:ilvl="5">
      <w:start w:val="1"/>
      <w:numFmt w:val="lowerRoman"/>
      <w:lvlText w:val="%6."/>
      <w:lvlJc w:val="right"/>
      <w:pPr>
        <w:ind w:left="4318" w:hanging="180"/>
      </w:pPr>
      <w:rPr/>
    </w:lvl>
    <w:lvl w:ilvl="6">
      <w:start w:val="1"/>
      <w:numFmt w:val="decimal"/>
      <w:lvlText w:val="%7."/>
      <w:lvlJc w:val="left"/>
      <w:pPr>
        <w:ind w:left="5038" w:hanging="360"/>
      </w:pPr>
      <w:rPr/>
    </w:lvl>
    <w:lvl w:ilvl="7">
      <w:start w:val="1"/>
      <w:numFmt w:val="lowerLetter"/>
      <w:lvlText w:val="%8."/>
      <w:lvlJc w:val="left"/>
      <w:pPr>
        <w:ind w:left="5758" w:hanging="360"/>
      </w:pPr>
      <w:rPr/>
    </w:lvl>
    <w:lvl w:ilvl="8">
      <w:start w:val="1"/>
      <w:numFmt w:val="lowerRoman"/>
      <w:lvlText w:val="%9."/>
      <w:lvlJc w:val="right"/>
      <w:pPr>
        <w:ind w:left="6478"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435" w:hanging="435"/>
      </w:pPr>
      <w:rPr/>
    </w:lvl>
    <w:lvl w:ilvl="1">
      <w:start w:val="1"/>
      <w:numFmt w:val="decimal"/>
      <w:lvlText w:val="%1.%2."/>
      <w:lvlJc w:val="left"/>
      <w:pPr>
        <w:ind w:left="433" w:hanging="435"/>
      </w:pPr>
      <w:rPr/>
    </w:lvl>
    <w:lvl w:ilvl="2">
      <w:start w:val="1"/>
      <w:numFmt w:val="decimal"/>
      <w:lvlText w:val="%1.%2.%3."/>
      <w:lvlJc w:val="left"/>
      <w:pPr>
        <w:ind w:left="716" w:hanging="720"/>
      </w:pPr>
      <w:rPr/>
    </w:lvl>
    <w:lvl w:ilvl="3">
      <w:start w:val="1"/>
      <w:numFmt w:val="decimal"/>
      <w:lvlText w:val="%1.%2.%3.%4."/>
      <w:lvlJc w:val="left"/>
      <w:pPr>
        <w:ind w:left="714" w:hanging="720"/>
      </w:pPr>
      <w:rPr/>
    </w:lvl>
    <w:lvl w:ilvl="4">
      <w:start w:val="1"/>
      <w:numFmt w:val="decimal"/>
      <w:lvlText w:val="%1.%2.%3.%4.%5."/>
      <w:lvlJc w:val="left"/>
      <w:pPr>
        <w:ind w:left="1072" w:hanging="1080"/>
      </w:pPr>
      <w:rPr/>
    </w:lvl>
    <w:lvl w:ilvl="5">
      <w:start w:val="1"/>
      <w:numFmt w:val="decimal"/>
      <w:lvlText w:val="%1.%2.%3.%4.%5.%6."/>
      <w:lvlJc w:val="left"/>
      <w:pPr>
        <w:ind w:left="1070" w:hanging="1080"/>
      </w:pPr>
      <w:rPr/>
    </w:lvl>
    <w:lvl w:ilvl="6">
      <w:start w:val="1"/>
      <w:numFmt w:val="decimal"/>
      <w:lvlText w:val="%1.%2.%3.%4.%5.%6.%7."/>
      <w:lvlJc w:val="left"/>
      <w:pPr>
        <w:ind w:left="1428" w:hanging="1440"/>
      </w:pPr>
      <w:rPr/>
    </w:lvl>
    <w:lvl w:ilvl="7">
      <w:start w:val="1"/>
      <w:numFmt w:val="decimal"/>
      <w:lvlText w:val="%1.%2.%3.%4.%5.%6.%7.%8."/>
      <w:lvlJc w:val="left"/>
      <w:pPr>
        <w:ind w:left="1426" w:hanging="1440"/>
      </w:pPr>
      <w:rPr/>
    </w:lvl>
    <w:lvl w:ilvl="8">
      <w:start w:val="1"/>
      <w:numFmt w:val="decimal"/>
      <w:lvlText w:val="%1.%2.%3.%4.%5.%6.%7.%8.%9."/>
      <w:lvlJc w:val="left"/>
      <w:pPr>
        <w:ind w:left="1784" w:hanging="180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480" w:lineRule="auto"/>
      <w:ind w:left="0" w:right="0" w:hanging="1"/>
      <w:jc w:val="both"/>
    </w:pPr>
    <w:rPr>
      <w:rFonts w:ascii="Calibri" w:cs="Calibri" w:eastAsia="Calibri" w:hAnsi="Calibri"/>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480" w:lineRule="auto"/>
      <w:ind w:left="0" w:right="0" w:hanging="1"/>
      <w:jc w:val="both"/>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480" w:lineRule="auto"/>
      <w:ind w:left="0" w:right="0" w:hanging="1"/>
      <w:jc w:val="both"/>
    </w:pPr>
    <w:rPr>
      <w:rFonts w:ascii="Arial" w:cs="Arial" w:eastAsia="Arial" w:hAnsi="Arial"/>
      <w:b w:val="0"/>
      <w:bCs w:val="0"/>
      <w:i w:val="0"/>
      <w:iCs w:val="0"/>
      <w:smallCaps w:val="0"/>
      <w:strike w:val="0"/>
      <w:color w:val="000000"/>
      <w:sz w:val="28"/>
      <w:szCs w:val="28"/>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fffff" w:val="clear"/>
    </w:tc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content.apa.org/doi/10.1037/0000143-002" TargetMode="External"/><Relationship Id="rId22" Type="http://schemas.openxmlformats.org/officeDocument/2006/relationships/hyperlink" Target="https://asa.confex.com/asa/2017/webprogramarchives/Sessi%20on9517.html" TargetMode="External"/><Relationship Id="rId21" Type="http://schemas.openxmlformats.org/officeDocument/2006/relationships/hyperlink" Target="http://www.planalto.gov.br/ccivil_03/leis/L8069compilado.htm" TargetMode="External"/><Relationship Id="rId24" Type="http://schemas.openxmlformats.org/officeDocument/2006/relationships/hyperlink" Target="https://psycnet.apa.org/doi/10.1037/0000165-000" TargetMode="External"/><Relationship Id="rId23" Type="http://schemas.openxmlformats.org/officeDocument/2006/relationships/hyperlink" Target="http://bit.ly/2XGST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about:blank" TargetMode="External"/><Relationship Id="rId26" Type="http://schemas.openxmlformats.org/officeDocument/2006/relationships/hyperlink" Target="http://dx.doi.org/10.1590/1413-82712021260205" TargetMode="External"/><Relationship Id="rId25" Type="http://schemas.openxmlformats.org/officeDocument/2006/relationships/hyperlink" Target="https://apastyle.apa.org/style-grammar-guidelines/paper-format/sample-papers" TargetMode="External"/><Relationship Id="rId28" Type="http://schemas.openxmlformats.org/officeDocument/2006/relationships/hyperlink" Target="https://psycnet.apa.org/doi/10.1037/amp0000247" TargetMode="External"/><Relationship Id="rId27" Type="http://schemas.openxmlformats.org/officeDocument/2006/relationships/hyperlink" Target="https://doi.org/10.1037/a0036218"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02/job.764" TargetMode="External"/><Relationship Id="rId7" Type="http://schemas.openxmlformats.org/officeDocument/2006/relationships/customXml" Target="../customXML/item1.xml"/><Relationship Id="rId8" Type="http://schemas.openxmlformats.org/officeDocument/2006/relationships/hyperlink" Target="about:blank" TargetMode="External"/><Relationship Id="rId31" Type="http://schemas.openxmlformats.org/officeDocument/2006/relationships/hyperlink" Target="https://doi.org/10.1590/1982-0275202037e200089" TargetMode="External"/><Relationship Id="rId30" Type="http://schemas.openxmlformats.org/officeDocument/2006/relationships/hyperlink" Target="https://doi.org/10.1146/annurev-psych-120710-100511" TargetMode="External"/><Relationship Id="rId11" Type="http://schemas.openxmlformats.org/officeDocument/2006/relationships/hyperlink" Target="https://periodicos.ufjf.br/index.php/psicologiaempesquisa/about/submissions" TargetMode="External"/><Relationship Id="rId33" Type="http://schemas.openxmlformats.org/officeDocument/2006/relationships/hyperlink" Target="http://pepsic.bvsalud.org/scielo.php?script=sci_arttext&amp;pid=S1679-44272018000100003&amp;lng=pt&amp;tlng=pt" TargetMode="External"/><Relationship Id="rId10" Type="http://schemas.openxmlformats.org/officeDocument/2006/relationships/hyperlink" Target="about:blank" TargetMode="External"/><Relationship Id="rId32" Type="http://schemas.openxmlformats.org/officeDocument/2006/relationships/hyperlink" Target="https://doi.org/10.1016/j.lindif.2017.03.013" TargetMode="External"/><Relationship Id="rId13" Type="http://schemas.openxmlformats.org/officeDocument/2006/relationships/image" Target="media/image3.png"/><Relationship Id="rId35" Type="http://schemas.openxmlformats.org/officeDocument/2006/relationships/header" Target="header2.xml"/><Relationship Id="rId12" Type="http://schemas.openxmlformats.org/officeDocument/2006/relationships/hyperlink" Target="https://apastyle.apa.org/style-grammar-guidelines/paper-format/sample-papers" TargetMode="External"/><Relationship Id="rId34" Type="http://schemas.openxmlformats.org/officeDocument/2006/relationships/hyperlink" Target="http://a.co/06Se6Na" TargetMode="External"/><Relationship Id="rId15" Type="http://schemas.openxmlformats.org/officeDocument/2006/relationships/hyperlink" Target="https://doi.org/10.1037/0000168-000" TargetMode="External"/><Relationship Id="rId37" Type="http://schemas.openxmlformats.org/officeDocument/2006/relationships/header" Target="header1.xml"/><Relationship Id="rId14" Type="http://schemas.openxmlformats.org/officeDocument/2006/relationships/image" Target="media/image2.png"/><Relationship Id="rId36" Type="http://schemas.openxmlformats.org/officeDocument/2006/relationships/header" Target="header3.xml"/><Relationship Id="rId17" Type="http://schemas.openxmlformats.org/officeDocument/2006/relationships/hyperlink" Target="https://repositorio.ufjf.br/jspui/handle/ufjf/11300" TargetMode="External"/><Relationship Id="rId39" Type="http://schemas.openxmlformats.org/officeDocument/2006/relationships/footer" Target="footer3.xml"/><Relationship Id="rId16" Type="http://schemas.openxmlformats.org/officeDocument/2006/relationships/hyperlink" Target="https://doi.org/10.1037/0000059-000" TargetMode="External"/><Relationship Id="rId38" Type="http://schemas.openxmlformats.org/officeDocument/2006/relationships/footer" Target="footer2.xml"/><Relationship Id="rId19" Type="http://schemas.openxmlformats.org/officeDocument/2006/relationships/hyperlink" Target="https://doi.org/10.1007/978-3-030-25513-8" TargetMode="External"/><Relationship Id="rId18" Type="http://schemas.openxmlformats.org/officeDocument/2006/relationships/hyperlink" Target="https://doi.apa.org/doi/10.1037/cfp0000121" TargetMode="External"/><Relationship Id="rIdPEP1" Type="http://schemas.openxmlformats.org/officeDocument/2006/relationships/image" Target="media/pep_de0ab34f112e690757a6a1beb7dc4ceda67b9fd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AsF9xR7DH7X4ZkAxUsEq3b/0g==">CgMxLjAyCGguZ2pkZ3hzMgloLjMwajB6bGw4AHIhMU9TaXQ1aXlQMk9MWjBkX0g4aEw5R2ZrM2dQOVE2U1ZR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