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color w:val="00B050"/>
          <w:sz w:val="24"/>
          <w:szCs w:val="24"/>
          <w:highlight w:val="yellow"/>
          <w:highlightCs w:val="yellow"/>
        </w:rPr>
        <w:t xml:space="preserve">Luis Anunciacao, PhD</w:t>
      </w:r>
    </w:p>
    <w:p>
      <w:pPr>
        <w:spacing w:after="240"/>
        <w:jc w:val="center"/>
      </w:pPr>
      <w:r>
        <w:rPr>
          <w:rFonts w:ascii="Times New Roman" w:cs="Times New Roman" w:eastAsia="Times New Roman" w:hAnsi="Times New Roman"/>
          <w:sz w:val="24"/>
          <w:szCs w:val="24"/>
        </w:rPr>
        <w:t xml:space="preserve">2026-10-15 - 17:26</w:t>
      </w:r>
    </w:p>
    <w:p>
      <w:pPr>
        <w:spacing w:before="480" w:line="480"/>
        <w:jc w:val="center"/>
      </w:pPr>
      <w:r>
        <w:rPr>
          <w:rFonts w:ascii="Times New Roman" w:cs="Times New Roman" w:eastAsia="Times New Roman" w:hAnsi="Times New Roman"/>
          <w:b/>
          <w:bCs/>
          <w:sz w:val="24"/>
          <w:szCs w:val="24"/>
        </w:rPr>
        <w:t xml:space="preserve">Stability and Change in Psychosocial Risk Indicators Across Monitoring Waves in Two Brazilian Companies: A Repeated Cross Sectional Study</w:t>
      </w:r>
    </w:p>
    <w:p>
      <w:pPr>
        <w:spacing w:after="480" w:line="480"/>
        <w:jc w:val="center"/>
      </w:pPr>
      <w:r>
        <w:rPr>
          <w:rFonts w:ascii="Times New Roman" w:cs="Times New Roman" w:eastAsia="Times New Roman" w:hAnsi="Times New Roman"/>
          <w:sz w:val="24"/>
          <w:szCs w:val="24"/>
        </w:rPr>
        <w:t xml:space="preserve">[Authors and affiliations]</w:t>
      </w:r>
    </w:p>
    <w:p>
      <w:pPr>
        <w:keepNext/>
        <w:spacing w:before="240" w:line="480"/>
        <w:jc w:val="center"/>
      </w:pPr>
      <w:r>
        <w:rPr>
          <w:rFonts w:ascii="Times New Roman" w:cs="Times New Roman" w:eastAsia="Times New Roman" w:hAnsi="Times New Roman"/>
          <w:b/>
          <w:bCs/>
          <w:sz w:val="24"/>
          <w:szCs w:val="24"/>
        </w:rPr>
        <w:t xml:space="preserve">Abstract</w:t>
      </w:r>
    </w:p>
    <w:p>
      <w:pPr>
        <w:spacing w:after="0" w:line="480"/>
      </w:pPr>
      <w:r>
        <w:rPr>
          <w:rFonts w:ascii="Times New Roman" w:cs="Times New Roman" w:eastAsia="Times New Roman" w:hAnsi="Times New Roman"/>
          <w:sz w:val="24"/>
          <w:szCs w:val="24"/>
        </w:rPr>
        <w:t xml:space="preserve">Brazil’s amended Regulatory Standard No. 1 (NR-1) requires employers to identify and manage psychosocial risks, which implies assessing them repeatedly over time. This study describes the stability and change of psychosocial risk indicators across anonymous monitoring waves in two Brazilian companies. Leaders answered an inventory on the demands and resources of the leadership role at three waves between December 2025 and August 2026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21, 22 and 18). Employees answered an inventory of psychosocial work factors and mental health symptoms at two waves between December 2025 and April 2026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111 and 105). Analyses were restricted to items worded identically across waves: 8 leader items and 38 employee items. Change was tested within each company with Kruskal-Wallis or Wilcoxon rank sum tests. No leader item changed across the three waves in either company. Among employees, 36 of 38 items were stable in the larger company and all 38 were stable in the smaller one. In the larger company, freedom to organize one’s activities and encouragement to use creativity and knowledge decreased between waves. Psychosocial risk indicators were largely stable over four to eight months, and the changes observed were limited to two job resource items. The repeated cross sectional design, the small leader samples and the unvalidated items limit inference.</w:t>
      </w:r>
    </w:p>
    <w:p>
      <w:pPr>
        <w:spacing w:after="0" w:line="480"/>
      </w:pPr>
      <w:r>
        <w:rPr>
          <w:rFonts w:ascii="Times New Roman" w:cs="Times New Roman" w:eastAsia="Times New Roman" w:hAnsi="Times New Roman"/>
          <w:i/>
          <w:iCs/>
          <w:sz w:val="24"/>
          <w:szCs w:val="24"/>
        </w:rPr>
        <w:t xml:space="preserve">Keywords:</w:t>
      </w:r>
      <w:r>
        <w:rPr>
          <w:rFonts w:ascii="Times New Roman" w:cs="Times New Roman" w:eastAsia="Times New Roman" w:hAnsi="Times New Roman"/>
          <w:sz w:val="24"/>
          <w:szCs w:val="24"/>
        </w:rPr>
        <w:t xml:space="preserve"> psychosocial risk; occupational health; mental health; repeated cross sectional study; NR-1</w:t>
      </w:r>
    </w:p>
    <w:p>
      <w:pPr>
        <w:keepNext/>
        <w:spacing w:before="240" w:line="480"/>
        <w:jc w:val="center"/>
      </w:pPr>
      <w:r>
        <w:rPr>
          <w:rFonts w:ascii="Times New Roman" w:cs="Times New Roman" w:eastAsia="Times New Roman" w:hAnsi="Times New Roman"/>
          <w:b/>
          <w:bCs/>
          <w:sz w:val="24"/>
          <w:szCs w:val="24"/>
        </w:rPr>
        <w:t xml:space="preserve">Introduction</w:t>
      </w:r>
    </w:p>
    <w:p>
      <w:pPr>
        <w:spacing w:after="0" w:line="480"/>
        <w:ind w:firstLine="720"/>
      </w:pPr>
      <w:r>
        <w:rPr>
          <w:rFonts w:ascii="Times New Roman" w:cs="Times New Roman" w:eastAsia="Times New Roman" w:hAnsi="Times New Roman"/>
          <w:sz w:val="24"/>
          <w:szCs w:val="24"/>
        </w:rPr>
        <w:t xml:space="preserve">Psychosocial hazards at work are associated with ill health, injury and losses in productivity, and their prevention depends on how work is organized and managed (Schulte et al., 2024; World Health Organization, 2022). In 2024, Brazil amended Regulatory Standard No. 1 (NR-1) to require employers to identify, evaluate and record psychosocial risk factors in the risk inventory of their occupational risk management program (Ministério do Trabalho e Emprego, 2024). The regulation does not specify how these factors should be assessed (Ministério do Trabalho e Emprego, 2024).</w:t>
      </w:r>
    </w:p>
    <w:p>
      <w:pPr>
        <w:spacing w:after="0" w:line="480"/>
        <w:ind w:firstLine="720"/>
      </w:pPr>
      <w:r>
        <w:rPr>
          <w:rFonts w:ascii="Times New Roman" w:cs="Times New Roman" w:eastAsia="Times New Roman" w:hAnsi="Times New Roman"/>
          <w:sz w:val="24"/>
          <w:szCs w:val="24"/>
        </w:rPr>
        <w:t xml:space="preserve">Psychosocial risk factors are conditions of work design, organization and management that can cause harm, and mental health symptoms are one possible consequence of exposure to them (International Organization for Standardization, 2021; Teixeira et al., 2025). In the Job Demands-Resources model, strain develops when job demands are high and job resources such as autonomy and supervisory support are insufficient (Bakker &amp; Demerouti, 2007; Demerouti et al., 2001). Low work autonomy has been associated with poorer mental health (Lu et al., 2023), and poor quality of leadership has predicted later mental distress (Burr et al., 2025; Fløvik et al., 2020).</w:t>
      </w:r>
    </w:p>
    <w:p>
      <w:pPr>
        <w:spacing w:after="0" w:line="480"/>
        <w:ind w:firstLine="720"/>
      </w:pPr>
      <w:r>
        <w:rPr>
          <w:rFonts w:ascii="Times New Roman" w:cs="Times New Roman" w:eastAsia="Times New Roman" w:hAnsi="Times New Roman"/>
          <w:sz w:val="24"/>
          <w:szCs w:val="24"/>
        </w:rPr>
        <w:t xml:space="preserve">Guidance on psychosocial risk management describes assessment as part of a continuing cycle of identification, action and review (International Organization for Standardization, 2021). Monitoring therefore requires that the same indicators be measured at successive points in time. Anonymous workforce surveys protect employees, but their responses cannot be linked over time, so successive waves describe the workforce rather than individuals ([Authors], under review). A recent review identified 66 mental health and well being assessments with utility for employers (Imboden et al., 2024). To our knowledge, few studies describe how psychosocial risk indicators behave across monitoring waves in Brazilian companies.</w:t>
      </w:r>
    </w:p>
    <w:p>
      <w:pPr>
        <w:keepNext/>
        <w:spacing w:line="480"/>
      </w:pPr>
      <w:r>
        <w:rPr>
          <w:rFonts w:ascii="Times New Roman" w:cs="Times New Roman" w:eastAsia="Times New Roman" w:hAnsi="Times New Roman"/>
          <w:b/>
          <w:bCs/>
          <w:sz w:val="24"/>
          <w:szCs w:val="24"/>
        </w:rPr>
        <w:t xml:space="preserve">The Current Study</w:t>
      </w:r>
    </w:p>
    <w:p>
      <w:pPr>
        <w:spacing w:after="0" w:line="480"/>
        <w:ind w:firstLine="720"/>
      </w:pPr>
      <w:r>
        <w:rPr>
          <w:rFonts w:ascii="Times New Roman" w:cs="Times New Roman" w:eastAsia="Times New Roman" w:hAnsi="Times New Roman"/>
          <w:sz w:val="24"/>
          <w:szCs w:val="24"/>
        </w:rPr>
        <w:t xml:space="preserve">Companies subject to NR-1 need evidence on whether the indicators they collect remain stable or change between assessments. The goal of this study is to describe the stability and change of psychosocial risk indicators across repeated anonymous monitoring waves among leaders, assessed at three waves, and employees, assessed at two waves, in two Brazilian companies. The analysis is exploratory, and no directional hypotheses were specified.</w:t>
      </w:r>
    </w:p>
    <w:p>
      <w:pPr>
        <w:keepNext/>
        <w:spacing w:before="240" w:line="480"/>
        <w:jc w:val="center"/>
      </w:pPr>
      <w:r>
        <w:rPr>
          <w:rFonts w:ascii="Times New Roman" w:cs="Times New Roman" w:eastAsia="Times New Roman" w:hAnsi="Times New Roman"/>
          <w:b/>
          <w:bCs/>
          <w:sz w:val="24"/>
          <w:szCs w:val="24"/>
        </w:rPr>
        <w:t xml:space="preserve">Method</w:t>
      </w:r>
    </w:p>
    <w:p>
      <w:pPr>
        <w:keepNext/>
        <w:spacing w:line="480"/>
      </w:pPr>
      <w:r>
        <w:rPr>
          <w:rFonts w:ascii="Times New Roman" w:cs="Times New Roman" w:eastAsia="Times New Roman" w:hAnsi="Times New Roman"/>
          <w:b/>
          <w:bCs/>
          <w:sz w:val="24"/>
          <w:szCs w:val="24"/>
        </w:rPr>
        <w:t xml:space="preserve">Design</w:t>
      </w:r>
    </w:p>
    <w:p>
      <w:pPr>
        <w:spacing w:after="0" w:line="480"/>
        <w:ind w:firstLine="720"/>
      </w:pPr>
      <w:r>
        <w:rPr>
          <w:rFonts w:ascii="Times New Roman" w:cs="Times New Roman" w:eastAsia="Times New Roman" w:hAnsi="Times New Roman"/>
          <w:sz w:val="24"/>
          <w:szCs w:val="24"/>
        </w:rPr>
        <w:t xml:space="preserve">This is a repeated cross sectional study based on secondary analysis of anonymous data from psychosocial risk monitoring conducted during the evaluation of a workplace emotion management program (Academia de Gestão da Emoção para Empresas, AGEM). The program was delivered between waves. The study does not estimate program effects. Reporting follows the STROBE guidelines for cross sectional studies (von Elm et al., 2007).</w:t>
      </w:r>
    </w:p>
    <w:p>
      <w:pPr>
        <w:keepNext/>
        <w:spacing w:line="480"/>
      </w:pPr>
      <w:r>
        <w:rPr>
          <w:rFonts w:ascii="Times New Roman" w:cs="Times New Roman" w:eastAsia="Times New Roman" w:hAnsi="Times New Roman"/>
          <w:b/>
          <w:bCs/>
          <w:sz w:val="24"/>
          <w:szCs w:val="24"/>
        </w:rPr>
        <w:t xml:space="preserve">Setting and Participants</w:t>
      </w:r>
    </w:p>
    <w:p>
      <w:pPr>
        <w:spacing w:after="0" w:line="480"/>
        <w:ind w:firstLine="720"/>
      </w:pPr>
      <w:r>
        <w:rPr>
          <w:rFonts w:ascii="Times New Roman" w:cs="Times New Roman" w:eastAsia="Times New Roman" w:hAnsi="Times New Roman"/>
          <w:sz w:val="24"/>
          <w:szCs w:val="24"/>
        </w:rPr>
        <w:t xml:space="preserve">Participants were leaders and employees of two Brazilian companies. Company A is a business technology company that sells consortium plans and related financial products, and Company B is an energy trading company ([Authors], under review). In Company A, 15, 16 and 15 leaders answered at the three leader waves, and 86 employees answered at each of the two employee waves. In Company B, 6, 6 and 3 leaders and 25 and 19 employees answered. Leader waves took place from December 2025 to January 2026 (T1), in June 2026 (T2) and in August 2026 (T3). Employee waves took place from December 2025 to January 2026 (T1) and in April 2026 (T2). Among employees, the share with less than one year in the company was 64.7% at T1 and 65.9% at T2 in Company A, and 52.0% and 83.3% in Company B.</w:t>
      </w:r>
    </w:p>
    <w:p>
      <w:pPr>
        <w:keepNext/>
        <w:spacing w:line="480"/>
      </w:pPr>
      <w:r>
        <w:rPr>
          <w:rFonts w:ascii="Times New Roman" w:cs="Times New Roman" w:eastAsia="Times New Roman" w:hAnsi="Times New Roman"/>
          <w:b/>
          <w:bCs/>
          <w:sz w:val="24"/>
          <w:szCs w:val="24"/>
        </w:rPr>
        <w:t xml:space="preserve">Measures</w:t>
      </w:r>
    </w:p>
    <w:p>
      <w:pPr>
        <w:spacing w:after="0" w:line="480"/>
        <w:ind w:firstLine="720"/>
      </w:pPr>
      <w:r>
        <w:rPr>
          <w:rFonts w:ascii="Times New Roman" w:cs="Times New Roman" w:eastAsia="Times New Roman" w:hAnsi="Times New Roman"/>
          <w:i/>
          <w:iCs/>
          <w:sz w:val="24"/>
          <w:szCs w:val="24"/>
        </w:rPr>
        <w:t xml:space="preserve">Leader inventory.</w:t>
      </w:r>
      <w:r>
        <w:rPr>
          <w:rFonts w:ascii="Times New Roman" w:cs="Times New Roman" w:eastAsia="Times New Roman" w:hAnsi="Times New Roman"/>
          <w:sz w:val="24"/>
          <w:szCs w:val="24"/>
        </w:rPr>
        <w:t xml:space="preserve"> Twenty items covered the demands and resources of the leadership role, including decision responsibility, clarity of authority, working hours, pressure for results, conflict management, team dependence and competence, autonomy, support from senior management, emotional exposure and preparedness for situations involving team members’ mental health. Items were rated from 1 (discordo totalmente, strongly disagree) to 5 (concordo totalmente, strongly agree). An example item is “Preciso intervir frequentemente em conflitos que desgastam minha rotina de trabalho” (I often need to intervene in conflicts that wear down my work routine). Items were analyzed individually. [Internal consistency of the leader items: Cronbach’s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 .__.]</w:t>
      </w:r>
    </w:p>
    <w:p>
      <w:pPr>
        <w:spacing w:after="0" w:line="480"/>
        <w:ind w:firstLine="720"/>
      </w:pPr>
      <w:r>
        <w:rPr>
          <w:rFonts w:ascii="Times New Roman" w:cs="Times New Roman" w:eastAsia="Times New Roman" w:hAnsi="Times New Roman"/>
          <w:i/>
          <w:iCs/>
          <w:sz w:val="24"/>
          <w:szCs w:val="24"/>
        </w:rPr>
        <w:t xml:space="preserve">Employee inventory.</w:t>
      </w:r>
      <w:r>
        <w:rPr>
          <w:rFonts w:ascii="Times New Roman" w:cs="Times New Roman" w:eastAsia="Times New Roman" w:hAnsi="Times New Roman"/>
          <w:sz w:val="24"/>
          <w:szCs w:val="24"/>
        </w:rPr>
        <w:t xml:space="preserve"> The employee inventory included 16 psychosocial work factor items covering autonomy, relationships, organizational climate and leadership support, a 25 item checklist of mental health symptoms and additional items, all rated from 1 (nunca, never) to 5 (sempre, always) ([Authors], under review). At the first wave, Cronbach’s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ranged from .63 to .82 across the four work factor dimensions and was .93 and .91 for the symptom checklist in Companies A and B ([Authors], under review). An example item is “Tem liberdade para organizar suas atividades?” (Are you free to organize your activities?). Tenure in the company was recorded in six categories at both waves. Both item sets were written to cover the hazard categories named in NR-1, and their validity has not been examined ([Authors], under review).</w:t>
      </w:r>
    </w:p>
    <w:p>
      <w:pPr>
        <w:spacing w:after="0" w:line="480"/>
        <w:ind w:firstLine="720"/>
      </w:pPr>
      <w:r>
        <w:rPr>
          <w:rFonts w:ascii="Times New Roman" w:cs="Times New Roman" w:eastAsia="Times New Roman" w:hAnsi="Times New Roman"/>
          <w:i/>
          <w:iCs/>
          <w:sz w:val="24"/>
          <w:szCs w:val="24"/>
        </w:rPr>
        <w:t xml:space="preserve">Item selection.</w:t>
      </w:r>
      <w:r>
        <w:rPr>
          <w:rFonts w:ascii="Times New Roman" w:cs="Times New Roman" w:eastAsia="Times New Roman" w:hAnsi="Times New Roman"/>
          <w:sz w:val="24"/>
          <w:szCs w:val="24"/>
        </w:rPr>
        <w:t xml:space="preserve"> The wording of every item was compared across the online forms used at each wave, and only items worded identically at all waves were analyzed. Eight leader items met this criterion. Leader items 2, 4, 5, 6, 11, 13, 15 to 18 and 20 were reworded or negated at T2, item 10 was not asked at T2, and items present at a single wave were excluded. Thirty eight employee items met the criterion: 23 on emotional regulation and mental health symptoms, 14 on psychosocial work factors and 1 on satisfaction with oneself. Employee items 9, 39, 41, 48 and 49 were reworded at T2, and items present at a single wave were excluded. Items whose higher agreement or frequency indicates higher risk were flagged as risk items.</w:t>
      </w:r>
    </w:p>
    <w:p>
      <w:pPr>
        <w:keepNext/>
        <w:spacing w:line="480"/>
      </w:pPr>
      <w:r>
        <w:rPr>
          <w:rFonts w:ascii="Times New Roman" w:cs="Times New Roman" w:eastAsia="Times New Roman" w:hAnsi="Times New Roman"/>
          <w:b/>
          <w:bCs/>
          <w:sz w:val="24"/>
          <w:szCs w:val="24"/>
        </w:rPr>
        <w:t xml:space="preserve">Procedure</w:t>
      </w:r>
    </w:p>
    <w:p>
      <w:pPr>
        <w:spacing w:after="0" w:line="480"/>
        <w:ind w:firstLine="720"/>
      </w:pPr>
      <w:r>
        <w:rPr>
          <w:rFonts w:ascii="Times New Roman" w:cs="Times New Roman" w:eastAsia="Times New Roman" w:hAnsi="Times New Roman"/>
          <w:sz w:val="24"/>
          <w:szCs w:val="24"/>
        </w:rPr>
        <w:t xml:space="preserve">A meeting with employees presented the purpose and stages of the assessment and stated that participation was voluntary and anonymous. Participants then answered an online survey. No names, email addresses, job titles or work units were recorded, and results were returned to each company only in aggregate ([Authors], under review). [Confirm that the same procedure was used at T2 and T3.] The study was registered on Plataforma Brasil and approved by the Research Ethics Committee of the Instituto Nacional de Educação de Surdos (CAAE 96841525.4.0000.8137; approval number 8.651.901). Procedures followed the ethical guidelines for research in the Human and Social Sciences (Conselho Nacional de Saúde, 2016). [Consent statement.]</w:t>
      </w:r>
    </w:p>
    <w:p>
      <w:pPr>
        <w:keepNext/>
        <w:spacing w:line="480"/>
      </w:pPr>
      <w:r>
        <w:rPr>
          <w:rFonts w:ascii="Times New Roman" w:cs="Times New Roman" w:eastAsia="Times New Roman" w:hAnsi="Times New Roman"/>
          <w:b/>
          <w:bCs/>
          <w:sz w:val="24"/>
          <w:szCs w:val="24"/>
        </w:rPr>
        <w:t xml:space="preserve">Data Analysis</w:t>
      </w:r>
    </w:p>
    <w:p>
      <w:pPr>
        <w:spacing w:after="0" w:line="480"/>
        <w:ind w:firstLine="720"/>
      </w:pPr>
      <w:r>
        <w:rPr>
          <w:rFonts w:ascii="Times New Roman" w:cs="Times New Roman" w:eastAsia="Times New Roman" w:hAnsi="Times New Roman"/>
          <w:sz w:val="24"/>
          <w:szCs w:val="24"/>
        </w:rPr>
        <w:t xml:space="preserve">Responses were compared across waves within each company, separately for leaders and employees. For leaders, each item was tested with a Kruskal-Wallis test across the three waves. When this test gave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pairwise Wilcoxon rank sum tests identified which waves differed. For employees, each item was compared between the two waves with a Wilcoxon rank sum (Mann-Whitney) test. Tests used the original five point responses, were two sided and were not adjusted for multiplicity because the analysis is exploratory. For presentation, responses were grouped into three categories (1 to 2, 3 and 4 to 5). Analyses were conducted in R 4.3.3 with the tidyverse 2.0.0 packages. The study was not preregistered, and the analysis code is available from the corresponding author.</w:t>
      </w:r>
    </w:p>
    <w:p>
      <w:pPr>
        <w:keepNext/>
        <w:spacing w:before="240" w:line="480"/>
        <w:jc w:val="center"/>
      </w:pPr>
      <w:r>
        <w:rPr>
          <w:rFonts w:ascii="Times New Roman" w:cs="Times New Roman" w:eastAsia="Times New Roman" w:hAnsi="Times New Roman"/>
          <w:b/>
          <w:bCs/>
          <w:sz w:val="24"/>
          <w:szCs w:val="24"/>
        </w:rPr>
        <w:t xml:space="preserve">Results</w:t>
      </w:r>
    </w:p>
    <w:p>
      <w:pPr>
        <w:keepNext/>
        <w:spacing w:line="480"/>
      </w:pPr>
      <w:r>
        <w:rPr>
          <w:rFonts w:ascii="Times New Roman" w:cs="Times New Roman" w:eastAsia="Times New Roman" w:hAnsi="Times New Roman"/>
          <w:b/>
          <w:bCs/>
          <w:sz w:val="24"/>
          <w:szCs w:val="24"/>
        </w:rPr>
        <w:t xml:space="preserve">Leaders</w:t>
      </w:r>
    </w:p>
    <w:p>
      <w:pPr>
        <w:spacing w:after="0" w:line="480"/>
        <w:ind w:firstLine="720"/>
      </w:pPr>
      <w:r>
        <w:rPr>
          <w:rFonts w:ascii="Times New Roman" w:cs="Times New Roman" w:eastAsia="Times New Roman" w:hAnsi="Times New Roman"/>
          <w:sz w:val="24"/>
          <w:szCs w:val="24"/>
        </w:rPr>
        <w:t xml:space="preserve">In Company A, none of the eight leader items differed across the three waves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from .145 to .892; Table 1). The largest descriptive shift was in decision responsibility (item 1): agreement rose from 13% at T1 to 44% at T2 and 53% at T3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.160). In Company B, no item differed across waves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from .080 to .658; Table 2), with three leaders at T3. Figure 1 shows the percentage of leaders agreeing with each item.</w:t>
      </w:r>
    </w:p>
    <w:p>
      <w:pPr>
        <w:sectPr>
          <w:headerReference w:type="default" r:id="rId7"/>
          <w:pgSz w:w="11906" w:h="16838" w:orient="portrait"/>
          <w:pgMar w:top="1440" w:right="1440" w:bottom="1440" w:left="1440" w:header="708" w:footer="708" w:gutter="0"/>
          <w:pgNumType/>
          <w:docGrid w:linePitch="360"/>
        </w:sectPr>
      </w:pPr>
    </w:p>
    <w:p>
      <w:pPr>
        <w:keepNext/>
        <w:spacing w:before="240"/>
      </w:pPr>
      <w:r>
        <w:rPr>
          <w:rFonts w:ascii="Times New Roman" w:cs="Times New Roman" w:eastAsia="Times New Roman" w:hAnsi="Times New Roman"/>
          <w:b/>
          <w:bCs/>
          <w:sz w:val="24"/>
          <w:szCs w:val="24"/>
        </w:rPr>
        <w:t xml:space="preserve">Table 1</w:t>
      </w:r>
    </w:p>
    <w:p>
      <w:pPr>
        <w:keepNext/>
        <w:spacing w:after="120"/>
      </w:pPr>
      <w:r>
        <w:rPr>
          <w:rFonts w:ascii="Times New Roman" w:cs="Times New Roman" w:eastAsia="Times New Roman" w:hAnsi="Times New Roman"/>
          <w:i/>
          <w:iCs/>
          <w:sz w:val="24"/>
          <w:szCs w:val="24"/>
        </w:rPr>
        <w:t xml:space="preserve">Responses to the Stable Leader Items by Wave in Company A</w:t>
      </w:r>
    </w:p>
    <w:tbl>
      <w:tblPr>
        <w:tblW w:type="dxa" w:w="13350"/>
        <w:tblBorders>
          <w:top w:val="single" w:color="000000" w:sz="4"/>
          <w:left w:val="none" w:color="FFFFFF" w:sz="0"/>
          <w:bottom w:val="single" w:color="000000" w:sz="4"/>
          <w:right w:val="none" w:color="FFFFFF" w:sz="0"/>
          <w:insideH w:val="none" w:color="FFFFFF" w:sz="0"/>
          <w:insideV w:val="none" w:color="FFFFFF" w:sz="0"/>
        </w:tblBorders>
      </w:tblPr>
      <w:tblGrid>
        <w:gridCol w:w="4300"/>
        <w:gridCol w:w="2000"/>
        <w:gridCol w:w="1250"/>
        <w:gridCol w:w="1250"/>
        <w:gridCol w:w="1250"/>
        <w:gridCol w:w="900"/>
        <w:gridCol w:w="2400"/>
      </w:tblGrid>
      <w:tr>
        <w:trPr>
          <w:tblHeader/>
        </w:trPr>
        <w:tc>
          <w:tcPr>
            <w:tcW w:type="dxa" w:w="430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left"/>
            </w:pPr>
            <w:r>
              <w:rPr>
                <w:rFonts w:ascii="Times New Roman" w:cs="Times New Roman" w:eastAsia="Times New Roman" w:hAnsi="Times New Roman"/>
                <w:sz w:val="24"/>
                <w:szCs w:val="24"/>
              </w:rPr>
              <w:t xml:space="preserve">Item</w:t>
            </w:r>
          </w:p>
        </w:tc>
        <w:tc>
          <w:tcPr>
            <w:tcW w:type="dxa" w:w="200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left"/>
            </w:pPr>
            <w:r>
              <w:rPr>
                <w:rFonts w:ascii="Times New Roman" w:cs="Times New Roman" w:eastAsia="Times New Roman" w:hAnsi="Times New Roman"/>
                <w:sz w:val="24"/>
                <w:szCs w:val="24"/>
              </w:rPr>
              <w:t xml:space="preserve">Response</w:t>
            </w:r>
          </w:p>
        </w:tc>
        <w:tc>
          <w:tcPr>
            <w:tcW w:type="dxa" w:w="125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center"/>
            </w:pPr>
            <w:r>
              <w:rPr>
                <w:rFonts w:ascii="Times New Roman" w:cs="Times New Roman" w:eastAsia="Times New Roman" w:hAnsi="Times New Roman"/>
                <w:sz w:val="24"/>
                <w:szCs w:val="24"/>
              </w:rPr>
              <w:t xml:space="preserve">T1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15)</w:t>
            </w:r>
          </w:p>
        </w:tc>
        <w:tc>
          <w:tcPr>
            <w:tcW w:type="dxa" w:w="125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center"/>
            </w:pPr>
            <w:r>
              <w:rPr>
                <w:rFonts w:ascii="Times New Roman" w:cs="Times New Roman" w:eastAsia="Times New Roman" w:hAnsi="Times New Roman"/>
                <w:sz w:val="24"/>
                <w:szCs w:val="24"/>
              </w:rPr>
              <w:t xml:space="preserve">T2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16)</w:t>
            </w:r>
          </w:p>
        </w:tc>
        <w:tc>
          <w:tcPr>
            <w:tcW w:type="dxa" w:w="125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center"/>
            </w:pPr>
            <w:r>
              <w:rPr>
                <w:rFonts w:ascii="Times New Roman" w:cs="Times New Roman" w:eastAsia="Times New Roman" w:hAnsi="Times New Roman"/>
                <w:sz w:val="24"/>
                <w:szCs w:val="24"/>
              </w:rPr>
              <w:t xml:space="preserve">T3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15)</w:t>
            </w:r>
          </w:p>
        </w:tc>
        <w:tc>
          <w:tcPr>
            <w:tcW w:type="dxa" w:w="90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center"/>
            </w:pPr>
            <w:r>
              <w:rPr>
                <w:rFonts w:ascii="Times New Roman" w:cs="Times New Roman" w:eastAsia="Times New Roman" w:hAnsi="Times New Roman"/>
                <w:i/>
                <w:iCs/>
                <w:sz w:val="24"/>
                <w:szCs w:val="24"/>
              </w:rPr>
              <w:t xml:space="preserve">p</w:t>
            </w:r>
          </w:p>
        </w:tc>
        <w:tc>
          <w:tcPr>
            <w:tcW w:type="dxa" w:w="240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center"/>
            </w:pPr>
            <w:r>
              <w:rPr>
                <w:rFonts w:ascii="Times New Roman" w:cs="Times New Roman" w:eastAsia="Times New Roman" w:hAnsi="Times New Roman"/>
                <w:sz w:val="24"/>
                <w:szCs w:val="24"/>
              </w:rPr>
              <w:t xml:space="preserve">Post hoc</w:t>
            </w:r>
          </w:p>
        </w:tc>
      </w:tr>
      <w:tr>
        <w:trPr>
          <w:cantSplit/>
        </w:trPr>
        <w:tc>
          <w:tcPr>
            <w:tcW w:type="dxa" w:w="43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7. Preciso intervir frequentemente em conflitos que desgastam minha rotina de trabalho. †</w:t>
            </w:r>
          </w:p>
        </w:tc>
        <w:tc>
          <w:tcPr>
            <w:tcW w:type="dxa" w:w="20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discordo</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12</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10</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.145</w:t>
            </w:r>
          </w:p>
        </w:tc>
        <w:tc>
          <w:tcPr>
            <w:tcW w:type="dxa" w:w="24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0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neutro</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0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concordo</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0</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3</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3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Sinto que a carga de responsabilidade pelas decisões é elevada. †</w:t>
            </w:r>
          </w:p>
        </w:tc>
        <w:tc>
          <w:tcPr>
            <w:tcW w:type="dxa" w:w="20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discordo</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.160</w:t>
            </w:r>
          </w:p>
        </w:tc>
        <w:tc>
          <w:tcPr>
            <w:tcW w:type="dxa" w:w="24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0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neutro</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0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concordo</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7</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8</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3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8. Sinto que minha equipe depende excessivamente de mim para resolver problemas simples (ex.: dúvidas recorrentes que poderiam ser resolvidas sem supervisão direta). †</w:t>
            </w:r>
          </w:p>
        </w:tc>
        <w:tc>
          <w:tcPr>
            <w:tcW w:type="dxa" w:w="20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discordo</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13</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11</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10</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.196</w:t>
            </w:r>
          </w:p>
        </w:tc>
        <w:tc>
          <w:tcPr>
            <w:tcW w:type="dxa" w:w="24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0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neutro</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0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concordo</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0</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3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19. Meu trabalho exige constante tomada de decisões que afetam a segurança, bem-estar ou desempenho de outras pessoas (ex.: realocar pessoas, dar feedback difícil, definir prioridades). †</w:t>
            </w:r>
          </w:p>
        </w:tc>
        <w:tc>
          <w:tcPr>
            <w:tcW w:type="dxa" w:w="20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discordo</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.456</w:t>
            </w:r>
          </w:p>
        </w:tc>
        <w:tc>
          <w:tcPr>
            <w:tcW w:type="dxa" w:w="24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0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neutro</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0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concordo</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5</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3</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7</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3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 Há clareza sobre minhas responsabilidades e limites de autoridade (ex.: sei até onde posso decidir sozinho e quando preciso escalonar).</w:t>
            </w:r>
          </w:p>
        </w:tc>
        <w:tc>
          <w:tcPr>
            <w:tcW w:type="dxa" w:w="20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discordo</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.744</w:t>
            </w:r>
          </w:p>
        </w:tc>
        <w:tc>
          <w:tcPr>
            <w:tcW w:type="dxa" w:w="24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0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neutro</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0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concordo</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12</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13</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12</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3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9. Estou satisfeito(a) com a performance geral da minha equipe.</w:t>
            </w:r>
          </w:p>
        </w:tc>
        <w:tc>
          <w:tcPr>
            <w:tcW w:type="dxa" w:w="20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discordo</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.747</w:t>
            </w:r>
          </w:p>
        </w:tc>
        <w:tc>
          <w:tcPr>
            <w:tcW w:type="dxa" w:w="24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0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neutro</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0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concordo</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10</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12</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12</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3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12. A falta de preparo técnico ou comportamental da equipe aumenta meu nível de estresse. †</w:t>
            </w:r>
          </w:p>
        </w:tc>
        <w:tc>
          <w:tcPr>
            <w:tcW w:type="dxa" w:w="20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discordo</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9</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.748</w:t>
            </w:r>
          </w:p>
        </w:tc>
        <w:tc>
          <w:tcPr>
            <w:tcW w:type="dxa" w:w="24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0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neutro</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0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concordo</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300"/>
            <w:vMerge w:val="restart"/>
            <w:tcBorders>
              <w:top w:val="none" w:color="FFFFFF" w:sz="0"/>
              <w:left w:val="none" w:color="FFFFFF" w:sz="0"/>
              <w:bottom w:val="single" w:color="000000" w:sz="4"/>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14. Recebo feedback e apoio da alta direção quando necessário.</w:t>
            </w:r>
          </w:p>
        </w:tc>
        <w:tc>
          <w:tcPr>
            <w:tcW w:type="dxa" w:w="20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discordo</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tcW w:type="dxa" w:w="900"/>
            <w:vMerge w:val="restart"/>
            <w:tcBorders>
              <w:top w:val="none" w:color="FFFFFF" w:sz="0"/>
              <w:left w:val="none" w:color="FFFFFF" w:sz="0"/>
              <w:bottom w:val="single" w:color="000000" w:sz="4"/>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.892</w:t>
            </w:r>
          </w:p>
        </w:tc>
        <w:tc>
          <w:tcPr>
            <w:tcW w:type="dxa" w:w="2400"/>
            <w:vMerge w:val="restart"/>
            <w:tcBorders>
              <w:top w:val="none" w:color="FFFFFF" w:sz="0"/>
              <w:left w:val="none" w:color="FFFFFF" w:sz="0"/>
              <w:bottom w:val="single" w:color="000000" w:sz="4"/>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single" w:color="000000" w:sz="4"/>
              <w:right w:val="none" w:color="FFFFFF" w:sz="0"/>
            </w:tcBorders>
          </w:tcPr>
          <w:p/>
        </w:tc>
        <w:tc>
          <w:tcPr>
            <w:tcW w:type="dxa" w:w="20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neutro</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vMerge w:val="continue"/>
            <w:tcBorders>
              <w:top w:val="none" w:color="FFFFFF" w:sz="0"/>
              <w:left w:val="none" w:color="FFFFFF" w:sz="0"/>
              <w:bottom w:val="single" w:color="000000" w:sz="4"/>
              <w:right w:val="none" w:color="FFFFFF" w:sz="0"/>
            </w:tcBorders>
          </w:tcPr>
          <w:p/>
        </w:tc>
        <w:tc>
          <w:tcPr>
            <w:vMerge w:val="continue"/>
            <w:tcBorders>
              <w:top w:val="none" w:color="FFFFFF" w:sz="0"/>
              <w:left w:val="none" w:color="FFFFFF" w:sz="0"/>
              <w:bottom w:val="single" w:color="000000" w:sz="4"/>
              <w:right w:val="none" w:color="FFFFFF" w:sz="0"/>
            </w:tcBorders>
          </w:tcPr>
          <w:p/>
        </w:tc>
      </w:tr>
      <w:tr>
        <w:trPr>
          <w:cantSplit/>
        </w:trPr>
        <w:tc>
          <w:tcPr>
            <w:vMerge w:val="continue"/>
            <w:tcBorders>
              <w:top w:val="none" w:color="FFFFFF" w:sz="0"/>
              <w:left w:val="none" w:color="FFFFFF" w:sz="0"/>
              <w:bottom w:val="single" w:color="000000" w:sz="4"/>
              <w:right w:val="none" w:color="FFFFFF" w:sz="0"/>
            </w:tcBorders>
          </w:tcPr>
          <w:p/>
        </w:tc>
        <w:tc>
          <w:tcPr>
            <w:tcW w:type="dxa" w:w="2000"/>
            <w:tcBorders>
              <w:top w:val="none" w:color="FFFFFF" w:sz="0"/>
              <w:left w:val="none" w:color="FFFFFF" w:sz="0"/>
              <w:bottom w:val="single" w:color="000000" w:sz="4"/>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concordo</w:t>
            </w:r>
          </w:p>
        </w:tc>
        <w:tc>
          <w:tcPr>
            <w:tcW w:type="dxa" w:w="1250"/>
            <w:tcBorders>
              <w:top w:val="none" w:color="FFFFFF" w:sz="0"/>
              <w:left w:val="none" w:color="FFFFFF" w:sz="0"/>
              <w:bottom w:val="single" w:color="000000" w:sz="4"/>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7</w:t>
            </w:r>
          </w:p>
        </w:tc>
        <w:tc>
          <w:tcPr>
            <w:tcW w:type="dxa" w:w="1250"/>
            <w:tcBorders>
              <w:top w:val="none" w:color="FFFFFF" w:sz="0"/>
              <w:left w:val="none" w:color="FFFFFF" w:sz="0"/>
              <w:bottom w:val="single" w:color="000000" w:sz="4"/>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9</w:t>
            </w:r>
          </w:p>
        </w:tc>
        <w:tc>
          <w:tcPr>
            <w:tcW w:type="dxa" w:w="1250"/>
            <w:tcBorders>
              <w:top w:val="none" w:color="FFFFFF" w:sz="0"/>
              <w:left w:val="none" w:color="FFFFFF" w:sz="0"/>
              <w:bottom w:val="single" w:color="000000" w:sz="4"/>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7</w:t>
            </w:r>
          </w:p>
        </w:tc>
        <w:tc>
          <w:tcPr>
            <w:vMerge w:val="continue"/>
            <w:tcBorders>
              <w:top w:val="none" w:color="FFFFFF" w:sz="0"/>
              <w:left w:val="none" w:color="FFFFFF" w:sz="0"/>
              <w:bottom w:val="single" w:color="000000" w:sz="4"/>
              <w:right w:val="none" w:color="FFFFFF" w:sz="0"/>
            </w:tcBorders>
          </w:tcPr>
          <w:p/>
        </w:tc>
        <w:tc>
          <w:tcPr>
            <w:vMerge w:val="continue"/>
            <w:tcBorders>
              <w:top w:val="none" w:color="FFFFFF" w:sz="0"/>
              <w:left w:val="none" w:color="FFFFFF" w:sz="0"/>
              <w:bottom w:val="single" w:color="000000" w:sz="4"/>
              <w:right w:val="none" w:color="FFFFFF" w:sz="0"/>
            </w:tcBorders>
          </w:tcPr>
          <w:p/>
        </w:tc>
      </w:tr>
    </w:tbl>
    <w:p>
      <w:pPr>
        <w:spacing w:after="240" w:before="60"/>
      </w:pPr>
      <w:r>
        <w:rPr>
          <w:rFonts w:ascii="Times New Roman" w:cs="Times New Roman" w:eastAsia="Times New Roman" w:hAnsi="Times New Roman"/>
          <w:i/>
          <w:iCs/>
          <w:sz w:val="24"/>
          <w:szCs w:val="24"/>
        </w:rPr>
        <w:t xml:space="preserve">Note.</w:t>
      </w:r>
      <w:r>
        <w:rPr>
          <w:rFonts w:ascii="Times New Roman" w:cs="Times New Roman" w:eastAsia="Times New Roman" w:hAnsi="Times New Roman"/>
          <w:sz w:val="24"/>
          <w:szCs w:val="24"/>
        </w:rPr>
        <w:t xml:space="preserve"> Counts of respondents by wave. Responses on the original agreement scale were grouped for display as discordo (disagree; 1 to 2), neutro (neutral; 3) and concordo (agree; 4 to 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values are from Kruskal-Wallis tests on the original five point responses, without adjustment for multiplicity; post hoc pairwise Wilcoxon rank sum tests were run only when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Items appear in the original Portuguese wording and are ordered by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w:t>
      </w:r>
    </w:p>
    <w:p>
      <w:pPr>
        <w:spacing w:after="240"/>
      </w:pPr>
      <w:r>
        <w:rPr>
          <w:rFonts w:ascii="Times New Roman" w:cs="Times New Roman" w:eastAsia="Times New Roman" w:hAnsi="Times New Roman"/>
          <w:sz w:val="24"/>
          <w:szCs w:val="24"/>
        </w:rPr>
        <w:t xml:space="preserve">† Risk item: higher agreement indicates higher risk.</w:t>
      </w:r>
    </w:p>
    <w:p>
      <w:pPr>
        <w:keepNext/>
        <w:spacing w:before="240"/>
      </w:pPr>
      <w:r>
        <w:rPr>
          <w:rFonts w:ascii="Times New Roman" w:cs="Times New Roman" w:eastAsia="Times New Roman" w:hAnsi="Times New Roman"/>
          <w:b/>
          <w:bCs/>
          <w:sz w:val="24"/>
          <w:szCs w:val="24"/>
        </w:rPr>
        <w:t xml:space="preserve">Table 2</w:t>
      </w:r>
    </w:p>
    <w:p>
      <w:pPr>
        <w:keepNext/>
        <w:spacing w:after="120"/>
      </w:pPr>
      <w:r>
        <w:rPr>
          <w:rFonts w:ascii="Times New Roman" w:cs="Times New Roman" w:eastAsia="Times New Roman" w:hAnsi="Times New Roman"/>
          <w:i/>
          <w:iCs/>
          <w:sz w:val="24"/>
          <w:szCs w:val="24"/>
        </w:rPr>
        <w:t xml:space="preserve">Responses to the Stable Leader Items by Wave in Company B</w:t>
      </w:r>
    </w:p>
    <w:tbl>
      <w:tblPr>
        <w:tblW w:type="dxa" w:w="13350"/>
        <w:tblBorders>
          <w:top w:val="single" w:color="000000" w:sz="4"/>
          <w:left w:val="none" w:color="FFFFFF" w:sz="0"/>
          <w:bottom w:val="single" w:color="000000" w:sz="4"/>
          <w:right w:val="none" w:color="FFFFFF" w:sz="0"/>
          <w:insideH w:val="none" w:color="FFFFFF" w:sz="0"/>
          <w:insideV w:val="none" w:color="FFFFFF" w:sz="0"/>
        </w:tblBorders>
      </w:tblPr>
      <w:tblGrid>
        <w:gridCol w:w="4300"/>
        <w:gridCol w:w="2000"/>
        <w:gridCol w:w="1250"/>
        <w:gridCol w:w="1250"/>
        <w:gridCol w:w="1250"/>
        <w:gridCol w:w="900"/>
        <w:gridCol w:w="2400"/>
      </w:tblGrid>
      <w:tr>
        <w:trPr>
          <w:tblHeader/>
        </w:trPr>
        <w:tc>
          <w:tcPr>
            <w:tcW w:type="dxa" w:w="430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left"/>
            </w:pPr>
            <w:r>
              <w:rPr>
                <w:rFonts w:ascii="Times New Roman" w:cs="Times New Roman" w:eastAsia="Times New Roman" w:hAnsi="Times New Roman"/>
                <w:sz w:val="24"/>
                <w:szCs w:val="24"/>
              </w:rPr>
              <w:t xml:space="preserve">Item</w:t>
            </w:r>
          </w:p>
        </w:tc>
        <w:tc>
          <w:tcPr>
            <w:tcW w:type="dxa" w:w="200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left"/>
            </w:pPr>
            <w:r>
              <w:rPr>
                <w:rFonts w:ascii="Times New Roman" w:cs="Times New Roman" w:eastAsia="Times New Roman" w:hAnsi="Times New Roman"/>
                <w:sz w:val="24"/>
                <w:szCs w:val="24"/>
              </w:rPr>
              <w:t xml:space="preserve">Response</w:t>
            </w:r>
          </w:p>
        </w:tc>
        <w:tc>
          <w:tcPr>
            <w:tcW w:type="dxa" w:w="125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center"/>
            </w:pPr>
            <w:r>
              <w:rPr>
                <w:rFonts w:ascii="Times New Roman" w:cs="Times New Roman" w:eastAsia="Times New Roman" w:hAnsi="Times New Roman"/>
                <w:sz w:val="24"/>
                <w:szCs w:val="24"/>
              </w:rPr>
              <w:t xml:space="preserve">T1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6)</w:t>
            </w:r>
          </w:p>
        </w:tc>
        <w:tc>
          <w:tcPr>
            <w:tcW w:type="dxa" w:w="125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center"/>
            </w:pPr>
            <w:r>
              <w:rPr>
                <w:rFonts w:ascii="Times New Roman" w:cs="Times New Roman" w:eastAsia="Times New Roman" w:hAnsi="Times New Roman"/>
                <w:sz w:val="24"/>
                <w:szCs w:val="24"/>
              </w:rPr>
              <w:t xml:space="preserve">T2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6)</w:t>
            </w:r>
          </w:p>
        </w:tc>
        <w:tc>
          <w:tcPr>
            <w:tcW w:type="dxa" w:w="125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center"/>
            </w:pPr>
            <w:r>
              <w:rPr>
                <w:rFonts w:ascii="Times New Roman" w:cs="Times New Roman" w:eastAsia="Times New Roman" w:hAnsi="Times New Roman"/>
                <w:sz w:val="24"/>
                <w:szCs w:val="24"/>
              </w:rPr>
              <w:t xml:space="preserve">T3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3)</w:t>
            </w:r>
          </w:p>
        </w:tc>
        <w:tc>
          <w:tcPr>
            <w:tcW w:type="dxa" w:w="90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center"/>
            </w:pPr>
            <w:r>
              <w:rPr>
                <w:rFonts w:ascii="Times New Roman" w:cs="Times New Roman" w:eastAsia="Times New Roman" w:hAnsi="Times New Roman"/>
                <w:i/>
                <w:iCs/>
                <w:sz w:val="24"/>
                <w:szCs w:val="24"/>
              </w:rPr>
              <w:t xml:space="preserve">p</w:t>
            </w:r>
          </w:p>
        </w:tc>
        <w:tc>
          <w:tcPr>
            <w:tcW w:type="dxa" w:w="240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center"/>
            </w:pPr>
            <w:r>
              <w:rPr>
                <w:rFonts w:ascii="Times New Roman" w:cs="Times New Roman" w:eastAsia="Times New Roman" w:hAnsi="Times New Roman"/>
                <w:sz w:val="24"/>
                <w:szCs w:val="24"/>
              </w:rPr>
              <w:t xml:space="preserve">Post hoc</w:t>
            </w:r>
          </w:p>
        </w:tc>
      </w:tr>
      <w:tr>
        <w:trPr>
          <w:cantSplit/>
        </w:trPr>
        <w:tc>
          <w:tcPr>
            <w:tcW w:type="dxa" w:w="43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7. Preciso intervir frequentemente em conflitos que desgastam minha rotina de trabalho. †</w:t>
            </w:r>
          </w:p>
        </w:tc>
        <w:tc>
          <w:tcPr>
            <w:tcW w:type="dxa" w:w="20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discordo</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.080</w:t>
            </w:r>
          </w:p>
        </w:tc>
        <w:tc>
          <w:tcPr>
            <w:tcW w:type="dxa" w:w="24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0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neutro</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0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concordo</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0</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3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9. Estou satisfeito(a) com a performance geral da minha equipe.</w:t>
            </w:r>
          </w:p>
        </w:tc>
        <w:tc>
          <w:tcPr>
            <w:tcW w:type="dxa" w:w="20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discordo</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.093</w:t>
            </w:r>
          </w:p>
        </w:tc>
        <w:tc>
          <w:tcPr>
            <w:tcW w:type="dxa" w:w="24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0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neutro</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0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concordo</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3</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4</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3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14. Recebo feedback e apoio da alta direção quando necessário.</w:t>
            </w:r>
          </w:p>
        </w:tc>
        <w:tc>
          <w:tcPr>
            <w:tcW w:type="dxa" w:w="20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discordo</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.334</w:t>
            </w:r>
          </w:p>
        </w:tc>
        <w:tc>
          <w:tcPr>
            <w:tcW w:type="dxa" w:w="24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0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neutro</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0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concordo</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4</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4</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3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12. A falta de preparo técnico ou comportamental da equipe aumenta meu nível de estresse. †</w:t>
            </w:r>
          </w:p>
        </w:tc>
        <w:tc>
          <w:tcPr>
            <w:tcW w:type="dxa" w:w="20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discordo</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.341</w:t>
            </w:r>
          </w:p>
        </w:tc>
        <w:tc>
          <w:tcPr>
            <w:tcW w:type="dxa" w:w="24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0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neutro</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0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concordo</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4</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3</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0</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3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19. Meu trabalho exige constante tomada de decisões que afetam a segurança, bem-estar ou desempenho de outras pessoas (ex.: realocar pessoas, dar feedback difícil, definir prioridades). †</w:t>
            </w:r>
          </w:p>
        </w:tc>
        <w:tc>
          <w:tcPr>
            <w:tcW w:type="dxa" w:w="20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discordo</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.350</w:t>
            </w:r>
          </w:p>
        </w:tc>
        <w:tc>
          <w:tcPr>
            <w:tcW w:type="dxa" w:w="24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0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neutro</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0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concordo</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4</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3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8. Sinto que minha equipe depende excessivamente de mim para resolver problemas simples (ex.: dúvidas recorrentes que poderiam ser resolvidas sem supervisão direta). †</w:t>
            </w:r>
          </w:p>
        </w:tc>
        <w:tc>
          <w:tcPr>
            <w:tcW w:type="dxa" w:w="20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discordo</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.423</w:t>
            </w:r>
          </w:p>
        </w:tc>
        <w:tc>
          <w:tcPr>
            <w:tcW w:type="dxa" w:w="24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0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neutro</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0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concordo</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3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Sinto que a carga de responsabilidade pelas decisões é elevada. †</w:t>
            </w:r>
          </w:p>
        </w:tc>
        <w:tc>
          <w:tcPr>
            <w:tcW w:type="dxa" w:w="20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discordo</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.428</w:t>
            </w:r>
          </w:p>
        </w:tc>
        <w:tc>
          <w:tcPr>
            <w:tcW w:type="dxa" w:w="24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0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neutro</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0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concordo</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0</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4300"/>
            <w:vMerge w:val="restart"/>
            <w:tcBorders>
              <w:top w:val="none" w:color="FFFFFF" w:sz="0"/>
              <w:left w:val="none" w:color="FFFFFF" w:sz="0"/>
              <w:bottom w:val="single" w:color="000000" w:sz="4"/>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 Há clareza sobre minhas responsabilidades e limites de autoridade (ex.: sei até onde posso decidir sozinho e quando preciso escalonar).</w:t>
            </w:r>
          </w:p>
        </w:tc>
        <w:tc>
          <w:tcPr>
            <w:tcW w:type="dxa" w:w="20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discordo</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12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w:t>
            </w:r>
          </w:p>
        </w:tc>
        <w:tc>
          <w:tcPr>
            <w:tcW w:type="dxa" w:w="900"/>
            <w:vMerge w:val="restart"/>
            <w:tcBorders>
              <w:top w:val="none" w:color="FFFFFF" w:sz="0"/>
              <w:left w:val="none" w:color="FFFFFF" w:sz="0"/>
              <w:bottom w:val="single" w:color="000000" w:sz="4"/>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.658</w:t>
            </w:r>
          </w:p>
        </w:tc>
        <w:tc>
          <w:tcPr>
            <w:tcW w:type="dxa" w:w="2400"/>
            <w:vMerge w:val="restart"/>
            <w:tcBorders>
              <w:top w:val="none" w:color="FFFFFF" w:sz="0"/>
              <w:left w:val="none" w:color="FFFFFF" w:sz="0"/>
              <w:bottom w:val="single" w:color="000000" w:sz="4"/>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single" w:color="000000" w:sz="4"/>
              <w:right w:val="none" w:color="FFFFFF" w:sz="0"/>
            </w:tcBorders>
          </w:tcPr>
          <w:p/>
        </w:tc>
        <w:tc>
          <w:tcPr>
            <w:tcW w:type="dxa" w:w="20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neutro</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w:t>
            </w:r>
          </w:p>
        </w:tc>
        <w:tc>
          <w:tcPr>
            <w:vMerge w:val="continue"/>
            <w:tcBorders>
              <w:top w:val="none" w:color="FFFFFF" w:sz="0"/>
              <w:left w:val="none" w:color="FFFFFF" w:sz="0"/>
              <w:bottom w:val="single" w:color="000000" w:sz="4"/>
              <w:right w:val="none" w:color="FFFFFF" w:sz="0"/>
            </w:tcBorders>
          </w:tcPr>
          <w:p/>
        </w:tc>
        <w:tc>
          <w:tcPr>
            <w:vMerge w:val="continue"/>
            <w:tcBorders>
              <w:top w:val="none" w:color="FFFFFF" w:sz="0"/>
              <w:left w:val="none" w:color="FFFFFF" w:sz="0"/>
              <w:bottom w:val="single" w:color="000000" w:sz="4"/>
              <w:right w:val="none" w:color="FFFFFF" w:sz="0"/>
            </w:tcBorders>
          </w:tcPr>
          <w:p/>
        </w:tc>
      </w:tr>
      <w:tr>
        <w:trPr>
          <w:cantSplit/>
        </w:trPr>
        <w:tc>
          <w:tcPr>
            <w:vMerge w:val="continue"/>
            <w:tcBorders>
              <w:top w:val="none" w:color="FFFFFF" w:sz="0"/>
              <w:left w:val="none" w:color="FFFFFF" w:sz="0"/>
              <w:bottom w:val="single" w:color="000000" w:sz="4"/>
              <w:right w:val="none" w:color="FFFFFF" w:sz="0"/>
            </w:tcBorders>
          </w:tcPr>
          <w:p/>
        </w:tc>
        <w:tc>
          <w:tcPr>
            <w:tcW w:type="dxa" w:w="2000"/>
            <w:tcBorders>
              <w:top w:val="none" w:color="FFFFFF" w:sz="0"/>
              <w:left w:val="none" w:color="FFFFFF" w:sz="0"/>
              <w:bottom w:val="single" w:color="000000" w:sz="4"/>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concordo</w:t>
            </w:r>
          </w:p>
        </w:tc>
        <w:tc>
          <w:tcPr>
            <w:tcW w:type="dxa" w:w="1250"/>
            <w:tcBorders>
              <w:top w:val="none" w:color="FFFFFF" w:sz="0"/>
              <w:left w:val="none" w:color="FFFFFF" w:sz="0"/>
              <w:bottom w:val="single" w:color="000000" w:sz="4"/>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5</w:t>
            </w:r>
          </w:p>
        </w:tc>
        <w:tc>
          <w:tcPr>
            <w:tcW w:type="dxa" w:w="1250"/>
            <w:tcBorders>
              <w:top w:val="none" w:color="FFFFFF" w:sz="0"/>
              <w:left w:val="none" w:color="FFFFFF" w:sz="0"/>
              <w:bottom w:val="single" w:color="000000" w:sz="4"/>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3</w:t>
            </w:r>
          </w:p>
        </w:tc>
        <w:tc>
          <w:tcPr>
            <w:tcW w:type="dxa" w:w="1250"/>
            <w:tcBorders>
              <w:top w:val="none" w:color="FFFFFF" w:sz="0"/>
              <w:left w:val="none" w:color="FFFFFF" w:sz="0"/>
              <w:bottom w:val="single" w:color="000000" w:sz="4"/>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3</w:t>
            </w:r>
          </w:p>
        </w:tc>
        <w:tc>
          <w:tcPr>
            <w:vMerge w:val="continue"/>
            <w:tcBorders>
              <w:top w:val="none" w:color="FFFFFF" w:sz="0"/>
              <w:left w:val="none" w:color="FFFFFF" w:sz="0"/>
              <w:bottom w:val="single" w:color="000000" w:sz="4"/>
              <w:right w:val="none" w:color="FFFFFF" w:sz="0"/>
            </w:tcBorders>
          </w:tcPr>
          <w:p/>
        </w:tc>
        <w:tc>
          <w:tcPr>
            <w:vMerge w:val="continue"/>
            <w:tcBorders>
              <w:top w:val="none" w:color="FFFFFF" w:sz="0"/>
              <w:left w:val="none" w:color="FFFFFF" w:sz="0"/>
              <w:bottom w:val="single" w:color="000000" w:sz="4"/>
              <w:right w:val="none" w:color="FFFFFF" w:sz="0"/>
            </w:tcBorders>
          </w:tcPr>
          <w:p/>
        </w:tc>
      </w:tr>
    </w:tbl>
    <w:p>
      <w:pPr>
        <w:spacing w:after="240" w:before="60"/>
      </w:pPr>
      <w:r>
        <w:rPr>
          <w:rFonts w:ascii="Times New Roman" w:cs="Times New Roman" w:eastAsia="Times New Roman" w:hAnsi="Times New Roman"/>
          <w:i/>
          <w:iCs/>
          <w:sz w:val="24"/>
          <w:szCs w:val="24"/>
        </w:rPr>
        <w:t xml:space="preserve">Note.</w:t>
      </w:r>
      <w:r>
        <w:rPr>
          <w:rFonts w:ascii="Times New Roman" w:cs="Times New Roman" w:eastAsia="Times New Roman" w:hAnsi="Times New Roman"/>
          <w:sz w:val="24"/>
          <w:szCs w:val="24"/>
        </w:rPr>
        <w:t xml:space="preserve"> Counts of respondents by wave. Responses on the original agreement scale were grouped for display as discordo (disagree; 1 to 2), neutro (neutral; 3) and concordo (agree; 4 to 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values are from Kruskal-Wallis tests on the original five point responses, without adjustment for multiplicity; post hoc pairwise Wilcoxon rank sum tests were run only when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Items appear in the original Portuguese wording and are ordered by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w:t>
      </w:r>
    </w:p>
    <w:p>
      <w:pPr>
        <w:spacing w:after="240"/>
      </w:pPr>
      <w:r>
        <w:rPr>
          <w:rFonts w:ascii="Times New Roman" w:cs="Times New Roman" w:eastAsia="Times New Roman" w:hAnsi="Times New Roman"/>
          <w:sz w:val="24"/>
          <w:szCs w:val="24"/>
        </w:rPr>
        <w:t xml:space="preserve">† Risk item: higher agreement indicates higher risk.</w:t>
      </w:r>
    </w:p>
    <w:p>
      <w:pPr>
        <w:keepNext/>
        <w:spacing w:before="240"/>
      </w:pPr>
      <w:r>
        <w:rPr>
          <w:rFonts w:ascii="Times New Roman" w:cs="Times New Roman" w:eastAsia="Times New Roman" w:hAnsi="Times New Roman"/>
          <w:b/>
          <w:bCs/>
          <w:sz w:val="24"/>
          <w:szCs w:val="24"/>
        </w:rPr>
        <w:t xml:space="preserve">Figure 1</w:t>
      </w:r>
    </w:p>
    <w:p>
      <w:pPr>
        <w:keepNext/>
        <w:spacing w:after="120"/>
      </w:pPr>
      <w:r>
        <w:rPr>
          <w:rFonts w:ascii="Times New Roman" w:cs="Times New Roman" w:eastAsia="Times New Roman" w:hAnsi="Times New Roman"/>
          <w:i/>
          <w:iCs/>
          <w:sz w:val="24"/>
          <w:szCs w:val="24"/>
        </w:rPr>
        <w:t xml:space="preserve">Percentage of Leaders Agreeing With Each Stable Item by Wave and Company</w:t>
      </w:r>
    </w:p>
    <w:p>
      <w:pPr>
        <w:spacing w:after="120" w:before="120"/>
        <w:jc w:val="center"/>
      </w:pPr>
      <w:r>
        <w:drawing>
          <wp:inline distT="0" distB="0" distL="0" distR="0">
            <wp:extent cx="80010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001000" cy="4000500"/>
                    </a:xfrm>
                    <a:prstGeom prst="rect">
                      <a:avLst/>
                    </a:prstGeom>
                  </pic:spPr>
                </pic:pic>
              </a:graphicData>
            </a:graphic>
          </wp:inline>
        </w:drawing>
      </w:r>
    </w:p>
    <w:p>
      <w:pPr>
        <w:spacing w:after="240" w:before="60"/>
      </w:pPr>
      <w:r>
        <w:rPr>
          <w:rFonts w:ascii="Times New Roman" w:cs="Times New Roman" w:eastAsia="Times New Roman" w:hAnsi="Times New Roman"/>
          <w:i/>
          <w:iCs/>
          <w:sz w:val="24"/>
          <w:szCs w:val="24"/>
        </w:rPr>
        <w:t xml:space="preserve">Note.</w:t>
      </w:r>
      <w:r>
        <w:rPr>
          <w:rFonts w:ascii="Times New Roman" w:cs="Times New Roman" w:eastAsia="Times New Roman" w:hAnsi="Times New Roman"/>
          <w:sz w:val="24"/>
          <w:szCs w:val="24"/>
        </w:rPr>
        <w:t xml:space="preserve"> Agreement is the sum of concordo parcialmente and concordo totalmente. Company B had three respondents at T3.</w:t>
      </w:r>
    </w:p>
    <w:p>
      <w:pPr>
        <w:sectPr>
          <w:headerReference w:type="default" r:id="rId8"/>
          <w:pgSz w:w="16838" w:h="11906" w:orient="landscape"/>
          <w:pgMar w:top="1440" w:right="1440" w:bottom="1440" w:left="1440" w:header="708" w:footer="708" w:gutter="0"/>
          <w:pgNumType/>
          <w:docGrid w:linePitch="360"/>
        </w:sectPr>
      </w:pPr>
    </w:p>
    <w:p>
      <w:pPr>
        <w:keepNext/>
        <w:spacing w:line="480"/>
      </w:pPr>
      <w:r>
        <w:rPr>
          <w:rFonts w:ascii="Times New Roman" w:cs="Times New Roman" w:eastAsia="Times New Roman" w:hAnsi="Times New Roman"/>
          <w:b/>
          <w:bCs/>
          <w:sz w:val="24"/>
          <w:szCs w:val="24"/>
        </w:rPr>
        <w:t xml:space="preserve">Employees</w:t>
      </w:r>
    </w:p>
    <w:p>
      <w:pPr>
        <w:spacing w:after="0" w:line="480"/>
        <w:ind w:firstLine="720"/>
      </w:pPr>
      <w:r>
        <w:rPr>
          <w:rFonts w:ascii="Times New Roman" w:cs="Times New Roman" w:eastAsia="Times New Roman" w:hAnsi="Times New Roman"/>
          <w:sz w:val="24"/>
          <w:szCs w:val="24"/>
        </w:rPr>
        <w:t xml:space="preserve">In Company A, 2 of the 38 employee items differed between waves (Figure 2; Supplementary Table S1). Freedom to organize one’s activities (item 34) decreased: 91% answered often or always at T1 and 73% at T2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[rank biserial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.__]). Encouragement to use creativity and knowledge (item 35) also decreased, from 80% to 73%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.015; [rank biserial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.__]). The other 36 items did not differ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from .054 to .973). In Company B, none of the 38 items differed between waves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from .114 to .989; Supplementary Table S2). Across both groups and companies, 2 of 92 tests had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w:t>
      </w:r>
    </w:p>
    <w:p>
      <w:pPr>
        <w:keepNext/>
        <w:spacing w:before="240"/>
      </w:pPr>
      <w:r>
        <w:rPr>
          <w:rFonts w:ascii="Times New Roman" w:cs="Times New Roman" w:eastAsia="Times New Roman" w:hAnsi="Times New Roman"/>
          <w:b/>
          <w:bCs/>
          <w:sz w:val="24"/>
          <w:szCs w:val="24"/>
        </w:rPr>
        <w:t xml:space="preserve">Figure 2</w:t>
      </w:r>
    </w:p>
    <w:p>
      <w:pPr>
        <w:keepNext/>
        <w:spacing w:after="120"/>
      </w:pPr>
      <w:r>
        <w:rPr>
          <w:rFonts w:ascii="Times New Roman" w:cs="Times New Roman" w:eastAsia="Times New Roman" w:hAnsi="Times New Roman"/>
          <w:i/>
          <w:iCs/>
          <w:sz w:val="24"/>
          <w:szCs w:val="24"/>
        </w:rPr>
        <w:t xml:space="preserve">Percentage of Employees Answering Often or Always to Each Stable Item by Wave and Company</w:t>
      </w:r>
    </w:p>
    <w:p>
      <w:pPr>
        <w:spacing w:after="120" w:before="120"/>
        <w:jc w:val="center"/>
      </w:pPr>
      <w:r>
        <w:drawing>
          <wp:inline distT="0" distB="0" distL="0" distR="0">
            <wp:extent cx="571500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143500"/>
                    </a:xfrm>
                    <a:prstGeom prst="rect">
                      <a:avLst/>
                    </a:prstGeom>
                  </pic:spPr>
                </pic:pic>
              </a:graphicData>
            </a:graphic>
          </wp:inline>
        </w:drawing>
      </w:r>
    </w:p>
    <w:p>
      <w:pPr>
        <w:spacing w:after="240" w:before="60"/>
      </w:pPr>
      <w:r>
        <w:rPr>
          <w:rFonts w:ascii="Times New Roman" w:cs="Times New Roman" w:eastAsia="Times New Roman" w:hAnsi="Times New Roman"/>
          <w:i/>
          <w:iCs/>
          <w:sz w:val="24"/>
          <w:szCs w:val="24"/>
        </w:rPr>
        <w:t xml:space="preserve">Note.</w:t>
      </w:r>
      <w:r>
        <w:rPr>
          <w:rFonts w:ascii="Times New Roman" w:cs="Times New Roman" w:eastAsia="Times New Roman" w:hAnsi="Times New Roman"/>
          <w:sz w:val="24"/>
          <w:szCs w:val="24"/>
        </w:rPr>
        <w:t xml:space="preserve"> Items 1 to 30 cover emotional regulation and mental health symptoms, item 31 satisfaction with oneself and items 32 to 47 psychosocial work factors.</w:t>
      </w:r>
    </w:p>
    <w:p>
      <w:pPr>
        <w:keepNext/>
        <w:spacing w:before="240" w:line="480"/>
        <w:jc w:val="center"/>
      </w:pPr>
      <w:r>
        <w:rPr>
          <w:rFonts w:ascii="Times New Roman" w:cs="Times New Roman" w:eastAsia="Times New Roman" w:hAnsi="Times New Roman"/>
          <w:b/>
          <w:bCs/>
          <w:sz w:val="24"/>
          <w:szCs w:val="24"/>
        </w:rPr>
        <w:t xml:space="preserve">Discussion</w:t>
      </w:r>
    </w:p>
    <w:p>
      <w:pPr>
        <w:spacing w:after="0" w:line="480"/>
        <w:ind w:firstLine="720"/>
      </w:pPr>
      <w:r>
        <w:rPr>
          <w:rFonts w:ascii="Times New Roman" w:cs="Times New Roman" w:eastAsia="Times New Roman" w:hAnsi="Times New Roman"/>
          <w:sz w:val="24"/>
          <w:szCs w:val="24"/>
        </w:rPr>
        <w:t xml:space="preserve">Companies subject to NR-1 need to know whether the psychosocial risk indicators they collect remain stable between assessments. This study described stability and change in these indicators across anonymous monitoring waves among leaders and employees of two Brazilian companies. Most indicators were stable. No leader item changed over three waves, and 74 of 76 employee comparisons showed no difference. The two changes concerned job resources: freedom to organize one’s activities and encouragement to use creativity and knowledge decreased among employees of the larger company.</w:t>
      </w:r>
    </w:p>
    <w:p>
      <w:pPr>
        <w:spacing w:after="0" w:line="480"/>
        <w:ind w:firstLine="720"/>
      </w:pPr>
      <w:r>
        <w:rPr>
          <w:rFonts w:ascii="Times New Roman" w:cs="Times New Roman" w:eastAsia="Times New Roman" w:hAnsi="Times New Roman"/>
          <w:sz w:val="24"/>
          <w:szCs w:val="24"/>
        </w:rPr>
        <w:t xml:space="preserve">The predominance of stability is consistent with the view of psychosocial risk factors as conditions of work design, organization and management (International Organization for Standardization, 2021; Teixeira et al., 2025), which may change slowly over a few months. [Cite studies reporting the stability of psychosocial work factor measures over repeated assessments.] Stability across waves also suggests that the indicators did not fluctuate erratically between assessments, which is a precondition for their use in monitoring.</w:t>
      </w:r>
    </w:p>
    <w:p>
      <w:pPr>
        <w:spacing w:after="0" w:line="480"/>
        <w:ind w:firstLine="720"/>
      </w:pPr>
      <w:r>
        <w:rPr>
          <w:rFonts w:ascii="Times New Roman" w:cs="Times New Roman" w:eastAsia="Times New Roman" w:hAnsi="Times New Roman"/>
          <w:sz w:val="24"/>
          <w:szCs w:val="24"/>
        </w:rPr>
        <w:t xml:space="preserve">Both items that changed describe autonomy, a job resource in the Job Demands-Resources model (Bakker &amp; Demerouti, 2007; Demerouti et al., 2001). Low work autonomy has been associated with poorer mental health (Lu et al., 2023). In the present data, the decrease in autonomy items was not accompanied by changes in the symptom items of the same company. This pattern may indicate that a reduction in resources had not yet been reflected in symptoms, or that the change was too small to affect them. [Cite longitudinal evidence on the time lag between changes in job resources and mental health.]</w:t>
      </w:r>
    </w:p>
    <w:p>
      <w:pPr>
        <w:spacing w:after="0" w:line="480"/>
        <w:ind w:firstLine="720"/>
      </w:pPr>
      <w:r>
        <w:rPr>
          <w:rFonts w:ascii="Times New Roman" w:cs="Times New Roman" w:eastAsia="Times New Roman" w:hAnsi="Times New Roman"/>
          <w:sz w:val="24"/>
          <w:szCs w:val="24"/>
        </w:rPr>
        <w:t xml:space="preserve">The absence of change among leaders should be read in light of the sample sizes. With 15 or 16 leaders per wave in Company A and 6 or fewer in Company B, only large shifts could be detected. Leadership quality has predicted later mental distress among employees (Burr et al., 2025; Fløvik et al., 2020), so monitoring the demands placed on leaders remains relevant even when small samples limit statistical inference.</w:t>
      </w:r>
    </w:p>
    <w:p>
      <w:pPr>
        <w:spacing w:after="0" w:line="480"/>
        <w:ind w:firstLine="720"/>
      </w:pPr>
      <w:r>
        <w:rPr>
          <w:rFonts w:ascii="Times New Roman" w:cs="Times New Roman" w:eastAsia="Times New Roman" w:hAnsi="Times New Roman"/>
          <w:sz w:val="24"/>
          <w:szCs w:val="24"/>
        </w:rPr>
        <w:t xml:space="preserve">The item selection step removed 12 of the 20 leader items and 5 of the 43 employee items asked at both waves, because their wording changed between waves. This loss illustrates a practical requirement for monitoring under NR-1: item wording should be fixed before the first wave and kept unchanged, so that later waves can be compared with the first.</w:t>
      </w:r>
    </w:p>
    <w:p>
      <w:pPr>
        <w:keepNext/>
        <w:spacing w:line="480"/>
      </w:pPr>
      <w:r>
        <w:rPr>
          <w:rFonts w:ascii="Times New Roman" w:cs="Times New Roman" w:eastAsia="Times New Roman" w:hAnsi="Times New Roman"/>
          <w:b/>
          <w:bCs/>
          <w:sz w:val="24"/>
          <w:szCs w:val="24"/>
        </w:rPr>
        <w:t xml:space="preserve">Limitations</w:t>
      </w:r>
    </w:p>
    <w:p>
      <w:pPr>
        <w:spacing w:after="0" w:line="480"/>
        <w:ind w:firstLine="720"/>
      </w:pPr>
      <w:r>
        <w:rPr>
          <w:rFonts w:ascii="Times New Roman" w:cs="Times New Roman" w:eastAsia="Times New Roman" w:hAnsi="Times New Roman"/>
          <w:sz w:val="24"/>
          <w:szCs w:val="24"/>
        </w:rPr>
        <w:t xml:space="preserve">The design was repeated cross sectional. Responses could not be linked across waves, so changes in the composition of the respondents cannot be separated from changes within individuals. In Company B, the share of employees with less than one year in the company rose from 52.0% to 83.3%. The leader samples were small, and Company B had three leaders at T3. With 92 tests at a two sided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of .05 and no adjustment, about 4.6 significant results would be expected by chance, so the two significant findings should be treated as exploratory. The items have not been validated ([Authors], under review). The program delivered between waves and the absence of a comparison group prevent any causal interpretation of change or stability. All data were self reported, which exposes the comparisons to common method bias (Podsakoff et al., 2003).</w:t>
      </w:r>
    </w:p>
    <w:p>
      <w:pPr>
        <w:keepNext/>
        <w:spacing w:line="480"/>
      </w:pPr>
      <w:r>
        <w:rPr>
          <w:rFonts w:ascii="Times New Roman" w:cs="Times New Roman" w:eastAsia="Times New Roman" w:hAnsi="Times New Roman"/>
          <w:b/>
          <w:bCs/>
          <w:sz w:val="24"/>
          <w:szCs w:val="24"/>
        </w:rPr>
        <w:t xml:space="preserve">Future Directions</w:t>
      </w:r>
    </w:p>
    <w:p>
      <w:pPr>
        <w:spacing w:after="0" w:line="480"/>
        <w:ind w:firstLine="720"/>
      </w:pPr>
      <w:r>
        <w:rPr>
          <w:rFonts w:ascii="Times New Roman" w:cs="Times New Roman" w:eastAsia="Times New Roman" w:hAnsi="Times New Roman"/>
          <w:sz w:val="24"/>
          <w:szCs w:val="24"/>
        </w:rPr>
        <w:t xml:space="preserve">Future monitoring should fix item wording across waves, use anonymous linking codes that allow responses to be matched over time, and include more waves to describe trajectories rather than pairwise differences. Validated scale scores would allow change to be estimated on constructs rather than single items.</w:t>
      </w:r>
    </w:p>
    <w:p>
      <w:pPr>
        <w:keepNext/>
        <w:spacing w:line="480"/>
      </w:pPr>
      <w:r>
        <w:rPr>
          <w:rFonts w:ascii="Times New Roman" w:cs="Times New Roman" w:eastAsia="Times New Roman" w:hAnsi="Times New Roman"/>
          <w:b/>
          <w:bCs/>
          <w:sz w:val="24"/>
          <w:szCs w:val="24"/>
        </w:rPr>
        <w:t xml:space="preserve">Conclusion</w:t>
      </w:r>
    </w:p>
    <w:p>
      <w:pPr>
        <w:spacing w:after="0" w:line="480"/>
        <w:ind w:firstLine="720"/>
      </w:pPr>
      <w:r>
        <w:rPr>
          <w:rFonts w:ascii="Times New Roman" w:cs="Times New Roman" w:eastAsia="Times New Roman" w:hAnsi="Times New Roman"/>
          <w:sz w:val="24"/>
          <w:szCs w:val="24"/>
        </w:rPr>
        <w:t xml:space="preserve">Across four to eight months, psychosocial risk indicators among leaders and employees of two Brazilian companies were largely stable. The only changes were decreases in two job resource items among employees of one company.</w:t>
      </w:r>
    </w:p>
    <w:p>
      <w:pPr>
        <w:keepNext/>
        <w:spacing w:before="240" w:line="480"/>
        <w:jc w:val="center"/>
      </w:pPr>
      <w:r>
        <w:rPr>
          <w:rFonts w:ascii="Times New Roman" w:cs="Times New Roman" w:eastAsia="Times New Roman" w:hAnsi="Times New Roman"/>
          <w:b/>
          <w:bCs/>
          <w:sz w:val="24"/>
          <w:szCs w:val="24"/>
        </w:rPr>
        <w:t xml:space="preserve">References</w:t>
      </w:r>
    </w:p>
    <w:p>
      <w:pPr>
        <w:spacing w:line="480"/>
        <w:ind w:left="720" w:hanging="720"/>
      </w:pPr>
      <w:r>
        <w:rPr>
          <w:rFonts w:ascii="Times New Roman" w:cs="Times New Roman" w:eastAsia="Times New Roman" w:hAnsi="Times New Roman"/>
          <w:sz w:val="24"/>
          <w:szCs w:val="24"/>
        </w:rPr>
        <w:t xml:space="preserve">[Authors]. (under review). </w:t>
      </w:r>
      <w:r>
        <w:rPr>
          <w:rFonts w:ascii="Times New Roman" w:cs="Times New Roman" w:eastAsia="Times New Roman" w:hAnsi="Times New Roman"/>
          <w:i/>
          <w:iCs/>
          <w:sz w:val="24"/>
          <w:szCs w:val="24"/>
        </w:rPr>
        <w:t xml:space="preserve">Psychosocial work factors and mental health symptoms under NR-1: A feasibility study.</w:t>
      </w:r>
    </w:p>
    <w:p>
      <w:pPr>
        <w:spacing w:line="480"/>
        <w:ind w:left="720" w:hanging="720"/>
      </w:pPr>
      <w:r>
        <w:rPr>
          <w:rFonts w:ascii="Times New Roman" w:cs="Times New Roman" w:eastAsia="Times New Roman" w:hAnsi="Times New Roman"/>
          <w:sz w:val="24"/>
          <w:szCs w:val="24"/>
        </w:rPr>
        <w:t xml:space="preserve">Bakker, A. B., &amp; Demerouti, E. (2007). The Job Demands-Resources model: State of the art. </w:t>
      </w:r>
      <w:r>
        <w:rPr>
          <w:rFonts w:ascii="Times New Roman" w:cs="Times New Roman" w:eastAsia="Times New Roman" w:hAnsi="Times New Roman"/>
          <w:i/>
          <w:iCs/>
          <w:sz w:val="24"/>
          <w:szCs w:val="24"/>
        </w:rPr>
        <w:t xml:space="preserve">Journal of Managerial Psychology, 22</w:t>
      </w:r>
      <w:r>
        <w:rPr>
          <w:rFonts w:ascii="Times New Roman" w:cs="Times New Roman" w:eastAsia="Times New Roman" w:hAnsi="Times New Roman"/>
          <w:sz w:val="24"/>
          <w:szCs w:val="24"/>
        </w:rPr>
        <w:t xml:space="preserve">(3), 309–328. https://doi.org/10.1108/02683940710733115</w:t>
      </w:r>
    </w:p>
    <w:p>
      <w:pPr>
        <w:spacing w:line="480"/>
        <w:ind w:left="720" w:hanging="720"/>
      </w:pPr>
      <w:r>
        <w:rPr>
          <w:rFonts w:ascii="Times New Roman" w:cs="Times New Roman" w:eastAsia="Times New Roman" w:hAnsi="Times New Roman"/>
          <w:sz w:val="24"/>
          <w:szCs w:val="24"/>
        </w:rPr>
        <w:t xml:space="preserve">Burr, H., Kersten, N., Sørensen, K., Sørensen, J. K., Dalsager, L., Madsen, I. E. H., Schöllgen, I., d’Errico, A., Rose, U., &amp; Rugulies, R. (2025). A comparison among employees in Germany and Denmark of associations between quality of leadership and subsequent 5-year development of mental distress. </w:t>
      </w:r>
      <w:r>
        <w:rPr>
          <w:rFonts w:ascii="Times New Roman" w:cs="Times New Roman" w:eastAsia="Times New Roman" w:hAnsi="Times New Roman"/>
          <w:i/>
          <w:iCs/>
          <w:sz w:val="24"/>
          <w:szCs w:val="24"/>
        </w:rPr>
        <w:t xml:space="preserve">Scientific Reports, 15</w:t>
      </w:r>
      <w:r>
        <w:rPr>
          <w:rFonts w:ascii="Times New Roman" w:cs="Times New Roman" w:eastAsia="Times New Roman" w:hAnsi="Times New Roman"/>
          <w:sz w:val="24"/>
          <w:szCs w:val="24"/>
        </w:rPr>
        <w:t xml:space="preserve">(1), 7802. https://doi.org/10.1038/s41598-025-92650-0</w:t>
      </w:r>
    </w:p>
    <w:p>
      <w:pPr>
        <w:spacing w:line="480"/>
        <w:ind w:left="720" w:hanging="720"/>
      </w:pPr>
      <w:r>
        <w:rPr>
          <w:rFonts w:ascii="Times New Roman" w:cs="Times New Roman" w:eastAsia="Times New Roman" w:hAnsi="Times New Roman"/>
          <w:sz w:val="24"/>
          <w:szCs w:val="24"/>
        </w:rPr>
        <w:t xml:space="preserve">Conselho Nacional de Saúde. (2016). </w:t>
      </w:r>
      <w:r>
        <w:rPr>
          <w:rFonts w:ascii="Times New Roman" w:cs="Times New Roman" w:eastAsia="Times New Roman" w:hAnsi="Times New Roman"/>
          <w:i/>
          <w:iCs/>
          <w:sz w:val="24"/>
          <w:szCs w:val="24"/>
        </w:rPr>
        <w:t xml:space="preserve">Resolução nº 510, de 7 de abril de 2016. Dispõe sobre as normas aplicáveis a pesquisas em Ciências Humanas e Sociais.</w:t>
      </w:r>
      <w:r>
        <w:rPr>
          <w:rFonts w:ascii="Times New Roman" w:cs="Times New Roman" w:eastAsia="Times New Roman" w:hAnsi="Times New Roman"/>
          <w:sz w:val="24"/>
          <w:szCs w:val="24"/>
        </w:rPr>
        <w:t xml:space="preserve"> Diário Oficial da União. https://bvsms.saude.gov.br/bvs/saudelegis/cns/2016/res0510_07_04_2016.html</w:t>
      </w:r>
    </w:p>
    <w:p>
      <w:pPr>
        <w:spacing w:line="480"/>
        <w:ind w:left="720" w:hanging="720"/>
      </w:pPr>
      <w:r>
        <w:rPr>
          <w:rFonts w:ascii="Times New Roman" w:cs="Times New Roman" w:eastAsia="Times New Roman" w:hAnsi="Times New Roman"/>
          <w:sz w:val="24"/>
          <w:szCs w:val="24"/>
        </w:rPr>
        <w:t xml:space="preserve">Demerouti, E., Bakker, A. B., Nachreiner, F., &amp; Schaufeli, W. B. (2001). The job demands-resources model of burnout. </w:t>
      </w:r>
      <w:r>
        <w:rPr>
          <w:rFonts w:ascii="Times New Roman" w:cs="Times New Roman" w:eastAsia="Times New Roman" w:hAnsi="Times New Roman"/>
          <w:i/>
          <w:iCs/>
          <w:sz w:val="24"/>
          <w:szCs w:val="24"/>
        </w:rPr>
        <w:t xml:space="preserve">Journal of Applied Psychology, 86</w:t>
      </w:r>
      <w:r>
        <w:rPr>
          <w:rFonts w:ascii="Times New Roman" w:cs="Times New Roman" w:eastAsia="Times New Roman" w:hAnsi="Times New Roman"/>
          <w:sz w:val="24"/>
          <w:szCs w:val="24"/>
        </w:rPr>
        <w:t xml:space="preserve">(3), 499–512. https://doi.org/10.1037/0021-9010.86.3.499</w:t>
      </w:r>
    </w:p>
    <w:p>
      <w:pPr>
        <w:spacing w:line="480"/>
        <w:ind w:left="720" w:hanging="720"/>
      </w:pPr>
      <w:r>
        <w:rPr>
          <w:rFonts w:ascii="Times New Roman" w:cs="Times New Roman" w:eastAsia="Times New Roman" w:hAnsi="Times New Roman"/>
          <w:sz w:val="24"/>
          <w:szCs w:val="24"/>
        </w:rPr>
        <w:t xml:space="preserve">Fløvik, L., Knardahl, S., &amp; Christensen, J. O. (2020). How leadership behaviors influence the effects of job predictability and perceived employability on employee mental health: A multilevel, prospective study. </w:t>
      </w:r>
      <w:r>
        <w:rPr>
          <w:rFonts w:ascii="Times New Roman" w:cs="Times New Roman" w:eastAsia="Times New Roman" w:hAnsi="Times New Roman"/>
          <w:i/>
          <w:iCs/>
          <w:sz w:val="24"/>
          <w:szCs w:val="24"/>
        </w:rPr>
        <w:t xml:space="preserve">Scandinavian Journal of Work, Environment &amp; Health, 46</w:t>
      </w:r>
      <w:r>
        <w:rPr>
          <w:rFonts w:ascii="Times New Roman" w:cs="Times New Roman" w:eastAsia="Times New Roman" w:hAnsi="Times New Roman"/>
          <w:sz w:val="24"/>
          <w:szCs w:val="24"/>
        </w:rPr>
        <w:t xml:space="preserve">(4), 392–401. https://doi.org/10.5271/sjweh.3880</w:t>
      </w:r>
    </w:p>
    <w:p>
      <w:pPr>
        <w:spacing w:line="480"/>
        <w:ind w:left="720" w:hanging="720"/>
      </w:pPr>
      <w:r>
        <w:rPr>
          <w:rFonts w:ascii="Times New Roman" w:cs="Times New Roman" w:eastAsia="Times New Roman" w:hAnsi="Times New Roman"/>
          <w:sz w:val="24"/>
          <w:szCs w:val="24"/>
        </w:rPr>
        <w:t xml:space="preserve">Imboden, M. T., Wolfe, E., Evers, K., Ferrão, A., Mochari-Greenberger, H., Johnson, S., Kirsten, W., &amp; Seaverson, E. L. D. (2024). Evaluating workforce mental health and well-being: A review of assessments. </w:t>
      </w:r>
      <w:r>
        <w:rPr>
          <w:rFonts w:ascii="Times New Roman" w:cs="Times New Roman" w:eastAsia="Times New Roman" w:hAnsi="Times New Roman"/>
          <w:i/>
          <w:iCs/>
          <w:sz w:val="24"/>
          <w:szCs w:val="24"/>
        </w:rPr>
        <w:t xml:space="preserve">American Journal of Health Promotion, 38</w:t>
      </w:r>
      <w:r>
        <w:rPr>
          <w:rFonts w:ascii="Times New Roman" w:cs="Times New Roman" w:eastAsia="Times New Roman" w:hAnsi="Times New Roman"/>
          <w:sz w:val="24"/>
          <w:szCs w:val="24"/>
        </w:rPr>
        <w:t xml:space="preserve">(4), 540–559. https://doi.org/10.1177/08901171231223786</w:t>
      </w:r>
    </w:p>
    <w:p>
      <w:pPr>
        <w:spacing w:line="480"/>
        <w:ind w:left="720" w:hanging="720"/>
      </w:pPr>
      <w:r>
        <w:rPr>
          <w:rFonts w:ascii="Times New Roman" w:cs="Times New Roman" w:eastAsia="Times New Roman" w:hAnsi="Times New Roman"/>
          <w:sz w:val="24"/>
          <w:szCs w:val="24"/>
        </w:rPr>
        <w:t xml:space="preserve">International Organization for Standardization. (2021). </w:t>
      </w:r>
      <w:r>
        <w:rPr>
          <w:rFonts w:ascii="Times New Roman" w:cs="Times New Roman" w:eastAsia="Times New Roman" w:hAnsi="Times New Roman"/>
          <w:i/>
          <w:iCs/>
          <w:sz w:val="24"/>
          <w:szCs w:val="24"/>
        </w:rPr>
        <w:t xml:space="preserve">Occupational health and safety management: Psychological health and safety at work: Guidelines for managing psychosocial risks</w:t>
      </w:r>
      <w:r>
        <w:rPr>
          <w:rFonts w:ascii="Times New Roman" w:cs="Times New Roman" w:eastAsia="Times New Roman" w:hAnsi="Times New Roman"/>
          <w:sz w:val="24"/>
          <w:szCs w:val="24"/>
        </w:rPr>
        <w:t xml:space="preserve"> (ISO Standard No. 45003:2021). https://www.iso.org/standard/64283.html</w:t>
      </w:r>
    </w:p>
    <w:p>
      <w:pPr>
        <w:spacing w:line="480"/>
        <w:ind w:left="720" w:hanging="720"/>
      </w:pPr>
      <w:r>
        <w:rPr>
          <w:rFonts w:ascii="Times New Roman" w:cs="Times New Roman" w:eastAsia="Times New Roman" w:hAnsi="Times New Roman"/>
          <w:sz w:val="24"/>
          <w:szCs w:val="24"/>
        </w:rPr>
        <w:t xml:space="preserve">Lu, Z., Wang, S., Li, Y., Liu, X., &amp; Olsen, W. (2023). Who gains mental health benefits from work autonomy? The roles of gender and occupational class. </w:t>
      </w:r>
      <w:r>
        <w:rPr>
          <w:rFonts w:ascii="Times New Roman" w:cs="Times New Roman" w:eastAsia="Times New Roman" w:hAnsi="Times New Roman"/>
          <w:i/>
          <w:iCs/>
          <w:sz w:val="24"/>
          <w:szCs w:val="24"/>
        </w:rPr>
        <w:t xml:space="preserve">Applied Research in Quality of Life</w:t>
      </w:r>
      <w:r>
        <w:rPr>
          <w:rFonts w:ascii="Times New Roman" w:cs="Times New Roman" w:eastAsia="Times New Roman" w:hAnsi="Times New Roman"/>
          <w:sz w:val="24"/>
          <w:szCs w:val="24"/>
        </w:rPr>
        <w:t xml:space="preserve">, 1–23. https://doi.org/10.1007/s11482-023-10161-4</w:t>
      </w:r>
    </w:p>
    <w:p>
      <w:pPr>
        <w:spacing w:line="480"/>
        <w:ind w:left="720" w:hanging="720"/>
      </w:pPr>
      <w:r>
        <w:rPr>
          <w:rFonts w:ascii="Times New Roman" w:cs="Times New Roman" w:eastAsia="Times New Roman" w:hAnsi="Times New Roman"/>
          <w:sz w:val="24"/>
          <w:szCs w:val="24"/>
        </w:rPr>
        <w:t xml:space="preserve">Ministério do Trabalho e Emprego. (2024). </w:t>
      </w:r>
      <w:r>
        <w:rPr>
          <w:rFonts w:ascii="Times New Roman" w:cs="Times New Roman" w:eastAsia="Times New Roman" w:hAnsi="Times New Roman"/>
          <w:i/>
          <w:iCs/>
          <w:sz w:val="24"/>
          <w:szCs w:val="24"/>
        </w:rPr>
        <w:t xml:space="preserve">Portaria MTE nº 1.419, de 27 de agosto de 2024. Aprova a nova redação do capítulo 1.5 "Gerenciamento de Riscos Ocupacionais" e altera o Anexo I "Termos e Definições" da Norma Regulamentadora nº 1.</w:t>
      </w:r>
      <w:r>
        <w:rPr>
          <w:rFonts w:ascii="Times New Roman" w:cs="Times New Roman" w:eastAsia="Times New Roman" w:hAnsi="Times New Roman"/>
          <w:sz w:val="24"/>
          <w:szCs w:val="24"/>
        </w:rPr>
        <w:t xml:space="preserve"> Diário Oficial da União. https://www.gov.br/trabalho-e-emprego/pt-br/assuntos/inspecao-do-trabalho/seguranca-e-saude-no-trabalho/sst-portarias/2024/portaria-mte-no-1-419-nr-01-gro-nova-redacao.pdf</w:t>
      </w:r>
    </w:p>
    <w:p>
      <w:pPr>
        <w:spacing w:line="480"/>
        <w:ind w:left="720" w:hanging="720"/>
      </w:pPr>
      <w:r>
        <w:rPr>
          <w:rFonts w:ascii="Times New Roman" w:cs="Times New Roman" w:eastAsia="Times New Roman" w:hAnsi="Times New Roman"/>
          <w:sz w:val="24"/>
          <w:szCs w:val="24"/>
        </w:rPr>
        <w:t xml:space="preserve">Podsakoff, P. M., MacKenzie, S. B., Lee, J.-Y., &amp; Podsakoff, N. P. (2003). Common method biases in behavioral research: A critical review of the literature and recommended remedies. </w:t>
      </w:r>
      <w:r>
        <w:rPr>
          <w:rFonts w:ascii="Times New Roman" w:cs="Times New Roman" w:eastAsia="Times New Roman" w:hAnsi="Times New Roman"/>
          <w:i/>
          <w:iCs/>
          <w:sz w:val="24"/>
          <w:szCs w:val="24"/>
        </w:rPr>
        <w:t xml:space="preserve">Journal of Applied Psychology, 88</w:t>
      </w:r>
      <w:r>
        <w:rPr>
          <w:rFonts w:ascii="Times New Roman" w:cs="Times New Roman" w:eastAsia="Times New Roman" w:hAnsi="Times New Roman"/>
          <w:sz w:val="24"/>
          <w:szCs w:val="24"/>
        </w:rPr>
        <w:t xml:space="preserve">(5), 879–903. https://doi.org/10.1037/0021-9010.88.5.879</w:t>
      </w:r>
    </w:p>
    <w:p>
      <w:pPr>
        <w:spacing w:line="480"/>
        <w:ind w:left="720" w:hanging="720"/>
      </w:pPr>
      <w:r>
        <w:rPr>
          <w:rFonts w:ascii="Times New Roman" w:cs="Times New Roman" w:eastAsia="Times New Roman" w:hAnsi="Times New Roman"/>
          <w:sz w:val="24"/>
          <w:szCs w:val="24"/>
        </w:rPr>
        <w:t xml:space="preserve">Schulte, P. A., Sauter, S. L., Pandalai, S. P., Tiesman, H. M., Chosewood, L. C., Cunningham, T. R., Wurzelbacher, S. J., Pana-Cryan, R., Swanson, N. G., Chang, C.-C., Nigam, J. A. S., Reissman, D. B., Ray, T. K., &amp; Howard, J. (2024). An urgent call to address work-related psychosocial hazards and improve worker well-being. </w:t>
      </w:r>
      <w:r>
        <w:rPr>
          <w:rFonts w:ascii="Times New Roman" w:cs="Times New Roman" w:eastAsia="Times New Roman" w:hAnsi="Times New Roman"/>
          <w:i/>
          <w:iCs/>
          <w:sz w:val="24"/>
          <w:szCs w:val="24"/>
        </w:rPr>
        <w:t xml:space="preserve">American Journal of Industrial Medicine, 67</w:t>
      </w:r>
      <w:r>
        <w:rPr>
          <w:rFonts w:ascii="Times New Roman" w:cs="Times New Roman" w:eastAsia="Times New Roman" w:hAnsi="Times New Roman"/>
          <w:sz w:val="24"/>
          <w:szCs w:val="24"/>
        </w:rPr>
        <w:t xml:space="preserve">(6), 499–514. https://doi.org/10.1002/ajim.23583</w:t>
      </w:r>
    </w:p>
    <w:p>
      <w:pPr>
        <w:spacing w:line="480"/>
        <w:ind w:left="720" w:hanging="720"/>
      </w:pPr>
      <w:r>
        <w:rPr>
          <w:rFonts w:ascii="Times New Roman" w:cs="Times New Roman" w:eastAsia="Times New Roman" w:hAnsi="Times New Roman"/>
          <w:sz w:val="24"/>
          <w:szCs w:val="24"/>
        </w:rPr>
        <w:t xml:space="preserve">Teixeira, I. D. N., Silva, I. S., &amp; Cadime, I. M. D. (2025). Psychosocial risks at work: Integrative review and conceptual perspectives. </w:t>
      </w:r>
      <w:r>
        <w:rPr>
          <w:rFonts w:ascii="Times New Roman" w:cs="Times New Roman" w:eastAsia="Times New Roman" w:hAnsi="Times New Roman"/>
          <w:i/>
          <w:iCs/>
          <w:sz w:val="24"/>
          <w:szCs w:val="24"/>
        </w:rPr>
        <w:t xml:space="preserve">Revista Brasileira de Medicina do Trabalho, 23</w:t>
      </w:r>
      <w:r>
        <w:rPr>
          <w:rFonts w:ascii="Times New Roman" w:cs="Times New Roman" w:eastAsia="Times New Roman" w:hAnsi="Times New Roman"/>
          <w:sz w:val="24"/>
          <w:szCs w:val="24"/>
        </w:rPr>
        <w:t xml:space="preserve">(2), e20251464. https://doi.org/10.47626/1679-4435-2025-1464</w:t>
      </w:r>
    </w:p>
    <w:p>
      <w:pPr>
        <w:spacing w:line="480"/>
        <w:ind w:left="720" w:hanging="720"/>
      </w:pPr>
      <w:r>
        <w:rPr>
          <w:rFonts w:ascii="Times New Roman" w:cs="Times New Roman" w:eastAsia="Times New Roman" w:hAnsi="Times New Roman"/>
          <w:sz w:val="24"/>
          <w:szCs w:val="24"/>
        </w:rPr>
        <w:t xml:space="preserve">von Elm, E., Altman, D. G., Egger, M., Pocock, S. J., Gøtzsche, P. C., &amp; Vandenbroucke, J. P. (2007). The Strengthening the Reporting of Observational Studies in Epidemiology (STROBE) statement: Guidelines for reporting observational studies. </w:t>
      </w:r>
      <w:r>
        <w:rPr>
          <w:rFonts w:ascii="Times New Roman" w:cs="Times New Roman" w:eastAsia="Times New Roman" w:hAnsi="Times New Roman"/>
          <w:i/>
          <w:iCs/>
          <w:sz w:val="24"/>
          <w:szCs w:val="24"/>
        </w:rPr>
        <w:t xml:space="preserve">The Lancet, 370</w:t>
      </w:r>
      <w:r>
        <w:rPr>
          <w:rFonts w:ascii="Times New Roman" w:cs="Times New Roman" w:eastAsia="Times New Roman" w:hAnsi="Times New Roman"/>
          <w:sz w:val="24"/>
          <w:szCs w:val="24"/>
        </w:rPr>
        <w:t xml:space="preserve">(9596), 1453–1457. https://doi.org/10.1016/S0140-6736(07)61602-X</w:t>
      </w:r>
    </w:p>
    <w:p>
      <w:pPr>
        <w:spacing w:line="480"/>
        <w:ind w:left="720" w:hanging="720"/>
      </w:pPr>
      <w:r>
        <w:rPr>
          <w:rFonts w:ascii="Times New Roman" w:cs="Times New Roman" w:eastAsia="Times New Roman" w:hAnsi="Times New Roman"/>
          <w:sz w:val="24"/>
          <w:szCs w:val="24"/>
        </w:rPr>
        <w:t xml:space="preserve">World Health Organization. (2022). </w:t>
      </w:r>
      <w:r>
        <w:rPr>
          <w:rFonts w:ascii="Times New Roman" w:cs="Times New Roman" w:eastAsia="Times New Roman" w:hAnsi="Times New Roman"/>
          <w:i/>
          <w:iCs/>
          <w:sz w:val="24"/>
          <w:szCs w:val="24"/>
        </w:rPr>
        <w:t xml:space="preserve">WHO guidelines on mental health at work.</w:t>
      </w:r>
      <w:r>
        <w:rPr>
          <w:rFonts w:ascii="Times New Roman" w:cs="Times New Roman" w:eastAsia="Times New Roman" w:hAnsi="Times New Roman"/>
          <w:sz w:val="24"/>
          <w:szCs w:val="24"/>
        </w:rPr>
        <w:t xml:space="preserve"> https://www.who.int/publications/i/item/9789240053052</w:t>
      </w:r>
    </w:p>
    <w:p>
      <w:pPr>
        <w:sectPr>
          <w:headerReference w:type="default" r:id="rId9"/>
          <w:pgSz w:w="11906" w:h="16838" w:orient="portrait"/>
          <w:pgMar w:top="1440" w:right="1440" w:bottom="1440" w:left="1440" w:header="708" w:footer="708" w:gutter="0"/>
          <w:pgNumType/>
          <w:docGrid w:linePitch="360"/>
        </w:sectPr>
      </w:pPr>
    </w:p>
    <w:p>
      <w:pPr>
        <w:keepNext/>
        <w:spacing w:before="240" w:line="480"/>
        <w:jc w:val="center"/>
      </w:pPr>
      <w:r>
        <w:rPr>
          <w:rFonts w:ascii="Times New Roman" w:cs="Times New Roman" w:eastAsia="Times New Roman" w:hAnsi="Times New Roman"/>
          <w:b/>
          <w:bCs/>
          <w:sz w:val="24"/>
          <w:szCs w:val="24"/>
        </w:rPr>
        <w:t xml:space="preserve">Supplementary Material</w:t>
      </w:r>
    </w:p>
    <w:p>
      <w:pPr>
        <w:keepNext/>
        <w:spacing w:before="240"/>
      </w:pPr>
      <w:r>
        <w:rPr>
          <w:rFonts w:ascii="Times New Roman" w:cs="Times New Roman" w:eastAsia="Times New Roman" w:hAnsi="Times New Roman"/>
          <w:b/>
          <w:bCs/>
          <w:sz w:val="24"/>
          <w:szCs w:val="24"/>
        </w:rPr>
        <w:t xml:space="preserve">Table S1</w:t>
      </w:r>
    </w:p>
    <w:p>
      <w:pPr>
        <w:keepNext/>
        <w:spacing w:after="120"/>
      </w:pPr>
      <w:r>
        <w:rPr>
          <w:rFonts w:ascii="Times New Roman" w:cs="Times New Roman" w:eastAsia="Times New Roman" w:hAnsi="Times New Roman"/>
          <w:i/>
          <w:iCs/>
          <w:sz w:val="24"/>
          <w:szCs w:val="24"/>
        </w:rPr>
        <w:t xml:space="preserve">Responses to the Stable Employee Items by Wave in Company A</w:t>
      </w:r>
    </w:p>
    <w:tbl>
      <w:tblPr>
        <w:tblW w:type="dxa" w:w="13800"/>
        <w:tblBorders>
          <w:top w:val="single" w:color="000000" w:sz="4"/>
          <w:left w:val="none" w:color="FFFFFF" w:sz="0"/>
          <w:bottom w:val="single" w:color="000000" w:sz="4"/>
          <w:right w:val="none" w:color="FFFFFF" w:sz="0"/>
          <w:insideH w:val="none" w:color="FFFFFF" w:sz="0"/>
          <w:insideV w:val="none" w:color="FFFFFF" w:sz="0"/>
        </w:tblBorders>
      </w:tblPr>
      <w:tblGrid>
        <w:gridCol w:w="5600"/>
        <w:gridCol w:w="2600"/>
        <w:gridCol w:w="1350"/>
        <w:gridCol w:w="1350"/>
        <w:gridCol w:w="900"/>
        <w:gridCol w:w="2000"/>
      </w:tblGrid>
      <w:tr>
        <w:trPr>
          <w:tblHeader/>
        </w:trPr>
        <w:tc>
          <w:tcPr>
            <w:tcW w:type="dxa" w:w="560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left"/>
            </w:pPr>
            <w:r>
              <w:rPr>
                <w:rFonts w:ascii="Times New Roman" w:cs="Times New Roman" w:eastAsia="Times New Roman" w:hAnsi="Times New Roman"/>
                <w:sz w:val="24"/>
                <w:szCs w:val="24"/>
              </w:rPr>
              <w:t xml:space="preserve">Item</w:t>
            </w:r>
          </w:p>
        </w:tc>
        <w:tc>
          <w:tcPr>
            <w:tcW w:type="dxa" w:w="260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left"/>
            </w:pPr>
            <w:r>
              <w:rPr>
                <w:rFonts w:ascii="Times New Roman" w:cs="Times New Roman" w:eastAsia="Times New Roman" w:hAnsi="Times New Roman"/>
                <w:sz w:val="24"/>
                <w:szCs w:val="24"/>
              </w:rPr>
              <w:t xml:space="preserve">Response</w:t>
            </w:r>
          </w:p>
        </w:tc>
        <w:tc>
          <w:tcPr>
            <w:tcW w:type="dxa" w:w="135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center"/>
            </w:pPr>
            <w:r>
              <w:rPr>
                <w:rFonts w:ascii="Times New Roman" w:cs="Times New Roman" w:eastAsia="Times New Roman" w:hAnsi="Times New Roman"/>
                <w:sz w:val="24"/>
                <w:szCs w:val="24"/>
              </w:rPr>
              <w:t xml:space="preserve">T1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86)</w:t>
            </w:r>
          </w:p>
        </w:tc>
        <w:tc>
          <w:tcPr>
            <w:tcW w:type="dxa" w:w="135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center"/>
            </w:pPr>
            <w:r>
              <w:rPr>
                <w:rFonts w:ascii="Times New Roman" w:cs="Times New Roman" w:eastAsia="Times New Roman" w:hAnsi="Times New Roman"/>
                <w:sz w:val="24"/>
                <w:szCs w:val="24"/>
              </w:rPr>
              <w:t xml:space="preserve">T2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86)</w:t>
            </w:r>
          </w:p>
        </w:tc>
        <w:tc>
          <w:tcPr>
            <w:tcW w:type="dxa" w:w="90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center"/>
            </w:pPr>
            <w:r>
              <w:rPr>
                <w:rFonts w:ascii="Times New Roman" w:cs="Times New Roman" w:eastAsia="Times New Roman" w:hAnsi="Times New Roman"/>
                <w:i/>
                <w:iCs/>
                <w:sz w:val="24"/>
                <w:szCs w:val="24"/>
              </w:rPr>
              <w:t xml:space="preserve">p</w:t>
            </w:r>
          </w:p>
        </w:tc>
        <w:tc>
          <w:tcPr>
            <w:tcW w:type="dxa" w:w="200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center"/>
            </w:pPr>
            <w:r>
              <w:rPr>
                <w:rFonts w:ascii="Times New Roman" w:cs="Times New Roman" w:eastAsia="Times New Roman" w:hAnsi="Times New Roman"/>
                <w:sz w:val="24"/>
                <w:szCs w:val="24"/>
              </w:rPr>
              <w:t xml:space="preserve">Post hoc</w:t>
            </w: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34. Tem liberdade para organizar suas atividades? (ex.: escolher a ordem das tarefas)</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&lt; .001</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T1 &gt; T2</w:t>
            </w: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17</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78</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61</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35. É encorajado(a) a usar criatividade e conhecimento? (ex.: sugerir melhorias ou novas ideias)</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.015</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T1 &gt; T2</w:t>
            </w: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11</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16</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69</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61</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4. Cobra demais de si mesmo(a)? (ex.: sentir que nunca fez o suficiente)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.054</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14</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20</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69</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61</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31. Sente-se satisfeito(a) consigo e com suas escolhas? (ex.: acreditar que está seguindo o caminho certo)</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10</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.069</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28</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51</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41</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Consegue lidar bem com frustrações e imprevistos? (ex.: manter a calma mesmo quando não cumpre um prazo)</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12</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.091</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28</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27</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46</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55</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21. Anda esquecido(a) ou com déficit de memória? (ex.: esquecer compromissos ou nomes)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26</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38</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.105</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32</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25</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27</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22</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15. Tem dores de cabeça ou dores musculares?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26</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30</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.125</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19</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26</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40</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30</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17. Tem dificuldas para dormir?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37</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45</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.128</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24</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27</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25</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44. Sente-se à vontade para falar com sua liderança? (ex.: expressar expectativas e conflitos sem medo)</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.167</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11</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14</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71</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61</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26. Costuma sentir ansiedade ou angústia? (ex.: sentir aperto no peito sem motivo claro)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28</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32</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.182</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19</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26</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39</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27</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32. Está satisfeito(a) com sua função atual? (ex.: sentir que exerce um papel adequado a você)</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9</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.192</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18</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19</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62</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56</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33. A empresa confia em sua capacidade de decisão? (ex.: resolver problemas sem pedir autorização para tudo)</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13</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.235</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19</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19</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59</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52</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Mantém o autocontrole em situações de estresse ou conflito? (ex.: não perder a cabeça em discussões)</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.246</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23</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24</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60</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58</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25. Tem falta ou excesso de apetite? (ex.: assaltar a geladeira à noite ou pular refeições)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29</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34</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.252</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19</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24</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38</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27</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30. Tem vontade de desistir de viver? (ex.: pensamentos sobre morte ou não continuar)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65</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73</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.265</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13</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8</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4</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45. Recebe feedback para melhorar seu desempenho? (ex.: orientações claras e úteis)</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9</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.297</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12</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18</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66</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55</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 Consegue ser assertivo sem elevar o tom de voz ou ser agressivo? (ex.: falar o que precisa sem gritar)</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.299</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11</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14</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72</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70</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16. Costuma sentir-se cansado(a)? (ex.: acordar sem energia mesmo após dormir)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15</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13</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.326</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21</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35</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50</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38</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37. Sente-se pertencente à equipe e à empresa? (ex.: sentir-se parte do grupo)</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.338</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9</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76</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67</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6. Sofre por antecipação? (ex.: preocupar-se com algo que ainda nem aconteceu)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11</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14</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.362</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18</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22</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57</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50</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27. Tem queda de cabelo sem causa aparente?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40</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48</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.409</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19</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15</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27</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21</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22. Tem dores de estômago ou problemas intestinais?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52</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42</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.413</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20</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26</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14</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17</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47. Sua liderança demonstra preocupação com seu bem-estar? (ex.: perguntar como você está e oferecer apoio)</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11</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.435</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14</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11</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61</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63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36. Os colaboradores se respeitam e se preocupam uns com os outros? (ex.: ausência de humilhação ou competição tóxica)</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.470</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11</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16</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70</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61</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10. Considera-se tímido(a) ou inseguro(a)?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43</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37</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.474</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21</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31</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22</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18</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23. Tem sentimentos de inferioridade? (ex.: acreditar que não é bom o bastante)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36</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35</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.494</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24</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26</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27</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28. Tem pensamentos perturbadores? (ex.: imaginar cenários negativos ou pensamentos angustiantes)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42</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46</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.563</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16</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19</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28</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19</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7. Remói situações do passado? (ex.: lembrar com frequência de mágoas antigas)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30</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29</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.574</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24</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32</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32</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25</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19. Percebe-se triste ou com humor depressivo? (ex.: falta de prazer nas atividades diárias)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44</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42</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.669</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22</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32</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20</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11</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42. Todos são bem tratados independentemente de diferenças pessoais? (ex.: ausência de preconceito por idade, gênero ou etnia)</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.682</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9</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72</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74</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46. Recebe treinamentos adequados? (ex.: aprender o necessário para cumprir suas funções)</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.712</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12</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66</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64</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29. Tem chorado mais ultimamente? (ex.: chorar por situações pequenas)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50</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59</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.752</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16</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20</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12</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20. Costuma ter dificuldade de concentração? (ex.: iniciar tarefas e não concluir)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39</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38</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.758</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29</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31</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18</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16</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24. Percebe diminuição da libido? (ex.: perda de interesse sexual)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41</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41</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.832</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26</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27</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19</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17</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40. Os colaboradores possuem as mesmas oportunidades? (ex.: promoções sem favoritismo)</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12</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13</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.934</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22</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17</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52</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52</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18. Sente-se desmotivado(a) ou desanimado(a)? (ex.: sem vontade de iniciar tarefas simples)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34</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30</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.938</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34</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44</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18</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11</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38. Existe senso de equipe? (ex.: colaboração entre os profissionais)</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.956</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12</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73</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70</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43. Tem acesso aos equipamentoe e materiais adequados para desempenhar suas tarefas?</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.973</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82</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77</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single" w:color="000000" w:sz="4"/>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57. Há quanto está atuando nessa empresa?</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até 6 meses</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39</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35</w:t>
            </w:r>
          </w:p>
        </w:tc>
        <w:tc>
          <w:tcPr>
            <w:tcW w:type="dxa" w:w="900"/>
            <w:vMerge w:val="restart"/>
            <w:tcBorders>
              <w:top w:val="none" w:color="FFFFFF" w:sz="0"/>
              <w:left w:val="none" w:color="FFFFFF" w:sz="0"/>
              <w:bottom w:val="single" w:color="000000" w:sz="4"/>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w:t>
            </w:r>
          </w:p>
        </w:tc>
        <w:tc>
          <w:tcPr>
            <w:tcW w:type="dxa" w:w="2000"/>
            <w:vMerge w:val="restart"/>
            <w:tcBorders>
              <w:top w:val="none" w:color="FFFFFF" w:sz="0"/>
              <w:left w:val="none" w:color="FFFFFF" w:sz="0"/>
              <w:bottom w:val="single" w:color="000000" w:sz="4"/>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single" w:color="000000" w:sz="4"/>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de 6 meses a 1 ano</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16</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19</w:t>
            </w:r>
          </w:p>
        </w:tc>
        <w:tc>
          <w:tcPr>
            <w:vMerge w:val="continue"/>
            <w:tcBorders>
              <w:top w:val="none" w:color="FFFFFF" w:sz="0"/>
              <w:left w:val="none" w:color="FFFFFF" w:sz="0"/>
              <w:bottom w:val="single" w:color="000000" w:sz="4"/>
              <w:right w:val="none" w:color="FFFFFF" w:sz="0"/>
            </w:tcBorders>
          </w:tcPr>
          <w:p/>
        </w:tc>
        <w:tc>
          <w:tcPr>
            <w:vMerge w:val="continue"/>
            <w:tcBorders>
              <w:top w:val="none" w:color="FFFFFF" w:sz="0"/>
              <w:left w:val="none" w:color="FFFFFF" w:sz="0"/>
              <w:bottom w:val="single" w:color="000000" w:sz="4"/>
              <w:right w:val="none" w:color="FFFFFF" w:sz="0"/>
            </w:tcBorders>
          </w:tcPr>
          <w:p/>
        </w:tc>
      </w:tr>
      <w:tr>
        <w:trPr>
          <w:cantSplit/>
        </w:trPr>
        <w:tc>
          <w:tcPr>
            <w:vMerge w:val="continue"/>
            <w:tcBorders>
              <w:top w:val="none" w:color="FFFFFF" w:sz="0"/>
              <w:left w:val="none" w:color="FFFFFF" w:sz="0"/>
              <w:bottom w:val="single" w:color="000000" w:sz="4"/>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 de 1 ano a 2 anos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9</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9</w:t>
            </w:r>
          </w:p>
        </w:tc>
        <w:tc>
          <w:tcPr>
            <w:vMerge w:val="continue"/>
            <w:tcBorders>
              <w:top w:val="none" w:color="FFFFFF" w:sz="0"/>
              <w:left w:val="none" w:color="FFFFFF" w:sz="0"/>
              <w:bottom w:val="single" w:color="000000" w:sz="4"/>
              <w:right w:val="none" w:color="FFFFFF" w:sz="0"/>
            </w:tcBorders>
          </w:tcPr>
          <w:p/>
        </w:tc>
        <w:tc>
          <w:tcPr>
            <w:vMerge w:val="continue"/>
            <w:tcBorders>
              <w:top w:val="none" w:color="FFFFFF" w:sz="0"/>
              <w:left w:val="none" w:color="FFFFFF" w:sz="0"/>
              <w:bottom w:val="single" w:color="000000" w:sz="4"/>
              <w:right w:val="none" w:color="FFFFFF" w:sz="0"/>
            </w:tcBorders>
          </w:tcPr>
          <w:p/>
        </w:tc>
      </w:tr>
      <w:tr>
        <w:trPr>
          <w:cantSplit/>
        </w:trPr>
        <w:tc>
          <w:tcPr>
            <w:vMerge w:val="continue"/>
            <w:tcBorders>
              <w:top w:val="none" w:color="FFFFFF" w:sz="0"/>
              <w:left w:val="none" w:color="FFFFFF" w:sz="0"/>
              <w:bottom w:val="single" w:color="000000" w:sz="4"/>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(4) de 2 anos a 4 anos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12</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12</w:t>
            </w:r>
          </w:p>
        </w:tc>
        <w:tc>
          <w:tcPr>
            <w:vMerge w:val="continue"/>
            <w:tcBorders>
              <w:top w:val="none" w:color="FFFFFF" w:sz="0"/>
              <w:left w:val="none" w:color="FFFFFF" w:sz="0"/>
              <w:bottom w:val="single" w:color="000000" w:sz="4"/>
              <w:right w:val="none" w:color="FFFFFF" w:sz="0"/>
            </w:tcBorders>
          </w:tcPr>
          <w:p/>
        </w:tc>
        <w:tc>
          <w:tcPr>
            <w:vMerge w:val="continue"/>
            <w:tcBorders>
              <w:top w:val="none" w:color="FFFFFF" w:sz="0"/>
              <w:left w:val="none" w:color="FFFFFF" w:sz="0"/>
              <w:bottom w:val="single" w:color="000000" w:sz="4"/>
              <w:right w:val="none" w:color="FFFFFF" w:sz="0"/>
            </w:tcBorders>
          </w:tcPr>
          <w:p/>
        </w:tc>
      </w:tr>
      <w:tr>
        <w:trPr>
          <w:cantSplit/>
        </w:trPr>
        <w:tc>
          <w:tcPr>
            <w:vMerge w:val="continue"/>
            <w:tcBorders>
              <w:top w:val="none" w:color="FFFFFF" w:sz="0"/>
              <w:left w:val="none" w:color="FFFFFF" w:sz="0"/>
              <w:bottom w:val="single" w:color="000000" w:sz="4"/>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(5) 4 anos a 6 anos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vMerge w:val="continue"/>
            <w:tcBorders>
              <w:top w:val="none" w:color="FFFFFF" w:sz="0"/>
              <w:left w:val="none" w:color="FFFFFF" w:sz="0"/>
              <w:bottom w:val="single" w:color="000000" w:sz="4"/>
              <w:right w:val="none" w:color="FFFFFF" w:sz="0"/>
            </w:tcBorders>
          </w:tcPr>
          <w:p/>
        </w:tc>
        <w:tc>
          <w:tcPr>
            <w:vMerge w:val="continue"/>
            <w:tcBorders>
              <w:top w:val="none" w:color="FFFFFF" w:sz="0"/>
              <w:left w:val="none" w:color="FFFFFF" w:sz="0"/>
              <w:bottom w:val="single" w:color="000000" w:sz="4"/>
              <w:right w:val="none" w:color="FFFFFF" w:sz="0"/>
            </w:tcBorders>
          </w:tcPr>
          <w:p/>
        </w:tc>
      </w:tr>
      <w:tr>
        <w:trPr>
          <w:cantSplit/>
        </w:trPr>
        <w:tc>
          <w:tcPr>
            <w:vMerge w:val="continue"/>
            <w:tcBorders>
              <w:top w:val="none" w:color="FFFFFF" w:sz="0"/>
              <w:left w:val="none" w:color="FFFFFF" w:sz="0"/>
              <w:bottom w:val="single" w:color="000000" w:sz="4"/>
              <w:right w:val="none" w:color="FFFFFF" w:sz="0"/>
            </w:tcBorders>
          </w:tcPr>
          <w:p/>
        </w:tc>
        <w:tc>
          <w:tcPr>
            <w:tcW w:type="dxa" w:w="2600"/>
            <w:tcBorders>
              <w:top w:val="none" w:color="FFFFFF" w:sz="0"/>
              <w:left w:val="none" w:color="FFFFFF" w:sz="0"/>
              <w:bottom w:val="single" w:color="000000" w:sz="4"/>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(6) mais de 6 anos</w:t>
            </w:r>
          </w:p>
        </w:tc>
        <w:tc>
          <w:tcPr>
            <w:tcW w:type="dxa" w:w="1350"/>
            <w:tcBorders>
              <w:top w:val="none" w:color="FFFFFF" w:sz="0"/>
              <w:left w:val="none" w:color="FFFFFF" w:sz="0"/>
              <w:bottom w:val="single" w:color="000000" w:sz="4"/>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w:t>
            </w:r>
          </w:p>
        </w:tc>
        <w:tc>
          <w:tcPr>
            <w:tcW w:type="dxa" w:w="1350"/>
            <w:tcBorders>
              <w:top w:val="none" w:color="FFFFFF" w:sz="0"/>
              <w:left w:val="none" w:color="FFFFFF" w:sz="0"/>
              <w:bottom w:val="single" w:color="000000" w:sz="4"/>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3</w:t>
            </w:r>
          </w:p>
        </w:tc>
        <w:tc>
          <w:tcPr>
            <w:vMerge w:val="continue"/>
            <w:tcBorders>
              <w:top w:val="none" w:color="FFFFFF" w:sz="0"/>
              <w:left w:val="none" w:color="FFFFFF" w:sz="0"/>
              <w:bottom w:val="single" w:color="000000" w:sz="4"/>
              <w:right w:val="none" w:color="FFFFFF" w:sz="0"/>
            </w:tcBorders>
          </w:tcPr>
          <w:p/>
        </w:tc>
        <w:tc>
          <w:tcPr>
            <w:vMerge w:val="continue"/>
            <w:tcBorders>
              <w:top w:val="none" w:color="FFFFFF" w:sz="0"/>
              <w:left w:val="none" w:color="FFFFFF" w:sz="0"/>
              <w:bottom w:val="single" w:color="000000" w:sz="4"/>
              <w:right w:val="none" w:color="FFFFFF" w:sz="0"/>
            </w:tcBorders>
          </w:tcPr>
          <w:p/>
        </w:tc>
      </w:tr>
    </w:tbl>
    <w:p>
      <w:pPr>
        <w:spacing w:after="240" w:before="60"/>
      </w:pPr>
      <w:r>
        <w:rPr>
          <w:rFonts w:ascii="Times New Roman" w:cs="Times New Roman" w:eastAsia="Times New Roman" w:hAnsi="Times New Roman"/>
          <w:i/>
          <w:iCs/>
          <w:sz w:val="24"/>
          <w:szCs w:val="24"/>
        </w:rPr>
        <w:t xml:space="preserve">Note.</w:t>
      </w:r>
      <w:r>
        <w:rPr>
          <w:rFonts w:ascii="Times New Roman" w:cs="Times New Roman" w:eastAsia="Times New Roman" w:hAnsi="Times New Roman"/>
          <w:sz w:val="24"/>
          <w:szCs w:val="24"/>
        </w:rPr>
        <w:t xml:space="preserve"> Counts of respondents by wave. Responses on the original frequency scale were grouped for display as nunca/raramente (never or rarely; 1 to 2), às vezes (sometimes; 3) and muitas vezes/sempre (often or always; 4 to 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values are from Wilcoxon rank sum (Mann-Whitney) tests on the original five point responses, without adjustment for multiplicity; post hoc gives the direction of the difference when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Items appear in the original Portuguese wording of the first wave and are ordered by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Items 17 and 43 received typographical corrections in the second wave. Item 57 (tenure) is descriptive.</w:t>
      </w:r>
    </w:p>
    <w:p>
      <w:pPr>
        <w:spacing w:after="240"/>
      </w:pPr>
      <w:r>
        <w:rPr>
          <w:rFonts w:ascii="Times New Roman" w:cs="Times New Roman" w:eastAsia="Times New Roman" w:hAnsi="Times New Roman"/>
          <w:sz w:val="24"/>
          <w:szCs w:val="24"/>
        </w:rPr>
        <w:t xml:space="preserve">† Risk item: higher frequency indicates higher risk.</w:t>
      </w:r>
    </w:p>
    <w:p>
      <w:pPr>
        <w:keepNext/>
        <w:spacing w:before="240"/>
      </w:pPr>
      <w:r>
        <w:rPr>
          <w:rFonts w:ascii="Times New Roman" w:cs="Times New Roman" w:eastAsia="Times New Roman" w:hAnsi="Times New Roman"/>
          <w:b/>
          <w:bCs/>
          <w:sz w:val="24"/>
          <w:szCs w:val="24"/>
        </w:rPr>
        <w:t xml:space="preserve">Table S2</w:t>
      </w:r>
    </w:p>
    <w:p>
      <w:pPr>
        <w:keepNext/>
        <w:spacing w:after="120"/>
      </w:pPr>
      <w:r>
        <w:rPr>
          <w:rFonts w:ascii="Times New Roman" w:cs="Times New Roman" w:eastAsia="Times New Roman" w:hAnsi="Times New Roman"/>
          <w:i/>
          <w:iCs/>
          <w:sz w:val="24"/>
          <w:szCs w:val="24"/>
        </w:rPr>
        <w:t xml:space="preserve">Responses to the Stable Employee Items by Wave in Company B</w:t>
      </w:r>
    </w:p>
    <w:tbl>
      <w:tblPr>
        <w:tblW w:type="dxa" w:w="13800"/>
        <w:tblBorders>
          <w:top w:val="single" w:color="000000" w:sz="4"/>
          <w:left w:val="none" w:color="FFFFFF" w:sz="0"/>
          <w:bottom w:val="single" w:color="000000" w:sz="4"/>
          <w:right w:val="none" w:color="FFFFFF" w:sz="0"/>
          <w:insideH w:val="none" w:color="FFFFFF" w:sz="0"/>
          <w:insideV w:val="none" w:color="FFFFFF" w:sz="0"/>
        </w:tblBorders>
      </w:tblPr>
      <w:tblGrid>
        <w:gridCol w:w="5600"/>
        <w:gridCol w:w="2600"/>
        <w:gridCol w:w="1350"/>
        <w:gridCol w:w="1350"/>
        <w:gridCol w:w="900"/>
        <w:gridCol w:w="2000"/>
      </w:tblGrid>
      <w:tr>
        <w:trPr>
          <w:tblHeader/>
        </w:trPr>
        <w:tc>
          <w:tcPr>
            <w:tcW w:type="dxa" w:w="560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left"/>
            </w:pPr>
            <w:r>
              <w:rPr>
                <w:rFonts w:ascii="Times New Roman" w:cs="Times New Roman" w:eastAsia="Times New Roman" w:hAnsi="Times New Roman"/>
                <w:sz w:val="24"/>
                <w:szCs w:val="24"/>
              </w:rPr>
              <w:t xml:space="preserve">Item</w:t>
            </w:r>
          </w:p>
        </w:tc>
        <w:tc>
          <w:tcPr>
            <w:tcW w:type="dxa" w:w="260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left"/>
            </w:pPr>
            <w:r>
              <w:rPr>
                <w:rFonts w:ascii="Times New Roman" w:cs="Times New Roman" w:eastAsia="Times New Roman" w:hAnsi="Times New Roman"/>
                <w:sz w:val="24"/>
                <w:szCs w:val="24"/>
              </w:rPr>
              <w:t xml:space="preserve">Response</w:t>
            </w:r>
          </w:p>
        </w:tc>
        <w:tc>
          <w:tcPr>
            <w:tcW w:type="dxa" w:w="135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center"/>
            </w:pPr>
            <w:r>
              <w:rPr>
                <w:rFonts w:ascii="Times New Roman" w:cs="Times New Roman" w:eastAsia="Times New Roman" w:hAnsi="Times New Roman"/>
                <w:sz w:val="24"/>
                <w:szCs w:val="24"/>
              </w:rPr>
              <w:t xml:space="preserve">T1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25)</w:t>
            </w:r>
          </w:p>
        </w:tc>
        <w:tc>
          <w:tcPr>
            <w:tcW w:type="dxa" w:w="135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center"/>
            </w:pPr>
            <w:r>
              <w:rPr>
                <w:rFonts w:ascii="Times New Roman" w:cs="Times New Roman" w:eastAsia="Times New Roman" w:hAnsi="Times New Roman"/>
                <w:sz w:val="24"/>
                <w:szCs w:val="24"/>
              </w:rPr>
              <w:t xml:space="preserve">T2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19)</w:t>
            </w:r>
          </w:p>
        </w:tc>
        <w:tc>
          <w:tcPr>
            <w:tcW w:type="dxa" w:w="90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center"/>
            </w:pPr>
            <w:r>
              <w:rPr>
                <w:rFonts w:ascii="Times New Roman" w:cs="Times New Roman" w:eastAsia="Times New Roman" w:hAnsi="Times New Roman"/>
                <w:i/>
                <w:iCs/>
                <w:sz w:val="24"/>
                <w:szCs w:val="24"/>
              </w:rPr>
              <w:t xml:space="preserve">p</w:t>
            </w:r>
          </w:p>
        </w:tc>
        <w:tc>
          <w:tcPr>
            <w:tcW w:type="dxa" w:w="2000"/>
            <w:tcBorders>
              <w:top w:val="single" w:color="000000" w:sz="4"/>
              <w:left w:val="none" w:color="FFFFFF" w:sz="0"/>
              <w:bottom w:val="single" w:color="000000" w:sz="4"/>
              <w:right w:val="none" w:color="FFFFFF" w:sz="0"/>
            </w:tcBorders>
            <w:tcMar>
              <w:top w:type="dxa" w:w="0"/>
              <w:left w:type="dxa" w:w="60"/>
              <w:bottom w:type="dxa" w:w="0"/>
              <w:right w:type="dxa" w:w="60"/>
            </w:tcMar>
            <w:vAlign w:val="bottom"/>
          </w:tcPr>
          <w:p>
            <w:pPr>
              <w:jc w:val="center"/>
            </w:pPr>
            <w:r>
              <w:rPr>
                <w:rFonts w:ascii="Times New Roman" w:cs="Times New Roman" w:eastAsia="Times New Roman" w:hAnsi="Times New Roman"/>
                <w:sz w:val="24"/>
                <w:szCs w:val="24"/>
              </w:rPr>
              <w:t xml:space="preserve">Post hoc</w:t>
            </w: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37. Sente-se pertencente à equipe e à empresa? (ex.: sentir-se parte do grupo)</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.114</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18</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10</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45. Recebe feedback para melhorar seu desempenho? (ex.: orientações claras e úteis)</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.144</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16</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8</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16. Costuma sentir-se cansado(a)? (ex.: acordar sem energia mesmo após dormir)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11</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.144</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8</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10</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47. Sua liderança demonstra preocupação com seu bem-estar? (ex.: perguntar como você está e oferecer apoio)</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.174</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15</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8</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34. Tem liberdade para organizar suas atividades? (ex.: escolher a ordem das tarefas)</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.202</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19</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16</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27. Tem queda de cabelo sem causa aparente?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18</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11</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.203</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3</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4</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26. Costuma sentir ansiedade ou angústia? (ex.: sentir aperto no peito sem motivo claro)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12</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.284</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9</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7</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 Consegue ser assertivo sem elevar o tom de voz ou ser agressivo? (ex.: falar o que precisa sem gritar)</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.334</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19</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Mantém o autocontrole em situações de estresse ou conflito? (ex.: não perder a cabeça em discussões)</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.350</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19</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12</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28. Tem pensamentos perturbadores? (ex.: imaginar cenários negativos ou pensamentos angustiantes)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13</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.390</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5</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5</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24. Percebe diminuição da libido? (ex.: perda de interesse sexual)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18</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11</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.405</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4</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4</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10. Considera-se tímido(a) ou inseguro(a)?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14</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9</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.418</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5</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6</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33. A empresa confia em sua capacidade de decisão? (ex.: resolver problemas sem pedir autorização para tudo)</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.419</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14</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9</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15. Tem dores de cabeça ou dores musculares?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14</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.477</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10</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8</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38. Existe senso de equipe? (ex.: colaboração entre os profissionais)</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.495</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17</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32. Está satisfeito(a) com sua função atual? (ex.: sentir que exerce um papel adequado a você)</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.512</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13</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8</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22. Tem dores de estômago ou problemas intestinais?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15</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14</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.538</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7</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7. Remói situações do passado? (ex.: lembrar com frequência de mágoas antigas)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9</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.542</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9</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9</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30. Tem vontade de desistir de viver? (ex.: pensamentos sobre morte ou não continuar)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23</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14</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.606</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0</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18. Sente-se desmotivado(a) ou desanimado(a)? (ex.: sem vontade de iniciar tarefas simples)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9</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.628</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10</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6</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6</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35. É encorajado(a) a usar criatividade e conhecimento? (ex.: sugerir melhorias ou novas ideias)</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.650</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17</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11</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20. Costuma ter dificuldade de concentração? (ex.: iniciar tarefas e não concluir)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9</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.683</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10</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10</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6</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31. Sente-se satisfeito(a) consigo e com suas escolhas? (ex.: acreditar que está seguindo o caminho certo)</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.694</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12</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12</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9</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29. Tem chorado mais ultimamente? (ex.: chorar por situações pequenas)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16</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13</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.718</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3</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40. Os colaboradores possuem as mesmas oportunidades? (ex.: promoções sem favoritismo)</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9</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.759</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13</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9</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6. Sofre por antecipação? (ex.: preocupar-se com algo que ainda nem aconteceu)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.764</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10</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15</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25. Tem falta ou excesso de apetite? (ex.: assaltar a geladeira à noite ou pular refeições)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9</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.807</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11</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8</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Consegue lidar bem com frustrações e imprevistos? (ex.: manter a calma mesmo quando não cumpre um prazo)</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.822</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16</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12</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19. Percebe-se triste ou com humor depressivo? (ex.: falta de prazer nas atividades diárias)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13</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11</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.832</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4</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5</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23. Tem sentimentos de inferioridade? (ex.: acreditar que não é bom o bastante)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9</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.852</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11</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5</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5</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43. Tem acesso aos equipamentoe e materiais adequados para desempenhar suas tarefas?</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.859</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18</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15</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4. Cobra demais de si mesmo(a)? (ex.: sentir que nunca fez o suficiente)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.898</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19</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16</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46. Recebe treinamentos adequados? (ex.: aprender o necessário para cumprir suas funções)</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.919</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11</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8</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21. Anda esquecido(a) ou com déficit de memória? (ex.: esquecer compromissos ou nomes)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13</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.931</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8</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4</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36. Os colaboradores se respeitam e se preocupam uns com os outros? (ex.: ausência de humilhação ou competição tóxica)</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.938</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16</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12</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17. Tem dificuldas para dormir? †</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13</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11</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.961</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6</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2</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44. Sente-se à vontade para falar com sua liderança? (ex.: expressar expectativas e conflitos sem medo)</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4</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.979</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16</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11</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42. Todos são bem tratados independentemente de diferenças pessoais? (ex.: ausência de preconceito por idade, gênero ou etnia)</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nunca/raramente</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2</w:t>
            </w:r>
          </w:p>
        </w:tc>
        <w:tc>
          <w:tcPr>
            <w:tcW w:type="dxa" w:w="9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.989</w:t>
            </w:r>
          </w:p>
        </w:tc>
        <w:tc>
          <w:tcPr>
            <w:tcW w:type="dxa" w:w="2000"/>
            <w:vMerge w:val="restart"/>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às vezes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6</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vMerge w:val="continue"/>
            <w:tcBorders>
              <w:top w:val="none" w:color="FFFFFF" w:sz="0"/>
              <w:left w:val="none" w:color="FFFFFF" w:sz="0"/>
              <w:bottom w:val="none" w:color="FFFFFF" w:sz="0"/>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(3) muitas vezes/sempre</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18</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13</w:t>
            </w:r>
          </w:p>
        </w:tc>
        <w:tc>
          <w:tcPr>
            <w:vMerge w:val="continue"/>
            <w:tcBorders>
              <w:top w:val="none" w:color="FFFFFF" w:sz="0"/>
              <w:left w:val="none" w:color="FFFFFF" w:sz="0"/>
              <w:bottom w:val="none" w:color="FFFFFF" w:sz="0"/>
              <w:right w:val="none" w:color="FFFFFF" w:sz="0"/>
            </w:tcBorders>
          </w:tcPr>
          <w:p/>
        </w:tc>
        <w:tc>
          <w:tcPr>
            <w:vMerge w:val="continue"/>
            <w:tcBorders>
              <w:top w:val="none" w:color="FFFFFF" w:sz="0"/>
              <w:left w:val="none" w:color="FFFFFF" w:sz="0"/>
              <w:bottom w:val="none" w:color="FFFFFF" w:sz="0"/>
              <w:right w:val="none" w:color="FFFFFF" w:sz="0"/>
            </w:tcBorders>
          </w:tcPr>
          <w:p/>
        </w:tc>
      </w:tr>
      <w:tr>
        <w:trPr>
          <w:cantSplit/>
        </w:trPr>
        <w:tc>
          <w:tcPr>
            <w:tcW w:type="dxa" w:w="5600"/>
            <w:vMerge w:val="restart"/>
            <w:tcBorders>
              <w:top w:val="none" w:color="FFFFFF" w:sz="0"/>
              <w:left w:val="none" w:color="FFFFFF" w:sz="0"/>
              <w:bottom w:val="single" w:color="000000" w:sz="4"/>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57. Há quanto está atuando nessa empresa?</w:t>
            </w:r>
          </w:p>
        </w:tc>
        <w:tc>
          <w:tcPr>
            <w:tcW w:type="dxa" w:w="260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(1) até 6 meses</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w:t>
            </w:r>
          </w:p>
        </w:tc>
        <w:tc>
          <w:tcPr>
            <w:tcW w:type="dxa" w:w="1350"/>
            <w:tcBorders>
              <w:top w:val="none" w:color="FFFFFF" w:sz="0"/>
              <w:left w:val="none" w:color="FFFFFF" w:sz="0"/>
              <w:bottom w:val="none" w:color="FFFFFF" w:sz="0"/>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7</w:t>
            </w:r>
          </w:p>
        </w:tc>
        <w:tc>
          <w:tcPr>
            <w:tcW w:type="dxa" w:w="900"/>
            <w:vMerge w:val="restart"/>
            <w:tcBorders>
              <w:top w:val="none" w:color="FFFFFF" w:sz="0"/>
              <w:left w:val="none" w:color="FFFFFF" w:sz="0"/>
              <w:bottom w:val="single" w:color="000000" w:sz="4"/>
              <w:right w:val="none" w:color="FFFFFF" w:sz="0"/>
            </w:tcBorders>
            <w:tcMar>
              <w:top w:type="dxa" w:w="8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w:t>
            </w:r>
          </w:p>
        </w:tc>
        <w:tc>
          <w:tcPr>
            <w:tcW w:type="dxa" w:w="2000"/>
            <w:vMerge w:val="restart"/>
            <w:tcBorders>
              <w:top w:val="none" w:color="FFFFFF" w:sz="0"/>
              <w:left w:val="none" w:color="FFFFFF" w:sz="0"/>
              <w:bottom w:val="single" w:color="000000" w:sz="4"/>
              <w:right w:val="none" w:color="FFFFFF" w:sz="0"/>
            </w:tcBorders>
            <w:tcMar>
              <w:top w:type="dxa" w:w="80"/>
              <w:left w:type="dxa" w:w="60"/>
              <w:bottom w:type="dxa" w:w="0"/>
              <w:right w:type="dxa" w:w="60"/>
            </w:tcMar>
            <w:vAlign w:val="top"/>
          </w:tcPr>
          <w:p>
            <w:pPr>
              <w:keepNext/>
              <w:jc w:val="center"/>
            </w:pPr>
          </w:p>
        </w:tc>
      </w:tr>
      <w:tr>
        <w:trPr>
          <w:cantSplit/>
        </w:trPr>
        <w:tc>
          <w:tcPr>
            <w:vMerge w:val="continue"/>
            <w:tcBorders>
              <w:top w:val="none" w:color="FFFFFF" w:sz="0"/>
              <w:left w:val="none" w:color="FFFFFF" w:sz="0"/>
              <w:bottom w:val="single" w:color="000000" w:sz="4"/>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(2) de 6 meses a 1 ano</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5</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8</w:t>
            </w:r>
          </w:p>
        </w:tc>
        <w:tc>
          <w:tcPr>
            <w:vMerge w:val="continue"/>
            <w:tcBorders>
              <w:top w:val="none" w:color="FFFFFF" w:sz="0"/>
              <w:left w:val="none" w:color="FFFFFF" w:sz="0"/>
              <w:bottom w:val="single" w:color="000000" w:sz="4"/>
              <w:right w:val="none" w:color="FFFFFF" w:sz="0"/>
            </w:tcBorders>
          </w:tcPr>
          <w:p/>
        </w:tc>
        <w:tc>
          <w:tcPr>
            <w:vMerge w:val="continue"/>
            <w:tcBorders>
              <w:top w:val="none" w:color="FFFFFF" w:sz="0"/>
              <w:left w:val="none" w:color="FFFFFF" w:sz="0"/>
              <w:bottom w:val="single" w:color="000000" w:sz="4"/>
              <w:right w:val="none" w:color="FFFFFF" w:sz="0"/>
            </w:tcBorders>
          </w:tcPr>
          <w:p/>
        </w:tc>
      </w:tr>
      <w:tr>
        <w:trPr>
          <w:cantSplit/>
        </w:trPr>
        <w:tc>
          <w:tcPr>
            <w:vMerge w:val="continue"/>
            <w:tcBorders>
              <w:top w:val="none" w:color="FFFFFF" w:sz="0"/>
              <w:left w:val="none" w:color="FFFFFF" w:sz="0"/>
              <w:bottom w:val="single" w:color="000000" w:sz="4"/>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(3) de 1 ano a 2 anos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12</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3</w:t>
            </w:r>
          </w:p>
        </w:tc>
        <w:tc>
          <w:tcPr>
            <w:vMerge w:val="continue"/>
            <w:tcBorders>
              <w:top w:val="none" w:color="FFFFFF" w:sz="0"/>
              <w:left w:val="none" w:color="FFFFFF" w:sz="0"/>
              <w:bottom w:val="single" w:color="000000" w:sz="4"/>
              <w:right w:val="none" w:color="FFFFFF" w:sz="0"/>
            </w:tcBorders>
          </w:tcPr>
          <w:p/>
        </w:tc>
        <w:tc>
          <w:tcPr>
            <w:vMerge w:val="continue"/>
            <w:tcBorders>
              <w:top w:val="none" w:color="FFFFFF" w:sz="0"/>
              <w:left w:val="none" w:color="FFFFFF" w:sz="0"/>
              <w:bottom w:val="single" w:color="000000" w:sz="4"/>
              <w:right w:val="none" w:color="FFFFFF" w:sz="0"/>
            </w:tcBorders>
          </w:tcPr>
          <w:p/>
        </w:tc>
      </w:tr>
      <w:tr>
        <w:trPr>
          <w:cantSplit/>
        </w:trPr>
        <w:tc>
          <w:tcPr>
            <w:vMerge w:val="continue"/>
            <w:tcBorders>
              <w:top w:val="none" w:color="FFFFFF" w:sz="0"/>
              <w:left w:val="none" w:color="FFFFFF" w:sz="0"/>
              <w:bottom w:val="single" w:color="000000" w:sz="4"/>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(4) de 2 anos a 4 anos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w:t>
            </w:r>
          </w:p>
        </w:tc>
        <w:tc>
          <w:tcPr>
            <w:vMerge w:val="continue"/>
            <w:tcBorders>
              <w:top w:val="none" w:color="FFFFFF" w:sz="0"/>
              <w:left w:val="none" w:color="FFFFFF" w:sz="0"/>
              <w:bottom w:val="single" w:color="000000" w:sz="4"/>
              <w:right w:val="none" w:color="FFFFFF" w:sz="0"/>
            </w:tcBorders>
          </w:tcPr>
          <w:p/>
        </w:tc>
        <w:tc>
          <w:tcPr>
            <w:vMerge w:val="continue"/>
            <w:tcBorders>
              <w:top w:val="none" w:color="FFFFFF" w:sz="0"/>
              <w:left w:val="none" w:color="FFFFFF" w:sz="0"/>
              <w:bottom w:val="single" w:color="000000" w:sz="4"/>
              <w:right w:val="none" w:color="FFFFFF" w:sz="0"/>
            </w:tcBorders>
          </w:tcPr>
          <w:p/>
        </w:tc>
      </w:tr>
      <w:tr>
        <w:trPr>
          <w:cantSplit/>
        </w:trPr>
        <w:tc>
          <w:tcPr>
            <w:vMerge w:val="continue"/>
            <w:tcBorders>
              <w:top w:val="none" w:color="FFFFFF" w:sz="0"/>
              <w:left w:val="none" w:color="FFFFFF" w:sz="0"/>
              <w:bottom w:val="single" w:color="000000" w:sz="4"/>
              <w:right w:val="none" w:color="FFFFFF" w:sz="0"/>
            </w:tcBorders>
          </w:tcPr>
          <w:p/>
        </w:tc>
        <w:tc>
          <w:tcPr>
            <w:tcW w:type="dxa" w:w="26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left"/>
            </w:pPr>
            <w:r>
              <w:rPr>
                <w:rFonts w:ascii="Times New Roman" w:cs="Times New Roman" w:eastAsia="Times New Roman" w:hAnsi="Times New Roman"/>
                <w:sz w:val="24"/>
                <w:szCs w:val="24"/>
              </w:rPr>
              <w:t xml:space="preserve">(5) 4 anos a 6 anos</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w:t>
            </w:r>
          </w:p>
        </w:tc>
        <w:tc>
          <w:tcPr>
            <w:tcW w:type="dxa" w:w="13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jc w:val="center"/>
            </w:pPr>
            <w:r>
              <w:rPr>
                <w:rFonts w:ascii="Times New Roman" w:cs="Times New Roman" w:eastAsia="Times New Roman" w:hAnsi="Times New Roman"/>
                <w:sz w:val="24"/>
                <w:szCs w:val="24"/>
              </w:rPr>
              <w:t xml:space="preserve">0</w:t>
            </w:r>
          </w:p>
        </w:tc>
        <w:tc>
          <w:tcPr>
            <w:vMerge w:val="continue"/>
            <w:tcBorders>
              <w:top w:val="none" w:color="FFFFFF" w:sz="0"/>
              <w:left w:val="none" w:color="FFFFFF" w:sz="0"/>
              <w:bottom w:val="single" w:color="000000" w:sz="4"/>
              <w:right w:val="none" w:color="FFFFFF" w:sz="0"/>
            </w:tcBorders>
          </w:tcPr>
          <w:p/>
        </w:tc>
        <w:tc>
          <w:tcPr>
            <w:vMerge w:val="continue"/>
            <w:tcBorders>
              <w:top w:val="none" w:color="FFFFFF" w:sz="0"/>
              <w:left w:val="none" w:color="FFFFFF" w:sz="0"/>
              <w:bottom w:val="single" w:color="000000" w:sz="4"/>
              <w:right w:val="none" w:color="FFFFFF" w:sz="0"/>
            </w:tcBorders>
          </w:tcPr>
          <w:p/>
        </w:tc>
      </w:tr>
      <w:tr>
        <w:trPr>
          <w:cantSplit/>
        </w:trPr>
        <w:tc>
          <w:tcPr>
            <w:vMerge w:val="continue"/>
            <w:tcBorders>
              <w:top w:val="none" w:color="FFFFFF" w:sz="0"/>
              <w:left w:val="none" w:color="FFFFFF" w:sz="0"/>
              <w:bottom w:val="single" w:color="000000" w:sz="4"/>
              <w:right w:val="none" w:color="FFFFFF" w:sz="0"/>
            </w:tcBorders>
          </w:tcPr>
          <w:p/>
        </w:tc>
        <w:tc>
          <w:tcPr>
            <w:tcW w:type="dxa" w:w="2600"/>
            <w:tcBorders>
              <w:top w:val="none" w:color="FFFFFF" w:sz="0"/>
              <w:left w:val="none" w:color="FFFFFF" w:sz="0"/>
              <w:bottom w:val="single" w:color="000000" w:sz="4"/>
              <w:right w:val="none" w:color="FFFFFF" w:sz="0"/>
            </w:tcBorders>
            <w:tcMar>
              <w:top w:type="dxa" w:w="0"/>
              <w:left w:type="dxa" w:w="60"/>
              <w:bottom w:type="dxa" w:w="0"/>
              <w:right w:type="dxa" w:w="60"/>
            </w:tcMar>
            <w:vAlign w:val="top"/>
          </w:tcPr>
          <w:p>
            <w:pPr>
              <w:keepNext w:val="false"/>
              <w:jc w:val="left"/>
            </w:pPr>
            <w:r>
              <w:rPr>
                <w:rFonts w:ascii="Times New Roman" w:cs="Times New Roman" w:eastAsia="Times New Roman" w:hAnsi="Times New Roman"/>
                <w:sz w:val="24"/>
                <w:szCs w:val="24"/>
              </w:rPr>
              <w:t xml:space="preserve">(6) mais de 6 anos</w:t>
            </w:r>
          </w:p>
        </w:tc>
        <w:tc>
          <w:tcPr>
            <w:tcW w:type="dxa" w:w="1350"/>
            <w:tcBorders>
              <w:top w:val="none" w:color="FFFFFF" w:sz="0"/>
              <w:left w:val="none" w:color="FFFFFF" w:sz="0"/>
              <w:bottom w:val="single" w:color="000000" w:sz="4"/>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0</w:t>
            </w:r>
          </w:p>
        </w:tc>
        <w:tc>
          <w:tcPr>
            <w:tcW w:type="dxa" w:w="1350"/>
            <w:tcBorders>
              <w:top w:val="none" w:color="FFFFFF" w:sz="0"/>
              <w:left w:val="none" w:color="FFFFFF" w:sz="0"/>
              <w:bottom w:val="single" w:color="000000" w:sz="4"/>
              <w:right w:val="none" w:color="FFFFFF" w:sz="0"/>
            </w:tcBorders>
            <w:tcMar>
              <w:top w:type="dxa" w:w="0"/>
              <w:left w:type="dxa" w:w="60"/>
              <w:bottom w:type="dxa" w:w="0"/>
              <w:right w:type="dxa" w:w="60"/>
            </w:tcMar>
            <w:vAlign w:val="top"/>
          </w:tcPr>
          <w:p>
            <w:pPr>
              <w:keepNext w:val="false"/>
              <w:jc w:val="center"/>
            </w:pPr>
            <w:r>
              <w:rPr>
                <w:rFonts w:ascii="Times New Roman" w:cs="Times New Roman" w:eastAsia="Times New Roman" w:hAnsi="Times New Roman"/>
                <w:sz w:val="24"/>
                <w:szCs w:val="24"/>
              </w:rPr>
              <w:t xml:space="preserve">0</w:t>
            </w:r>
          </w:p>
        </w:tc>
        <w:tc>
          <w:tcPr>
            <w:vMerge w:val="continue"/>
            <w:tcBorders>
              <w:top w:val="none" w:color="FFFFFF" w:sz="0"/>
              <w:left w:val="none" w:color="FFFFFF" w:sz="0"/>
              <w:bottom w:val="single" w:color="000000" w:sz="4"/>
              <w:right w:val="none" w:color="FFFFFF" w:sz="0"/>
            </w:tcBorders>
          </w:tcPr>
          <w:p/>
        </w:tc>
        <w:tc>
          <w:tcPr>
            <w:vMerge w:val="continue"/>
            <w:tcBorders>
              <w:top w:val="none" w:color="FFFFFF" w:sz="0"/>
              <w:left w:val="none" w:color="FFFFFF" w:sz="0"/>
              <w:bottom w:val="single" w:color="000000" w:sz="4"/>
              <w:right w:val="none" w:color="FFFFFF" w:sz="0"/>
            </w:tcBorders>
          </w:tcPr>
          <w:p/>
        </w:tc>
      </w:tr>
    </w:tbl>
    <w:p>
      <w:pPr>
        <w:spacing w:after="240" w:before="60"/>
      </w:pPr>
      <w:r>
        <w:rPr>
          <w:rFonts w:ascii="Times New Roman" w:cs="Times New Roman" w:eastAsia="Times New Roman" w:hAnsi="Times New Roman"/>
          <w:i/>
          <w:iCs/>
          <w:sz w:val="24"/>
          <w:szCs w:val="24"/>
        </w:rPr>
        <w:t xml:space="preserve">Note.</w:t>
      </w:r>
      <w:r>
        <w:rPr>
          <w:rFonts w:ascii="Times New Roman" w:cs="Times New Roman" w:eastAsia="Times New Roman" w:hAnsi="Times New Roman"/>
          <w:sz w:val="24"/>
          <w:szCs w:val="24"/>
        </w:rPr>
        <w:t xml:space="preserve"> Counts of respondents by wave. Responses on the original frequency scale were grouped for display as nunca/raramente (never or rarely; 1 to 2), às vezes (sometimes; 3) and muitas vezes/sempre (often or always; 4 to 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values are from Wilcoxon rank sum (Mann-Whitney) tests on the original five point responses, without adjustment for multiplicity; post hoc gives the direction of the difference when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Items appear in the original Portuguese wording of the first wave and are ordered by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Items 17 and 43 received typographical corrections in the second wave. Item 57 (tenure) is descriptive.</w:t>
      </w:r>
    </w:p>
    <w:p>
      <w:pPr>
        <w:spacing w:after="240"/>
      </w:pPr>
      <w:r>
        <w:rPr>
          <w:rFonts w:ascii="Times New Roman" w:cs="Times New Roman" w:eastAsia="Times New Roman" w:hAnsi="Times New Roman"/>
          <w:sz w:val="24"/>
          <w:szCs w:val="24"/>
        </w:rPr>
        <w:t xml:space="preserve">† Risk item: higher frequency indicates higher risk.</w:t>
      </w:r>
    </w:p>
    <w:sectPr>
      <w:headerReference w:type="default" r:id="rId10"/>
      <w:pgSz w:w="16838" w:h="11906"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header" Target="header4.xml"/><Relationship Id="rId11" Type="http://schemas.openxmlformats.org/officeDocument/2006/relationships/image" Target="media/53b5c21eca23044f64920d561d9b4d0849207461.png"/><Relationship Id="rId12" Type="http://schemas.openxmlformats.org/officeDocument/2006/relationships/image" Target="media/046850e7aba4a5a82f0b50d449651d4609fd441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2026-10-15T20:26:48.442Z</dcterms:created>
  <dcterms:modified xsi:type="dcterms:W3CDTF">2026-10-15T20:26:48.442Z</dcterms:modified>
</cp:coreProperties>
</file>

<file path=docProps/custom.xml><?xml version="1.0" encoding="utf-8"?>
<Properties xmlns="http://schemas.openxmlformats.org/officeDocument/2006/custom-properties" xmlns:vt="http://schemas.openxmlformats.org/officeDocument/2006/docPropsVTypes"/>
</file>