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2E74B5"/>
          <w:sz w:val="19"/>
        </w:rPr>
        <w:t>LIVING REGISTRY</w:t>
      </w:r>
    </w:p>
    <w:p>
      <w:pPr>
        <w:pStyle w:val="RegistryTitle"/>
      </w:pPr>
      <w:r>
        <w:t>Frontier Model Parameter Prediction Registry</w:t>
      </w:r>
    </w:p>
    <w:p>
      <w:pPr>
        <w:pStyle w:val="RegistrySubtitle"/>
      </w:pPr>
      <w:r>
        <w:t>Human forecasts with provenance and crowd aggregation, separate from model-generated estimates.</w:t>
      </w:r>
    </w:p>
    <w:p>
      <w:pPr>
        <w:spacing w:before="0" w:after="60" w:line="276" w:lineRule="auto"/>
      </w:pPr>
      <w:r>
        <w:rPr>
          <w:rFonts w:ascii="Calibri" w:hAnsi="Calibri"/>
          <w:b/>
          <w:color w:val="243838"/>
          <w:sz w:val="21"/>
        </w:rPr>
        <w:t xml:space="preserve">Version: </w:t>
      </w:r>
      <w:r>
        <w:rPr>
          <w:rFonts w:ascii="Calibri" w:hAnsi="Calibri"/>
          <w:color w:val="243838"/>
          <w:sz w:val="21"/>
        </w:rPr>
        <w:t>2.1 · 17 July 2026</w:t>
      </w:r>
    </w:p>
    <w:p>
      <w:pPr>
        <w:spacing w:before="0" w:after="60" w:line="276" w:lineRule="auto"/>
      </w:pPr>
      <w:r>
        <w:rPr>
          <w:rFonts w:ascii="Calibri" w:hAnsi="Calibri"/>
          <w:b/>
          <w:color w:val="243838"/>
          <w:sz w:val="21"/>
        </w:rPr>
        <w:t xml:space="preserve">Scope: </w:t>
      </w:r>
      <w:r>
        <w:rPr>
          <w:rFonts w:ascii="Calibri" w:hAnsi="Calibri"/>
          <w:color w:val="243838"/>
          <w:sz w:val="21"/>
        </w:rPr>
        <w:t>Total base parameters in T · Anonymous respondents: 21</w:t>
      </w:r>
    </w:p>
    <w:p>
      <w:pPr>
        <w:spacing w:before="40" w:after="200" w:line="288" w:lineRule="auto"/>
        <w:ind w:left="173" w:right="173"/>
        <w:shd w:fill="F4F6F9"/>
        <w:pBdr>
          <w:left w:val="single" w:sz="18" w:space="6" w:color="2E74B5"/>
        </w:pBdr>
      </w:pPr>
      <w:r>
        <w:rPr>
          <w:rFonts w:ascii="Calibri" w:hAnsi="Calibri"/>
          <w:b/>
          <w:color w:val="1F4D78"/>
          <w:sz w:val="22"/>
        </w:rPr>
        <w:t xml:space="preserve">Current crowd signal  </w:t>
      </w:r>
      <w:r>
        <w:rPr>
          <w:rFonts w:ascii="Calibri" w:hAnsi="Calibri"/>
          <w:color w:val="243838"/>
          <w:sz w:val="22"/>
        </w:rPr>
        <w:t>Equal-weight geometric aggregation gives 4.4T for Claude Fable 5 (n=20) and 3.2T for GPT-5.6 Sol (n=19). These are tracking statistics rather than calibrated posterior estimates.</w:t>
      </w:r>
    </w:p>
    <w:p>
      <w:pPr>
        <w:pStyle w:val="Heading1"/>
      </w:pPr>
      <w:r>
        <w:t>1. Anonymous forecast register</w:t>
      </w:r>
    </w:p>
    <w:p>
      <w:pPr>
        <w:spacing w:before="0" w:after="140" w:line="300" w:lineRule="auto"/>
      </w:pPr>
      <w:r>
        <w:rPr>
          <w:rFonts w:ascii="Calibri" w:hAnsi="Calibri"/>
          <w:b w:val="0"/>
          <w:i w:val="0"/>
          <w:color w:val="243838"/>
          <w:sz w:val="22"/>
        </w:rPr>
        <w:t>Forecasts are preserved as stated under stable anonymous respondent IDs. An explicit central estimate is used when supplied; otherwise range-only forecasts use geometric midpoints for multiplicative uncertainty. Revisions append rather than overwrite, and no name-to-ID mapping is stored in the project.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2DCDC"/>
          <w:left w:val="single" w:sz="6" w:space="0" w:color="D2DCDC"/>
          <w:bottom w:val="single" w:sz="6" w:space="0" w:color="D2DCDC"/>
          <w:right w:val="single" w:sz="6" w:space="0" w:color="D2DCDC"/>
          <w:insideH w:val="single" w:sz="6" w:space="0" w:color="D2DCDC"/>
          <w:insideV w:val="single" w:sz="6" w:space="0" w:color="D2DCDC"/>
        </w:tblBorders>
      </w:tblPr>
      <w:tblGrid>
        <w:gridCol w:w="1500"/>
        <w:gridCol w:w="900"/>
        <w:gridCol w:w="950"/>
        <w:gridCol w:w="950"/>
        <w:gridCol w:w="850"/>
        <w:gridCol w:w="850"/>
        <w:gridCol w:w="3360"/>
      </w:tblGrid>
      <w:tr>
        <w:trPr>
          <w:tblHeader w:val="true"/>
          <w:cantSplit w:val="true"/>
        </w:trPr>
        <w:tc>
          <w:tcPr>
            <w:tcW w:type="dxa" w:w="1500"/>
            <w:tcMar>
              <w:top w:w="40" w:type="dxa"/>
              <w:bottom w:w="4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Respondent ID</w:t>
            </w:r>
          </w:p>
        </w:tc>
        <w:tc>
          <w:tcPr>
            <w:tcW w:type="dxa" w:w="900"/>
            <w:tcMar>
              <w:top w:w="40" w:type="dxa"/>
              <w:bottom w:w="4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Date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Fable forecast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Sol forecast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Fable point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Sol point</w:t>
            </w:r>
          </w:p>
        </w:tc>
        <w:tc>
          <w:tcPr>
            <w:tcW w:type="dxa" w:w="3360"/>
            <w:tcMar>
              <w:top w:w="40" w:type="dxa"/>
              <w:bottom w:w="4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Provenance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Respondent R01</w:t>
            </w:r>
          </w:p>
        </w:tc>
        <w:tc>
          <w:tcPr>
            <w:tcW w:type="dxa" w:w="9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2026-07-17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3.0-3.5T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2.5-2.8T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3.2T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2.6T</w:t>
            </w:r>
          </w:p>
        </w:tc>
        <w:tc>
          <w:tcPr>
            <w:tcW w:type="dxa" w:w="336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Direct statement from Respondent R01 in this Codex task.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Respondent R02</w:t>
            </w:r>
          </w:p>
        </w:tc>
        <w:tc>
          <w:tcPr>
            <w:tcW w:type="dxa" w:w="9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2026-07-17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4.0-6.0T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1.5-2.5T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4.9T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1.9T</w:t>
            </w:r>
          </w:p>
        </w:tc>
        <w:tc>
          <w:tcPr>
            <w:tcW w:type="dxa" w:w="336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Relayed by project owner; source not attached.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Respondent R03</w:t>
            </w:r>
          </w:p>
        </w:tc>
        <w:tc>
          <w:tcPr>
            <w:tcW w:type="dxa" w:w="9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2026-07-17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0.8-1.2T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0.6-1.0T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1.0T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0.8T</w:t>
            </w:r>
          </w:p>
        </w:tc>
        <w:tc>
          <w:tcPr>
            <w:tcW w:type="dxa" w:w="336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Relayed by project owner; source not attached.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Respondent R04</w:t>
            </w:r>
          </w:p>
        </w:tc>
        <w:tc>
          <w:tcPr>
            <w:tcW w:type="dxa" w:w="9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2026-07-17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6.0T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2.5T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6.0T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2.5T</w:t>
            </w:r>
          </w:p>
        </w:tc>
        <w:tc>
          <w:tcPr>
            <w:tcW w:type="dxa" w:w="336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Relayed by project owner; source not attached.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Respondent R05</w:t>
            </w:r>
          </w:p>
        </w:tc>
        <w:tc>
          <w:tcPr>
            <w:tcW w:type="dxa" w:w="9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2026-07-17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3.0-20.0T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—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7.7T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—</w:t>
            </w:r>
          </w:p>
        </w:tc>
        <w:tc>
          <w:tcPr>
            <w:tcW w:type="dxa" w:w="336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Relayed by project owner; source not attached.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Respondent R06</w:t>
            </w:r>
          </w:p>
        </w:tc>
        <w:tc>
          <w:tcPr>
            <w:tcW w:type="dxa" w:w="9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2026-07-17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1.0-2.0T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1.0-2.0T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1.4T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1.4T</w:t>
            </w:r>
          </w:p>
        </w:tc>
        <w:tc>
          <w:tcPr>
            <w:tcW w:type="dxa" w:w="336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Relayed by project owner; source not attached.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Respondent R07</w:t>
            </w:r>
          </w:p>
        </w:tc>
        <w:tc>
          <w:tcPr>
            <w:tcW w:type="dxa" w:w="9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2026-07-17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3.0T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3.0T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3.0T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3.0T</w:t>
            </w:r>
          </w:p>
        </w:tc>
        <w:tc>
          <w:tcPr>
            <w:tcW w:type="dxa" w:w="336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Relayed by project owner; source not attached.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Respondent R08</w:t>
            </w:r>
          </w:p>
        </w:tc>
        <w:tc>
          <w:tcPr>
            <w:tcW w:type="dxa" w:w="9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2026-07-17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6.0T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6.0T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6.0T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6.0T</w:t>
            </w:r>
          </w:p>
        </w:tc>
        <w:tc>
          <w:tcPr>
            <w:tcW w:type="dxa" w:w="336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Relayed by project owner; source not attached.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Respondent R09</w:t>
            </w:r>
          </w:p>
        </w:tc>
        <w:tc>
          <w:tcPr>
            <w:tcW w:type="dxa" w:w="9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2026-07-17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—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2.0-4.0T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—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2.8T</w:t>
            </w:r>
          </w:p>
        </w:tc>
        <w:tc>
          <w:tcPr>
            <w:tcW w:type="dxa" w:w="336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Relayed by project owner; source not attached.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Respondent R10</w:t>
            </w:r>
          </w:p>
        </w:tc>
        <w:tc>
          <w:tcPr>
            <w:tcW w:type="dxa" w:w="9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2026-07-17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4.0T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3.0T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4.0T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3.0T</w:t>
            </w:r>
          </w:p>
        </w:tc>
        <w:tc>
          <w:tcPr>
            <w:tcW w:type="dxa" w:w="336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Relayed by project owner; source not attached.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Respondent R11</w:t>
            </w:r>
          </w:p>
        </w:tc>
        <w:tc>
          <w:tcPr>
            <w:tcW w:type="dxa" w:w="9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2026-07-17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6.1T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4.7T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6.1T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4.7T</w:t>
            </w:r>
          </w:p>
        </w:tc>
        <w:tc>
          <w:tcPr>
            <w:tcW w:type="dxa" w:w="336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Relayed by project owner; source not attached.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Respondent R12</w:t>
            </w:r>
          </w:p>
        </w:tc>
        <w:tc>
          <w:tcPr>
            <w:tcW w:type="dxa" w:w="9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2026-07-17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10.0T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4.0T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10.0T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4.0T</w:t>
            </w:r>
          </w:p>
        </w:tc>
        <w:tc>
          <w:tcPr>
            <w:tcW w:type="dxa" w:w="336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Relayed by project owner; source not attached.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Respondent R13</w:t>
            </w:r>
          </w:p>
        </w:tc>
        <w:tc>
          <w:tcPr>
            <w:tcW w:type="dxa" w:w="9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2026-07-17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2.0-10.0T (95% CI)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1.5-5.0T (95% CI)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4.5T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2.7T</w:t>
            </w:r>
          </w:p>
        </w:tc>
        <w:tc>
          <w:tcPr>
            <w:tcW w:type="dxa" w:w="336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Relayed by project owner; source not attached. Confidence: 95% CI.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Respondent R14</w:t>
            </w:r>
          </w:p>
        </w:tc>
        <w:tc>
          <w:tcPr>
            <w:tcW w:type="dxa" w:w="9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2026-07-17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2.5T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3.0T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2.5T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3.0T</w:t>
            </w:r>
          </w:p>
        </w:tc>
        <w:tc>
          <w:tcPr>
            <w:tcW w:type="dxa" w:w="336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Relayed by project owner; source not attached.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Respondent R15</w:t>
            </w:r>
          </w:p>
        </w:tc>
        <w:tc>
          <w:tcPr>
            <w:tcW w:type="dxa" w:w="9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2026-07-17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4.5T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6.5T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4.5T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6.5T</w:t>
            </w:r>
          </w:p>
        </w:tc>
        <w:tc>
          <w:tcPr>
            <w:tcW w:type="dxa" w:w="336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Relayed by project owner; source not attached.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Respondent R16</w:t>
            </w:r>
          </w:p>
        </w:tc>
        <w:tc>
          <w:tcPr>
            <w:tcW w:type="dxa" w:w="9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2026-07-17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6.4T (range 5.0-7.0T)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5.2T (range 4.0-6.0T)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6.4T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5.2T</w:t>
            </w:r>
          </w:p>
        </w:tc>
        <w:tc>
          <w:tcPr>
            <w:tcW w:type="dxa" w:w="336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Relayed by project owner; source not attached.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Respondent R17</w:t>
            </w:r>
          </w:p>
        </w:tc>
        <w:tc>
          <w:tcPr>
            <w:tcW w:type="dxa" w:w="9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2026-07-17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1.8-6.0T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—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3.3T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—</w:t>
            </w:r>
          </w:p>
        </w:tc>
        <w:tc>
          <w:tcPr>
            <w:tcW w:type="dxa" w:w="336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Relayed by project owner; source not attached.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Respondent R18</w:t>
            </w:r>
          </w:p>
        </w:tc>
        <w:tc>
          <w:tcPr>
            <w:tcW w:type="dxa" w:w="9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2026-07-17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5.0-10.0T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5.0-10.0T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7.1T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7.1T</w:t>
            </w:r>
          </w:p>
        </w:tc>
        <w:tc>
          <w:tcPr>
            <w:tcW w:type="dxa" w:w="336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Relayed by project owner; source not attached.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Respondent R19</w:t>
            </w:r>
          </w:p>
        </w:tc>
        <w:tc>
          <w:tcPr>
            <w:tcW w:type="dxa" w:w="9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2026-07-17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3.0-10.0T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3.0-10.0T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5.5T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5.5T</w:t>
            </w:r>
          </w:p>
        </w:tc>
        <w:tc>
          <w:tcPr>
            <w:tcW w:type="dxa" w:w="336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Relayed by project owner; source not attached.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Respondent R20</w:t>
            </w:r>
          </w:p>
        </w:tc>
        <w:tc>
          <w:tcPr>
            <w:tcW w:type="dxa" w:w="9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2026-07-18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5.0T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2.0T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5.0T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2.0T</w:t>
            </w:r>
          </w:p>
        </w:tc>
        <w:tc>
          <w:tcPr>
            <w:tcW w:type="dxa" w:w="336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Relayed by project owner; source not attached.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Respondent R21</w:t>
            </w:r>
          </w:p>
        </w:tc>
        <w:tc>
          <w:tcPr>
            <w:tcW w:type="dxa" w:w="9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2026-07-18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5.0-10.0T</w:t>
            </w:r>
          </w:p>
        </w:tc>
        <w:tc>
          <w:tcPr>
            <w:tcW w:type="dxa" w:w="9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3.0-8.0T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7.1T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4.9T</w:t>
            </w:r>
          </w:p>
        </w:tc>
        <w:tc>
          <w:tcPr>
            <w:tcW w:type="dxa" w:w="336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Relayed by project owner; source not attached.</w:t>
            </w:r>
          </w:p>
        </w:tc>
      </w:tr>
    </w:tbl>
    <w:p>
      <w:pPr>
        <w:pStyle w:val="TableSource"/>
      </w:pPr>
      <w:r>
        <w:t>Source: human_parameter_forecasts_2026-07-17.csv; user-supplied statements in the Codex conversation dated 17 July 2026.</w:t>
      </w:r>
    </w:p>
    <w:p>
      <w:pPr>
        <w:keepNext/>
        <w:spacing w:before="100" w:after="80" w:line="300" w:lineRule="auto"/>
      </w:pPr>
      <w:r>
        <w:rPr>
          <w:rFonts w:ascii="Calibri" w:hAnsi="Calibri"/>
          <w:b/>
          <w:i w:val="0"/>
          <w:color w:val="1F4D78"/>
          <w:sz w:val="22"/>
        </w:rPr>
        <w:t>Additional model forecasts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243838"/>
          <w:sz w:val="19"/>
        </w:rPr>
        <w:t>Respondent R04 (2026-07-17; Relayed by project owner; source not attached.): Claude Opus (version unspecified) — 2.0T; Claude Sonnet (version unspecified) — 1.0T.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243838"/>
          <w:sz w:val="19"/>
        </w:rPr>
        <w:t>Respondent R17 (2026-07-17; Relayed by project owner; source not attached.): Claude Opus 4.7 / 4.8 shared base — 0.8-2.0T.</w:t>
      </w:r>
    </w:p>
    <w:p>
      <w:pPr>
        <w:pStyle w:val="Heading1"/>
      </w:pPr>
      <w:r>
        <w:t>2. Current crowd aggregation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2DCDC"/>
          <w:left w:val="single" w:sz="6" w:space="0" w:color="D2DCDC"/>
          <w:bottom w:val="single" w:sz="6" w:space="0" w:color="D2DCDC"/>
          <w:right w:val="single" w:sz="6" w:space="0" w:color="D2DCDC"/>
          <w:insideH w:val="single" w:sz="6" w:space="0" w:color="D2DCDC"/>
          <w:insideV w:val="single" w:sz="6" w:space="0" w:color="D2DCDC"/>
        </w:tblBorders>
      </w:tblPr>
      <w:tblGrid>
        <w:gridCol w:w="1650"/>
        <w:gridCol w:w="500"/>
        <w:gridCol w:w="1250"/>
        <w:gridCol w:w="1350"/>
        <w:gridCol w:w="1250"/>
        <w:gridCol w:w="3360"/>
      </w:tblGrid>
      <w:tr>
        <w:trPr>
          <w:tblHeader w:val="true"/>
          <w:cantSplit w:val="true"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Model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n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Crowd center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Range envelope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Range overlap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Disagreement diagnostic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Claude Fable 5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20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4.4T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0.8-20.0T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None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Individual centers span 10.2x; the crowd mean hides substantial disagreement.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GPT-5.6 Sol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19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3.2T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0.6-10.0T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None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Individual centers span 9.1x; the crowd mean hides substantial disagreement.</w:t>
            </w:r>
          </w:p>
        </w:tc>
      </w:tr>
    </w:tbl>
    <w:p>
      <w:pPr>
        <w:pStyle w:val="Heading1"/>
      </w:pPr>
      <w:r>
        <w:t>3. Aggregation policy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2DCDC"/>
          <w:left w:val="single" w:sz="6" w:space="0" w:color="D2DCDC"/>
          <w:bottom w:val="single" w:sz="6" w:space="0" w:color="D2DCDC"/>
          <w:right w:val="single" w:sz="6" w:space="0" w:color="D2DCDC"/>
          <w:insideH w:val="single" w:sz="6" w:space="0" w:color="D2DCDC"/>
          <w:insideV w:val="single" w:sz="6" w:space="0" w:color="D2DCDC"/>
        </w:tblBorders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Rule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Implementation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Raw record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Store anonymous respondent ID, date/time, model/version, forecast, provenance class, confidence, evidence basis, and revision link.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Point conversion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Use a respondent's explicit central estimate when supplied; otherwise convert [L, H] to sqrt(L x H), reflecting multiplicative uncertainty.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Crowd center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Use the equal-weight geometric mean unless weights were set before outcomes became known.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Independence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Flag shared evidence or discussion; correlated opinions are not independent evidence.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Revisions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Append a new row and mark the prior entry superseded; never erase it.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Human versus AI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Keep human and AI forecasts separate; label any combined ensemble as secondary.</w:t>
            </w:r>
          </w:p>
        </w:tc>
      </w:tr>
    </w:tbl>
    <w:p>
      <w:r>
        <w:br w:type="page"/>
      </w:r>
    </w:p>
    <w:p>
      <w:pPr>
        <w:pStyle w:val="Heading1"/>
      </w:pPr>
      <w:r>
        <w:t>4. Revision 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2DCDC"/>
          <w:left w:val="single" w:sz="6" w:space="0" w:color="D2DCDC"/>
          <w:bottom w:val="single" w:sz="6" w:space="0" w:color="D2DCDC"/>
          <w:right w:val="single" w:sz="6" w:space="0" w:color="D2DCDC"/>
          <w:insideH w:val="single" w:sz="6" w:space="0" w:color="D2DCDC"/>
          <w:insideV w:val="single" w:sz="6" w:space="0" w:color="D2DCDC"/>
        </w:tblBorders>
      </w:tblPr>
      <w:tblGrid>
        <w:gridCol w:w="1100"/>
        <w:gridCol w:w="1500"/>
        <w:gridCol w:w="6760"/>
      </w:tblGrid>
      <w:tr>
        <w:trPr>
          <w:tblHeader w:val="true"/>
          <w:cantSplit w:val="true"/>
        </w:trPr>
        <w:tc>
          <w:tcPr>
            <w:tcW w:type="dxa" w:w="1100"/>
            <w:tcMar>
              <w:top w:w="40" w:type="dxa"/>
              <w:bottom w:w="4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Version</w:t>
            </w:r>
          </w:p>
        </w:tc>
        <w:tc>
          <w:tcPr>
            <w:tcW w:type="dxa" w:w="1500"/>
            <w:tcMar>
              <w:top w:w="40" w:type="dxa"/>
              <w:bottom w:w="4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Date</w:t>
            </w:r>
          </w:p>
        </w:tc>
        <w:tc>
          <w:tcPr>
            <w:tcW w:type="dxa" w:w="6760"/>
            <w:tcMar>
              <w:top w:w="40" w:type="dxa"/>
              <w:bottom w:w="4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Change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1.0</w:t>
            </w:r>
          </w:p>
        </w:tc>
        <w:tc>
          <w:tcPr>
            <w:tcW w:type="dxa" w:w="15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2026-07-17</w:t>
            </w:r>
          </w:p>
        </w:tc>
        <w:tc>
          <w:tcPr>
            <w:tcW w:type="dxa" w:w="676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Created the registry and fixed the aggregation and provenance rules.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2.0</w:t>
            </w:r>
          </w:p>
        </w:tc>
        <w:tc>
          <w:tcPr>
            <w:tcW w:type="dxa" w:w="15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2026-07-17</w:t>
            </w:r>
          </w:p>
        </w:tc>
        <w:tc>
          <w:tcPr>
            <w:tcW w:type="dxa" w:w="676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Expanded the ledger to 14 respondents; retained equal-respondent geometric pooling.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2.1</w:t>
            </w:r>
          </w:p>
        </w:tc>
        <w:tc>
          <w:tcPr>
            <w:tcW w:type="dxa" w:w="150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2026-08-01</w:t>
            </w:r>
          </w:p>
        </w:tc>
        <w:tc>
          <w:tcPr>
            <w:tcW w:type="dxa" w:w="6760"/>
            <w:tcMar>
              <w:top w:w="40" w:type="dxa"/>
              <w:bottom w:w="4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43838"/>
                <w:sz w:val="18"/>
              </w:rPr>
              <w:t>Expanded the ledger to 21 respondents and replaced all respondent names, name-bearing record IDs, and personal provenance references with stable anonymous IDs; no name-to-ID mapping is retained. Current crowds: Fable 4.4T (n=20), Sol 3.2T (n=19).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67274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274"/>
        <w:sz w:val="18"/>
      </w:rPr>
      <w:t>Frontier Parameter Forecast Registry</w:t>
    </w:r>
    <w:r>
      <w:rPr>
        <w:rFonts w:ascii="Calibri" w:hAnsi="Calibri"/>
        <w:color w:val="667274"/>
        <w:sz w:val="18"/>
      </w:rPr>
      <w:t xml:space="preserve">    |    Living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438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gistryTitle">
    <w:name w:val="Registry Title"/>
    <w:pPr>
      <w:spacing w:before="0" w:after="80"/>
    </w:pPr>
    <w:rPr>
      <w:rFonts w:ascii="Calibri" w:hAnsi="Calibri"/>
      <w:b/>
      <w:color w:val="243838"/>
      <w:sz w:val="48"/>
    </w:rPr>
  </w:style>
  <w:style w:type="paragraph" w:customStyle="1" w:styleId="RegistrySubtitle">
    <w:name w:val="Registry Subtitle"/>
    <w:pPr>
      <w:spacing w:before="0" w:after="280"/>
    </w:pPr>
    <w:rPr>
      <w:rFonts w:ascii="Calibri" w:hAnsi="Calibri"/>
      <w:color w:val="667274"/>
      <w:sz w:val="22"/>
    </w:rPr>
  </w:style>
  <w:style w:type="paragraph" w:customStyle="1" w:styleId="TableSource">
    <w:name w:val="Table Source"/>
    <w:pPr>
      <w:spacing w:before="80" w:after="80"/>
    </w:pPr>
    <w:rPr>
      <w:rFonts w:ascii="Calibri" w:hAnsi="Calibri"/>
      <w:i/>
      <w:color w:val="66727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Frontier Model Parameter Prediction Registry</dc:title>
  <dc:subject>Living record of anonymous human parameter-count forecasts for Claude Fable 5 and GPT-5.6 Sol</dc:subject>
  <dc:creator>Project team</dc:creator>
  <cp:keywords>frontier models, parameter estimates, prediction registry, wisdom of crowds</cp:keywords>
  <dc:description>Version 2.1 updated 17 July 2026; generated from human_parameter_forecasts_2026-07-17.csv</dc:description>
  <cp:lastModifiedBy>Project team</cp:lastModifiedBy>
  <cp:revision>1</cp:revision>
  <dcterms:created xsi:type="dcterms:W3CDTF">2013-12-23T23:15:00Z</dcterms:created>
  <dcterms:modified xsi:type="dcterms:W3CDTF">2013-12-23T23:15:00Z</dcterms:modified>
  <cp:category/>
</cp:coreProperties>
</file>