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640" w:type="dxa"/>
        <w:tblInd w:w="-176" w:type="dxa"/>
        <w:tblLayout w:type="autofit"/>
        <w:tblCellMar>
          <w:top w:w="0" w:type="dxa"/>
          <w:left w:w="108" w:type="dxa"/>
          <w:bottom w:w="0" w:type="dxa"/>
          <w:right w:w="108" w:type="dxa"/>
        </w:tblCellMar>
      </w:tblPr>
      <w:tblGrid>
        <w:gridCol w:w="3970"/>
        <w:gridCol w:w="5670"/>
      </w:tblGrid>
      <w:tr>
        <w:tblPrEx>
          <w:tblCellMar>
            <w:top w:w="0" w:type="dxa"/>
            <w:left w:w="108" w:type="dxa"/>
            <w:bottom w:w="0" w:type="dxa"/>
            <w:right w:w="108" w:type="dxa"/>
          </w:tblCellMar>
        </w:tblPrEx>
        <w:trPr>
          <w:trHeight w:val="1572" w:hRule="atLeast"/>
        </w:trPr>
        <w:tc>
          <w:tcPr>
            <w:tcW w:w="3970" w:type="dxa"/>
          </w:tcPr>
          <w:p>
            <w:pPr>
              <w:jc w:val="center"/>
              <w:rPr>
                <w:sz w:val="26"/>
                <w:szCs w:val="26"/>
              </w:rPr>
            </w:pPr>
            <w:bookmarkStart w:id="1" w:name="_GoBack"/>
            <w:bookmarkEnd w:id="1"/>
            <w:r>
              <w:rPr>
                <w:sz w:val="26"/>
                <w:szCs w:val="26"/>
              </w:rPr>
              <w:t>UBND TỈNH HẢI DƯƠNG</w:t>
            </w:r>
          </w:p>
          <w:p>
            <w:pPr>
              <w:ind w:right="-113"/>
              <w:jc w:val="center"/>
              <w:rPr>
                <w:b/>
                <w:bCs/>
              </w:rPr>
            </w:pPr>
            <w:r>
              <w:rPr>
                <w:b/>
                <w:bCs/>
              </w:rPr>
              <w:t>SỞ KHOA HỌC VÀ CÔNG NGHỆ</w:t>
            </w:r>
          </w:p>
          <w:p>
            <w:pPr>
              <w:ind w:right="-113"/>
              <w:jc w:val="center"/>
            </w:pPr>
            <w:r>
              <w:rPr>
                <w:sz w:val="26"/>
                <w:szCs w:val="26"/>
              </w:rPr>
              <mc:AlternateContent>
                <mc:Choice Requires="wps">
                  <w:drawing>
                    <wp:anchor distT="0" distB="0" distL="114300" distR="114300" simplePos="0" relativeHeight="251660288" behindDoc="0" locked="0" layoutInCell="1" allowOverlap="1">
                      <wp:simplePos x="0" y="0"/>
                      <wp:positionH relativeFrom="column">
                        <wp:posOffset>695960</wp:posOffset>
                      </wp:positionH>
                      <wp:positionV relativeFrom="paragraph">
                        <wp:posOffset>38735</wp:posOffset>
                      </wp:positionV>
                      <wp:extent cx="981075" cy="0"/>
                      <wp:effectExtent l="0" t="0" r="28575" b="19050"/>
                      <wp:wrapNone/>
                      <wp:docPr id="1" name="Straight Connector 1"/>
                      <wp:cNvGraphicFramePr/>
                      <a:graphic xmlns:a="http://schemas.openxmlformats.org/drawingml/2006/main">
                        <a:graphicData uri="http://schemas.microsoft.com/office/word/2010/wordprocessingShape">
                          <wps:wsp>
                            <wps:cNvCnPr>
                              <a:cxnSpLocks noChangeShapeType="1"/>
                            </wps:cNvCnPr>
                            <wps:spPr bwMode="auto">
                              <a:xfrm>
                                <a:off x="0" y="0"/>
                                <a:ext cx="98107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54.8pt;margin-top:3.05pt;height:0pt;width:77.25pt;z-index:251660288;mso-width-relative:page;mso-height-relative:page;" filled="f" stroked="t" coordsize="21600,21600" o:gfxdata="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V7Dbf0gAAAAcBAAAPAAAAAAAAAAEAIAAAACIAAABkcnMv&#10;ZG93bnJldi54bWxQSwECFAAUAAAACACHTuJARNQKcdABAACsAwAADgAAAAAAAAABACAAAAAhAQAA&#10;ZHJzL2Uyb0RvYy54bWxQSwUGAAAAAAYABgBZAQAAYwUAAAAA&#10;">
                      <v:fill on="f" focussize="0,0"/>
                      <v:stroke color="#000000" joinstyle="round"/>
                      <v:imagedata o:title=""/>
                      <o:lock v:ext="edit" aspectratio="f"/>
                    </v:line>
                  </w:pict>
                </mc:Fallback>
              </mc:AlternateContent>
            </w:r>
          </w:p>
          <w:p>
            <w:pPr>
              <w:jc w:val="center"/>
              <w:rPr>
                <w:lang w:val="nl-NL"/>
              </w:rPr>
            </w:pPr>
            <w:r>
              <w:rPr>
                <w:sz w:val="28"/>
                <w:szCs w:val="28"/>
              </w:rPr>
              <w:t>Số:           /BC-SKHCN</w:t>
            </w:r>
          </w:p>
        </w:tc>
        <w:tc>
          <w:tcPr>
            <w:tcW w:w="5670" w:type="dxa"/>
          </w:tcPr>
          <w:p>
            <w:pPr>
              <w:ind w:right="-113"/>
              <w:jc w:val="center"/>
              <w:rPr>
                <w:b/>
                <w:sz w:val="26"/>
                <w:szCs w:val="26"/>
                <w:lang w:val="nl-NL"/>
              </w:rPr>
            </w:pPr>
            <w:r>
              <w:rPr>
                <w:b/>
                <w:sz w:val="26"/>
                <w:lang w:val="nl-NL"/>
              </w:rPr>
              <w:t xml:space="preserve">  </w:t>
            </w:r>
            <w:r>
              <w:rPr>
                <w:b/>
                <w:sz w:val="26"/>
                <w:szCs w:val="26"/>
                <w:lang w:val="nl-NL"/>
              </w:rPr>
              <w:t>CỘNG HÒA XÃ HỘI CHỦ NGHĨA VIỆT NAM</w:t>
            </w:r>
          </w:p>
          <w:p>
            <w:pPr>
              <w:ind w:right="-113"/>
              <w:jc w:val="center"/>
              <w:rPr>
                <w:b/>
              </w:rPr>
            </w:pPr>
            <w:r>
              <w:rPr>
                <w:b/>
                <w:sz w:val="28"/>
                <w:szCs w:val="28"/>
              </w:rPr>
              <w:t>Độc lập - Tự do - Hạnh phúc</w:t>
            </w:r>
          </w:p>
          <w:p>
            <w:pPr>
              <w:ind w:right="-113"/>
              <w:jc w:val="center"/>
              <w:rPr>
                <w:b/>
              </w:rPr>
            </w:pPr>
            <w:r>
              <mc:AlternateContent>
                <mc:Choice Requires="wps">
                  <w:drawing>
                    <wp:anchor distT="0" distB="0" distL="114300" distR="114300" simplePos="0" relativeHeight="251659264" behindDoc="0" locked="0" layoutInCell="1" allowOverlap="1">
                      <wp:simplePos x="0" y="0"/>
                      <wp:positionH relativeFrom="column">
                        <wp:posOffset>680085</wp:posOffset>
                      </wp:positionH>
                      <wp:positionV relativeFrom="paragraph">
                        <wp:posOffset>47625</wp:posOffset>
                      </wp:positionV>
                      <wp:extent cx="2162175" cy="0"/>
                      <wp:effectExtent l="0" t="0" r="28575" b="19050"/>
                      <wp:wrapNone/>
                      <wp:docPr id="7" name="Line 3"/>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line">
                                <a:avLst/>
                              </a:prstGeom>
                              <a:noFill/>
                              <a:ln w="9525">
                                <a:solidFill>
                                  <a:srgbClr val="000000"/>
                                </a:solidFill>
                                <a:round/>
                              </a:ln>
                            </wps:spPr>
                            <wps:bodyPr/>
                          </wps:wsp>
                        </a:graphicData>
                      </a:graphic>
                    </wp:anchor>
                  </w:drawing>
                </mc:Choice>
                <mc:Fallback>
                  <w:pict>
                    <v:line id="Line 3" o:spid="_x0000_s1026" o:spt="20" style="position:absolute;left:0pt;margin-left:53.55pt;margin-top:3.75pt;height:0pt;width:170.25pt;z-index:251659264;mso-width-relative:page;mso-height-relative:page;" filled="f" stroked="t" coordsize="21600,21600" o:gfxdata="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g+1XrUAAAABwEAAA8AAAAAAAAAAQAgAAAAIgAAAGRycy9kb3du&#10;cmV2LnhtbFBLAQIUABQAAAAIAIdO4kDPTkMSygEAAJ8DAAAOAAAAAAAAAAEAIAAAACMBAABkcnMv&#10;ZTJvRG9jLnhtbFBLBQYAAAAABgAGAFkBAABfBQAAAAA=&#10;">
                      <v:fill on="f" focussize="0,0"/>
                      <v:stroke color="#000000" joinstyle="round"/>
                      <v:imagedata o:title=""/>
                      <o:lock v:ext="edit" aspectratio="f"/>
                    </v:line>
                  </w:pict>
                </mc:Fallback>
              </mc:AlternateContent>
            </w:r>
          </w:p>
          <w:p>
            <w:pPr>
              <w:jc w:val="center"/>
              <w:rPr>
                <w:i/>
                <w:lang w:val="nl-NL"/>
              </w:rPr>
            </w:pPr>
            <w:r>
              <w:rPr>
                <w:i/>
                <w:sz w:val="28"/>
                <w:szCs w:val="28"/>
              </w:rPr>
              <w:t>Hải Dương, ngày        tháng 7 năm 2023</w:t>
            </w:r>
          </w:p>
        </w:tc>
      </w:tr>
    </w:tbl>
    <w:tbl>
      <w:tblPr>
        <w:tblStyle w:val="12"/>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526" w:type="dxa"/>
            <w:vAlign w:val="center"/>
          </w:tcPr>
          <w:p>
            <w:pPr>
              <w:spacing w:after="120" w:line="312" w:lineRule="auto"/>
              <w:jc w:val="center"/>
              <w:rPr>
                <w:b/>
                <w:sz w:val="32"/>
                <w:szCs w:val="32"/>
              </w:rPr>
            </w:pPr>
            <w:r>
              <w:rPr>
                <w:b/>
                <w:sz w:val="26"/>
                <w:szCs w:val="26"/>
              </w:rPr>
              <w:t>DỰ THẢO</w:t>
            </w:r>
          </w:p>
        </w:tc>
      </w:tr>
    </w:tbl>
    <w:p>
      <w:pPr>
        <w:spacing w:before="120"/>
        <w:jc w:val="center"/>
        <w:rPr>
          <w:b/>
          <w:sz w:val="28"/>
          <w:szCs w:val="28"/>
          <w:lang w:val="nl-NL"/>
        </w:rPr>
      </w:pPr>
      <w:r>
        <w:rPr>
          <w:b/>
          <w:sz w:val="28"/>
          <w:szCs w:val="28"/>
          <w:lang w:val="nl-NL"/>
        </w:rPr>
        <w:t>BÁO CÁO</w:t>
      </w:r>
    </w:p>
    <w:p>
      <w:pPr>
        <w:jc w:val="center"/>
        <w:rPr>
          <w:b/>
          <w:sz w:val="28"/>
          <w:szCs w:val="28"/>
          <w:lang w:val="nl-NL"/>
        </w:rPr>
      </w:pPr>
      <w:r>
        <w:rPr>
          <w:b/>
          <w:sz w:val="28"/>
          <w:szCs w:val="28"/>
          <w:lang w:val="nl-NL"/>
        </w:rPr>
        <w:t xml:space="preserve">Đánh giá tác động chính sách của dự thảo Nghị quyết HĐND tỉnh quy định định mức lập dự toán thực hiện nhiệm vụ khoa học và công nghệ </w:t>
      </w:r>
    </w:p>
    <w:p>
      <w:pPr>
        <w:jc w:val="center"/>
        <w:rPr>
          <w:b/>
          <w:sz w:val="28"/>
          <w:szCs w:val="28"/>
          <w:lang w:val="nl-NL"/>
        </w:rPr>
      </w:pPr>
      <w:r>
        <w:rPr>
          <w:b/>
          <w:sz w:val="28"/>
          <w:szCs w:val="28"/>
          <w:lang w:val="nl-NL"/>
        </w:rPr>
        <w:t>có sử dụng ngân sách nhà nước trên địa bàn tỉnh Hải Dương</w:t>
      </w:r>
    </w:p>
    <w:p>
      <w:pPr>
        <w:jc w:val="center"/>
        <w:rPr>
          <w:b/>
          <w:sz w:val="28"/>
          <w:szCs w:val="28"/>
          <w:lang w:val="nl-NL"/>
        </w:rPr>
      </w:pPr>
      <w:r>
        <w:rPr>
          <w:b/>
          <w:sz w:val="28"/>
          <w:szCs w:val="28"/>
        </w:rPr>
        <mc:AlternateContent>
          <mc:Choice Requires="wps">
            <w:drawing>
              <wp:anchor distT="0" distB="0" distL="114300" distR="114300" simplePos="0" relativeHeight="251663360" behindDoc="0" locked="0" layoutInCell="1" allowOverlap="1">
                <wp:simplePos x="0" y="0"/>
                <wp:positionH relativeFrom="column">
                  <wp:posOffset>1900555</wp:posOffset>
                </wp:positionH>
                <wp:positionV relativeFrom="paragraph">
                  <wp:posOffset>42545</wp:posOffset>
                </wp:positionV>
                <wp:extent cx="20288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2028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9.65pt;margin-top:3.35pt;height:0pt;width:159.75pt;z-index:251663360;mso-width-relative:page;mso-height-relative:page;" filled="f" stroked="t" coordsize="21600,21600" o:gfxdata="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ICQyG9UAAAAHAQAADwAAAAAA&#10;AAABACAAAAAiAAAAZHJzL2Rvd25yZXYueG1sUEsBAhQAFAAAAAgAh07iQCzKQsndAQAA1gMAAA4A&#10;AAAAAAAAAQAgAAAAJAEAAGRycy9lMm9Eb2MueG1sUEsFBgAAAAAGAAYAWQEAAHMFAAAAAA==&#10;">
                <v:fill on="f" focussize="0,0"/>
                <v:stroke color="#000000 [3200]" joinstyle="round"/>
                <v:imagedata o:title=""/>
                <o:lock v:ext="edit" aspectratio="f"/>
              </v:line>
            </w:pict>
          </mc:Fallback>
        </mc:AlternateContent>
      </w:r>
    </w:p>
    <w:p>
      <w:pPr>
        <w:spacing w:before="60" w:after="60" w:line="265" w:lineRule="auto"/>
        <w:ind w:firstLine="709"/>
        <w:jc w:val="both"/>
        <w:rPr>
          <w:sz w:val="28"/>
          <w:szCs w:val="28"/>
          <w:lang w:val="nl-NL"/>
        </w:rPr>
      </w:pPr>
      <w:r>
        <w:rPr>
          <w:sz w:val="28"/>
          <w:szCs w:val="28"/>
          <w:lang w:val="nl-NL"/>
        </w:rPr>
        <w:t>Trên cơ sở triển khai thực hiện Thông tư số 03/2023/TT-BTC ngày 10/01/2023 của Bộ Tài chính quy định lập dự toán, quản lý sử dụng và quyết toán kinh phí ngân sách nhà nước thực hiện nhiệm vụ khoa học và công nghệ</w:t>
      </w:r>
      <w:r>
        <w:rPr>
          <w:lang w:val="nl-NL"/>
        </w:rPr>
        <w:t xml:space="preserve">  </w:t>
      </w:r>
      <w:r>
        <w:rPr>
          <w:sz w:val="28"/>
          <w:szCs w:val="28"/>
          <w:lang w:val="nl-NL"/>
        </w:rPr>
        <w:t xml:space="preserve">và </w:t>
      </w:r>
      <w:r>
        <w:rPr>
          <w:sz w:val="28"/>
          <w:szCs w:val="28"/>
        </w:rPr>
        <w:t xml:space="preserve">Thông tư số 02/2023/TT-BKHCN Ngày 08/5/2023 của Bộ Khoa học và Công nghệ hướng dẫn một số nội dung chuyên môn phục vụ công tác xây dựng dự toán thực hiện hiện nhiệm vụ khoa học và công nghệ có sử dụng ngân sách nhà nước, Sở Khoa học và Công nghệ đã tham mưu UBND tỉnh trình Thường trực HĐND tỉnh cho chủ trương xây dựng Nghị quyết </w:t>
      </w:r>
      <w:r>
        <w:rPr>
          <w:bCs/>
          <w:sz w:val="28"/>
          <w:szCs w:val="28"/>
          <w:lang w:val="nl-NL"/>
        </w:rPr>
        <w:t>quy định định mức lập dự toán thực hiện  nhiệm vụ khoa học và công nghệ có sử dụng ngân sách nhà nước trên địa bàn tỉnh Hải Dương. Để hoàn thiện hồ sơ trình HĐND tỉnh theo quy định,</w:t>
      </w:r>
      <w:r>
        <w:rPr>
          <w:sz w:val="28"/>
          <w:szCs w:val="28"/>
          <w:lang w:val="nl-NL"/>
        </w:rPr>
        <w:t xml:space="preserve"> Sở Khoa học và Công nghệ báo cáo đánh giá tác động chính sách </w:t>
      </w:r>
      <w:r>
        <w:rPr>
          <w:bCs/>
          <w:sz w:val="28"/>
          <w:szCs w:val="28"/>
          <w:lang w:val="nl-NL"/>
        </w:rPr>
        <w:t xml:space="preserve">của dự thảo Nghị quyết HĐND tỉnh quy định định mức lập dự toán thưc hiện nhiệm vụ khoa học và công nghệ có sử dụng ngân sách nhà nước trên địa bàn tỉnh Hải Dương, </w:t>
      </w:r>
      <w:r>
        <w:rPr>
          <w:sz w:val="28"/>
          <w:szCs w:val="28"/>
          <w:lang w:val="nl-NL"/>
        </w:rPr>
        <w:t>cụ thể như sau:</w:t>
      </w:r>
    </w:p>
    <w:p>
      <w:pPr>
        <w:pStyle w:val="14"/>
        <w:widowControl w:val="0"/>
        <w:numPr>
          <w:ilvl w:val="0"/>
          <w:numId w:val="1"/>
        </w:numPr>
        <w:shd w:val="clear" w:color="auto" w:fill="FFFFFF"/>
        <w:spacing w:before="60" w:after="60" w:line="265" w:lineRule="auto"/>
        <w:contextualSpacing w:val="0"/>
        <w:jc w:val="both"/>
        <w:rPr>
          <w:b/>
          <w:iCs/>
          <w:color w:val="000000"/>
          <w:sz w:val="28"/>
          <w:szCs w:val="28"/>
          <w:lang w:val="nl-NL"/>
        </w:rPr>
      </w:pPr>
      <w:r>
        <w:rPr>
          <w:b/>
          <w:iCs/>
          <w:color w:val="000000"/>
          <w:sz w:val="28"/>
          <w:szCs w:val="28"/>
          <w:lang w:val="nl-NL"/>
        </w:rPr>
        <w:t>Tổng quan</w:t>
      </w:r>
    </w:p>
    <w:p>
      <w:pPr>
        <w:widowControl w:val="0"/>
        <w:spacing w:before="60" w:after="60" w:line="265" w:lineRule="auto"/>
        <w:ind w:firstLine="709"/>
        <w:jc w:val="both"/>
        <w:rPr>
          <w:iCs/>
          <w:sz w:val="28"/>
          <w:szCs w:val="28"/>
        </w:rPr>
      </w:pPr>
      <w:r>
        <w:rPr>
          <w:color w:val="000000"/>
          <w:sz w:val="28"/>
          <w:szCs w:val="28"/>
          <w:lang w:eastAsia="vi-VN"/>
        </w:rPr>
        <w:t xml:space="preserve">Thực hiện Thông tư liên tịch số 55/2015/TTLT-BTC-BKHCN ngày 22/4/2015 của liên Bộ Tài chính - Bộ Khoa học và Công nghệ hướng dẫn định mức xây dựng, phân bổ dự toán và quyết toán kinh phí đối với các nhiệm vụ khoa học và công nghệ có sử dụng ngân sách nhà nước (sau đây gọi tắt là Thông tư liên tịch số 55/2015/TTLT-BTC-BKHCN), ngày 19/11/2015 Ủy ban nhân dân tỉnh Hải Dương đã ban hành Quyết định 20/2015/QĐ-UBND </w:t>
      </w:r>
      <w:r>
        <w:rPr>
          <w:sz w:val="28"/>
          <w:szCs w:val="28"/>
        </w:rPr>
        <w:t>“Quy định quản lý và định mức xây dựng dự toán kinh phí đối với các nhiệm vụ khoa học công nghệ cấp tỉnh sử dụng ngân sách nhà nước trên địa bàn tỉnh Hải Dương”</w:t>
      </w:r>
      <w:r>
        <w:rPr>
          <w:rFonts w:eastAsia="Calibri"/>
          <w:sz w:val="28"/>
          <w:szCs w:val="28"/>
        </w:rPr>
        <w:t xml:space="preserve">. </w:t>
      </w:r>
      <w:r>
        <w:rPr>
          <w:iCs/>
          <w:sz w:val="28"/>
          <w:szCs w:val="28"/>
        </w:rPr>
        <w:t>Từ khi được ban hành, Quyết định nêu trên là văn bản pháp lý quan trọng để Sở Khoa học và Công nghệ quản lý và xây dựng dự toán kinh phí đối với các nhiệm vụ khoa học và công nghệ có sử dụng ngân sách nhà nước trên địa bàn tỉnh Hải Dương.</w:t>
      </w:r>
    </w:p>
    <w:p>
      <w:pPr>
        <w:pStyle w:val="7"/>
        <w:spacing w:before="60" w:after="60" w:line="265" w:lineRule="auto"/>
        <w:ind w:left="0" w:right="2" w:firstLine="709"/>
        <w:rPr>
          <w:lang w:val="nl-NL"/>
        </w:rPr>
      </w:pPr>
      <w:r>
        <w:rPr>
          <w:lang w:val="nl-NL"/>
        </w:rPr>
        <w:t>Tuy nhiên, ngày 10 tháng 01 năm 2023, Bộ Tài chính ban hành Thông tư số 03/2023/TT-BTC quy định lập dự toán, quản lý sử dụng và quyết toán kinh phí ngân sách nhà nước thực hiện nhiệm vụ khoa học và công nghệ  (</w:t>
      </w:r>
      <w:r>
        <w:rPr>
          <w:i/>
          <w:lang w:val="nl-NL"/>
        </w:rPr>
        <w:t>sau đây gọi tắt là Thông tư số 03/2023/TT-BTC</w:t>
      </w:r>
      <w:r>
        <w:rPr>
          <w:lang w:val="nl-NL"/>
        </w:rPr>
        <w:t>) có hiệu lực thi hành từ ngày 26 tháng 02 năm 2023; Ngày 08 tháng 5 năm 2023, Bộ Khoa học và Công nghệ ban hành Thông tư số 02/2023/TT-BKHCN hướng dẫn một số nội dung chuyên môn phục vụ công tác xây dựng dự toán thực hiện nhiệm vụ khoa học và công nghệ có sử dụng ngân sách nhà nước, hiệu lực thi hành từ ngày 23 tháng 6 năm 2023. Như vậy Thông tư liên tịch số 55/2015/TTLT-BTC-BKHCN ngày 22 tháng 4 năm 2015 của Bộ Tài chính - Bộ Khoa học và Công nghệ hướng dẫn định mức xây dựng, phân bổ dự toán và quyết toán kinh phí đối với nhiệm vụ khoa học và công nghệ có sử dụng NSNN (</w:t>
      </w:r>
      <w:r>
        <w:rPr>
          <w:i/>
          <w:lang w:val="nl-NL"/>
        </w:rPr>
        <w:t>sau đây gọi tắt là Thông tư số 55/2015/TTLT-BTC-BKHCN</w:t>
      </w:r>
      <w:r>
        <w:rPr>
          <w:lang w:val="nl-NL"/>
        </w:rPr>
        <w:t>) hết hiệu lực toàn phần từ ngày 23 tháng 6 năm 2023.</w:t>
      </w:r>
    </w:p>
    <w:p>
      <w:pPr>
        <w:widowControl w:val="0"/>
        <w:spacing w:before="60" w:after="60" w:line="265" w:lineRule="auto"/>
        <w:ind w:firstLine="709"/>
        <w:jc w:val="both"/>
        <w:rPr>
          <w:i/>
          <w:spacing w:val="4"/>
          <w:sz w:val="28"/>
          <w:szCs w:val="28"/>
          <w:lang w:val="it-IT"/>
        </w:rPr>
      </w:pPr>
      <w:r>
        <w:rPr>
          <w:spacing w:val="4"/>
          <w:sz w:val="28"/>
          <w:szCs w:val="28"/>
          <w:lang w:val="nl-NL"/>
        </w:rPr>
        <w:t>Ngoài ra, t</w:t>
      </w:r>
      <w:r>
        <w:rPr>
          <w:spacing w:val="4"/>
          <w:sz w:val="28"/>
          <w:szCs w:val="28"/>
          <w:lang w:val="it-IT"/>
        </w:rPr>
        <w:t>ại khoản 1, Điều 2 Thông tư số 03/2023/TT-BTC của Bộ Tài chính quy định:  “</w:t>
      </w:r>
      <w:r>
        <w:rPr>
          <w:i/>
          <w:spacing w:val="4"/>
          <w:sz w:val="28"/>
          <w:szCs w:val="28"/>
          <w:lang w:val="it-IT"/>
        </w:rPr>
        <w:t xml:space="preserve">Các định mức lập dự toán kinh phí  ngân sách nhà nước quy định tại Thông tư này là định mức tối đa áp dụng với nhiệm vụ khoa học và công nghệ </w:t>
      </w:r>
      <w:r>
        <w:rPr>
          <w:b/>
          <w:i/>
          <w:spacing w:val="4"/>
          <w:sz w:val="28"/>
          <w:szCs w:val="28"/>
          <w:lang w:val="it-IT"/>
        </w:rPr>
        <w:t>cấp quốc gia</w:t>
      </w:r>
      <w:r>
        <w:rPr>
          <w:i/>
          <w:spacing w:val="4"/>
          <w:sz w:val="28"/>
          <w:szCs w:val="28"/>
          <w:lang w:val="it-IT"/>
        </w:rPr>
        <w:t xml:space="preserve"> sử dụng ngân sách nhà nước</w:t>
      </w:r>
      <w:r>
        <w:rPr>
          <w:spacing w:val="4"/>
          <w:sz w:val="28"/>
          <w:szCs w:val="28"/>
          <w:lang w:val="it-IT"/>
        </w:rPr>
        <w:t>”;</w:t>
      </w:r>
      <w:r>
        <w:rPr>
          <w:i/>
          <w:spacing w:val="4"/>
          <w:sz w:val="28"/>
          <w:szCs w:val="28"/>
          <w:lang w:val="it-IT"/>
        </w:rPr>
        <w:t xml:space="preserve"> “...Các địa phương căn cứ tình hình thực tế và khả năng ngân sách được giao để </w:t>
      </w:r>
      <w:r>
        <w:rPr>
          <w:b/>
          <w:i/>
          <w:spacing w:val="4"/>
          <w:sz w:val="28"/>
          <w:szCs w:val="28"/>
          <w:lang w:val="it-IT"/>
        </w:rPr>
        <w:t>phê duyệt định mức</w:t>
      </w:r>
      <w:r>
        <w:rPr>
          <w:i/>
          <w:spacing w:val="4"/>
          <w:sz w:val="28"/>
          <w:szCs w:val="28"/>
          <w:lang w:val="it-IT"/>
        </w:rPr>
        <w:t xml:space="preserve"> lập dự toán thực hiện nhiệm vụ khoa học và công nghệ thuộc phạm vi quản lý”;“Trong trường hợp cần thiết, căn cứ khả năng cân đối ngân sách và điều kiện cụ thể của từng địa phương, UBND tỉnh trình Hội đồng nhân dân cùng cấp quyết định bổ sung một số nội dung và mức chi ngoài các nội dung, định mức chi quy định tại Thông tư này để thực hiện các nhiệm vụ KH&amp;CN của địa phương đảm bảo hiệu quả, phù hợp với thực tế và theo đúng quy định của Luật ngân sách nhà nước và các văn bản hướng dẫn”.</w:t>
      </w:r>
    </w:p>
    <w:p>
      <w:pPr>
        <w:widowControl w:val="0"/>
        <w:shd w:val="clear" w:color="auto" w:fill="FFFFFF"/>
        <w:spacing w:before="60" w:after="60" w:line="265" w:lineRule="auto"/>
        <w:ind w:firstLine="709"/>
        <w:jc w:val="both"/>
        <w:rPr>
          <w:b/>
          <w:iCs/>
          <w:sz w:val="28"/>
          <w:szCs w:val="28"/>
          <w:lang w:val="nl-NL"/>
        </w:rPr>
      </w:pPr>
      <w:r>
        <w:rPr>
          <w:sz w:val="28"/>
          <w:szCs w:val="28"/>
        </w:rPr>
        <w:t>Như vậy, các văn bản của Trung ương đã có đầy đủ để xây dựng dự toán kinh phí cho thực hiện nhiệm vụ khoa học và công nghệ có sử dụng ngân sách nhà nước, vì vậy, việc ban hành Nghị quyết quy định định mức lập dự toán thực hiện nhiệm vụ khoa học và công nghệ có sử dụng ngân sách nhà nước trên địa bàn tỉnh Hải Dương là cần thiết và đúng quy định.</w:t>
      </w:r>
    </w:p>
    <w:p>
      <w:pPr>
        <w:widowControl w:val="0"/>
        <w:shd w:val="clear" w:color="auto" w:fill="FFFFFF"/>
        <w:spacing w:before="60" w:after="60" w:line="265" w:lineRule="auto"/>
        <w:ind w:firstLine="709"/>
        <w:jc w:val="both"/>
        <w:rPr>
          <w:b/>
          <w:i/>
          <w:sz w:val="28"/>
          <w:szCs w:val="28"/>
          <w:lang w:val="nl-NL"/>
        </w:rPr>
      </w:pPr>
      <w:r>
        <w:rPr>
          <w:b/>
          <w:i/>
          <w:sz w:val="28"/>
          <w:szCs w:val="28"/>
          <w:lang w:val="nl-NL"/>
        </w:rPr>
        <w:t>1.1. Phạm vi áp dụng</w:t>
      </w:r>
    </w:p>
    <w:p>
      <w:pPr>
        <w:widowControl w:val="0"/>
        <w:shd w:val="clear" w:color="auto" w:fill="FFFFFF"/>
        <w:spacing w:before="60" w:after="60" w:line="265" w:lineRule="auto"/>
        <w:ind w:firstLine="709"/>
        <w:jc w:val="both"/>
        <w:rPr>
          <w:bCs/>
          <w:iCs/>
          <w:sz w:val="28"/>
          <w:szCs w:val="28"/>
          <w:lang w:val="nl-NL"/>
        </w:rPr>
      </w:pPr>
      <w:bookmarkStart w:id="0" w:name="_Hlk108681511"/>
      <w:r>
        <w:rPr>
          <w:bCs/>
          <w:iCs/>
          <w:sz w:val="28"/>
          <w:szCs w:val="28"/>
          <w:lang w:val="nl-NL"/>
        </w:rPr>
        <w:t xml:space="preserve">Quy định định mức </w:t>
      </w:r>
      <w:r>
        <w:rPr>
          <w:sz w:val="28"/>
          <w:szCs w:val="28"/>
          <w:lang w:val="nl-NL"/>
        </w:rPr>
        <w:t>lập dự toán đối với nhiệm vụ khoa học và công nghệ có sử dụng ngân sách tỉnh Hải Dương</w:t>
      </w:r>
      <w:r>
        <w:rPr>
          <w:bCs/>
          <w:iCs/>
          <w:sz w:val="28"/>
          <w:szCs w:val="28"/>
          <w:lang w:val="nl-NL"/>
        </w:rPr>
        <w:t>.</w:t>
      </w:r>
    </w:p>
    <w:bookmarkEnd w:id="0"/>
    <w:p>
      <w:pPr>
        <w:widowControl w:val="0"/>
        <w:shd w:val="clear" w:color="auto" w:fill="FFFFFF"/>
        <w:spacing w:before="60" w:after="60" w:line="265" w:lineRule="auto"/>
        <w:ind w:firstLine="709"/>
        <w:jc w:val="both"/>
        <w:rPr>
          <w:b/>
          <w:i/>
          <w:sz w:val="28"/>
          <w:szCs w:val="28"/>
          <w:lang w:val="nl-NL"/>
        </w:rPr>
      </w:pPr>
      <w:r>
        <w:rPr>
          <w:b/>
          <w:i/>
          <w:sz w:val="28"/>
          <w:szCs w:val="28"/>
          <w:lang w:val="nl-NL"/>
        </w:rPr>
        <w:t>1.2. Đối tượng áp dụng</w:t>
      </w:r>
    </w:p>
    <w:p>
      <w:pPr>
        <w:widowControl w:val="0"/>
        <w:shd w:val="clear" w:color="auto" w:fill="FFFFFF"/>
        <w:spacing w:before="60" w:after="60" w:line="265" w:lineRule="auto"/>
        <w:ind w:firstLine="709"/>
        <w:jc w:val="both"/>
        <w:rPr>
          <w:bCs/>
          <w:sz w:val="28"/>
          <w:szCs w:val="28"/>
          <w:lang w:val="nl-NL"/>
        </w:rPr>
      </w:pPr>
      <w:r>
        <w:rPr>
          <w:bCs/>
          <w:sz w:val="28"/>
          <w:szCs w:val="28"/>
          <w:lang w:val="nl-NL"/>
        </w:rPr>
        <w:t>Cơ quan quản lý nhiệm vụ khoa học và công nghệ, cơ quan có thẩm quyền phê duyệt nhiệm vụ khoa học và công nghệ có sử dụng ngân sách của tỉnh, các tổ chức, cá nhân có sử dụng ngân sách của tỉnh và các tổ chức, cá nhân có liên quan.</w:t>
      </w:r>
    </w:p>
    <w:p>
      <w:pPr>
        <w:widowControl w:val="0"/>
        <w:shd w:val="clear" w:color="auto" w:fill="FFFFFF"/>
        <w:spacing w:before="60" w:after="60" w:line="265" w:lineRule="auto"/>
        <w:ind w:firstLine="709"/>
        <w:jc w:val="both"/>
        <w:rPr>
          <w:b/>
          <w:i/>
          <w:sz w:val="28"/>
          <w:szCs w:val="28"/>
          <w:lang w:val="nl-NL"/>
        </w:rPr>
      </w:pPr>
      <w:r>
        <w:rPr>
          <w:b/>
          <w:i/>
          <w:sz w:val="28"/>
          <w:szCs w:val="28"/>
          <w:lang w:val="nl-NL"/>
        </w:rPr>
        <w:t>1.3. Quy định cụ thể</w:t>
      </w:r>
    </w:p>
    <w:p>
      <w:pPr>
        <w:widowControl w:val="0"/>
        <w:shd w:val="clear" w:color="auto" w:fill="FFFFFF"/>
        <w:spacing w:before="60" w:after="60" w:line="265" w:lineRule="auto"/>
        <w:ind w:firstLine="709"/>
        <w:jc w:val="both"/>
        <w:rPr>
          <w:bCs/>
          <w:sz w:val="28"/>
          <w:szCs w:val="28"/>
          <w:lang w:val="nl-NL"/>
        </w:rPr>
      </w:pPr>
      <w:r>
        <w:rPr>
          <w:bCs/>
          <w:sz w:val="28"/>
          <w:szCs w:val="28"/>
          <w:lang w:val="nl-NL"/>
        </w:rPr>
        <w:t>1.3.1. Mức chi làm căn cứ xây dựng dự toán ngân sách nhà nước thực hiện nhiệm vụ khoa học và công nghệ</w:t>
      </w:r>
    </w:p>
    <w:p>
      <w:pPr>
        <w:widowControl w:val="0"/>
        <w:shd w:val="clear" w:color="auto" w:fill="FFFFFF"/>
        <w:spacing w:before="60" w:after="60" w:line="265" w:lineRule="auto"/>
        <w:ind w:firstLine="709"/>
        <w:jc w:val="both"/>
        <w:rPr>
          <w:bCs/>
          <w:sz w:val="28"/>
          <w:szCs w:val="28"/>
          <w:lang w:val="nl-NL"/>
        </w:rPr>
      </w:pPr>
      <w:r>
        <w:rPr>
          <w:bCs/>
          <w:sz w:val="28"/>
          <w:szCs w:val="28"/>
          <w:lang w:val="nl-NL"/>
        </w:rPr>
        <w:t>Mức chi làm căn cứ xây dựng dự toán ngân sách nhà nước ngân sách thực hiện nhiệm vụ khoa học và công nghệ được áp dụng mức tối đa quy định tại Điều 4 Thông tư số 03/2023/TT-BTC ngày 10/01/2023 của Bộ Tài chính.</w:t>
      </w:r>
    </w:p>
    <w:p>
      <w:pPr>
        <w:widowControl w:val="0"/>
        <w:shd w:val="clear" w:color="auto" w:fill="FFFFFF"/>
        <w:spacing w:before="60" w:after="60" w:line="265" w:lineRule="auto"/>
        <w:ind w:firstLine="709"/>
        <w:jc w:val="both"/>
        <w:rPr>
          <w:bCs/>
          <w:sz w:val="28"/>
          <w:szCs w:val="28"/>
          <w:lang w:val="nl-NL"/>
        </w:rPr>
      </w:pPr>
      <w:r>
        <w:rPr>
          <w:bCs/>
          <w:sz w:val="28"/>
          <w:szCs w:val="28"/>
          <w:lang w:val="nl-NL"/>
        </w:rPr>
        <w:t xml:space="preserve">1.3.2 Mức chi quản lý nhiệm vụ khoa học và công nghệ </w:t>
      </w:r>
    </w:p>
    <w:p>
      <w:pPr>
        <w:widowControl w:val="0"/>
        <w:shd w:val="clear" w:color="auto" w:fill="FFFFFF"/>
        <w:spacing w:before="60" w:after="60" w:line="265" w:lineRule="auto"/>
        <w:ind w:firstLine="709"/>
        <w:jc w:val="both"/>
        <w:rPr>
          <w:bCs/>
          <w:iCs/>
          <w:spacing w:val="4"/>
          <w:sz w:val="28"/>
          <w:szCs w:val="28"/>
          <w:lang w:val="nl-NL"/>
        </w:rPr>
      </w:pPr>
      <w:r>
        <w:rPr>
          <w:bCs/>
          <w:spacing w:val="4"/>
          <w:sz w:val="28"/>
          <w:szCs w:val="28"/>
          <w:lang w:val="nl-NL"/>
        </w:rPr>
        <w:t>Mức chi quản lý nhiệm vụ khoa học và công nghệ được áp dụng mức tối đa quy định tại Điều 6 Thông tư số 03/2023/TT-BTC ngày 10/01/2023 của Bộ Tài chính.</w:t>
      </w:r>
    </w:p>
    <w:p>
      <w:pPr>
        <w:widowControl w:val="0"/>
        <w:shd w:val="clear" w:color="auto" w:fill="FFFFFF"/>
        <w:spacing w:before="60" w:after="60" w:line="265" w:lineRule="auto"/>
        <w:ind w:firstLine="709"/>
        <w:jc w:val="both"/>
        <w:rPr>
          <w:bCs/>
          <w:iCs/>
          <w:sz w:val="28"/>
          <w:szCs w:val="28"/>
          <w:lang w:val="nl-NL"/>
        </w:rPr>
      </w:pPr>
      <w:r>
        <w:rPr>
          <w:b/>
          <w:i/>
          <w:sz w:val="28"/>
          <w:szCs w:val="28"/>
          <w:lang w:val="nl-NL"/>
        </w:rPr>
        <w:t>1.4. Nguồn kinh phí:</w:t>
      </w:r>
      <w:r>
        <w:rPr>
          <w:bCs/>
          <w:iCs/>
          <w:sz w:val="28"/>
          <w:szCs w:val="28"/>
          <w:lang w:val="nl-NL"/>
        </w:rPr>
        <w:t xml:space="preserve"> Ngân sách tỉnh. </w:t>
      </w:r>
    </w:p>
    <w:p>
      <w:pPr>
        <w:widowControl w:val="0"/>
        <w:shd w:val="clear" w:color="auto" w:fill="FFFFFF"/>
        <w:spacing w:before="60" w:after="60" w:line="265" w:lineRule="auto"/>
        <w:ind w:firstLine="709"/>
        <w:jc w:val="both"/>
        <w:rPr>
          <w:b/>
          <w:iCs/>
          <w:sz w:val="28"/>
          <w:szCs w:val="28"/>
          <w:lang w:val="nl-NL"/>
        </w:rPr>
      </w:pPr>
      <w:r>
        <w:rPr>
          <w:b/>
          <w:iCs/>
          <w:sz w:val="28"/>
          <w:szCs w:val="28"/>
          <w:lang w:val="nl-NL"/>
        </w:rPr>
        <w:t>2. Đánh giá tác động của chính sách.</w:t>
      </w:r>
    </w:p>
    <w:p>
      <w:pPr>
        <w:widowControl w:val="0"/>
        <w:shd w:val="clear" w:color="auto" w:fill="FFFFFF"/>
        <w:spacing w:before="60" w:after="60" w:line="265" w:lineRule="auto"/>
        <w:ind w:firstLine="709"/>
        <w:jc w:val="both"/>
        <w:rPr>
          <w:b/>
          <w:i/>
          <w:sz w:val="28"/>
          <w:szCs w:val="28"/>
          <w:lang w:val="nl-NL"/>
        </w:rPr>
      </w:pPr>
      <w:r>
        <w:rPr>
          <w:b/>
          <w:i/>
          <w:sz w:val="28"/>
          <w:szCs w:val="28"/>
          <w:lang w:val="nl-NL"/>
        </w:rPr>
        <w:t>2.1. Sự cần thiết ban hành chính sách</w:t>
      </w:r>
    </w:p>
    <w:p>
      <w:pPr>
        <w:widowControl w:val="0"/>
        <w:spacing w:before="60" w:after="60" w:line="265" w:lineRule="auto"/>
        <w:ind w:firstLine="709"/>
        <w:jc w:val="both"/>
        <w:rPr>
          <w:sz w:val="28"/>
          <w:szCs w:val="28"/>
          <w:lang w:val="nl-NL"/>
        </w:rPr>
      </w:pPr>
      <w:r>
        <w:rPr>
          <w:sz w:val="28"/>
          <w:szCs w:val="28"/>
          <w:lang w:val="nl-NL"/>
        </w:rPr>
        <w:t xml:space="preserve">Thông tư số 03/2023/TT-BTC ngày 10/01/2023 của Bộ Tài chính và Thông tư số 02/2023/TT-BKHCN ngày 08/5/2023 của Bộ Khoa học và Công nghệ thay thế toàn bộ các Điều Khoản của Thông tư liên tịch số 55/2015/TTLT-BKHCN-BTC kể từ khi có hiệu lực. Do đó toàn bộ Chương III của Quyết </w:t>
      </w:r>
      <w:r>
        <w:rPr>
          <w:sz w:val="28"/>
          <w:szCs w:val="28"/>
        </w:rPr>
        <w:t xml:space="preserve">định số </w:t>
      </w:r>
      <w:r>
        <w:rPr>
          <w:color w:val="000000"/>
          <w:sz w:val="28"/>
          <w:szCs w:val="28"/>
        </w:rPr>
        <w:t xml:space="preserve">20/2015/QĐ-UBND ngày 19 tháng 11 năm 2015 của UBND tỉnh Hải Dương ban hành </w:t>
      </w:r>
      <w:r>
        <w:rPr>
          <w:sz w:val="28"/>
          <w:szCs w:val="28"/>
        </w:rPr>
        <w:t xml:space="preserve">Quy định quản lý và định mức xây dựng dự toán kinh phí đối với các nhiệm vụ khoa học công nghệ cấp tỉnh sử dụng ngân sách nhà nước trên địa bàn tỉnh Hải Dương </w:t>
      </w:r>
      <w:r>
        <w:rPr>
          <w:sz w:val="28"/>
          <w:szCs w:val="28"/>
          <w:lang w:val="nl-NL"/>
        </w:rPr>
        <w:t>cũng hết hiệu lực thi hành.</w:t>
      </w:r>
    </w:p>
    <w:p>
      <w:pPr>
        <w:widowControl w:val="0"/>
        <w:spacing w:before="60" w:after="60" w:line="265" w:lineRule="auto"/>
        <w:ind w:firstLine="709"/>
        <w:jc w:val="both"/>
        <w:rPr>
          <w:i/>
          <w:sz w:val="28"/>
          <w:szCs w:val="28"/>
          <w:lang w:val="nl-NL"/>
        </w:rPr>
      </w:pPr>
      <w:r>
        <w:rPr>
          <w:sz w:val="28"/>
          <w:szCs w:val="28"/>
          <w:lang w:val="nl-NL"/>
        </w:rPr>
        <w:t>Theo quy định Điều 2 Thông tư số 03/2023/TT-BTC ngày 10/01/2023 của Bộ Tài chính quy định “</w:t>
      </w:r>
      <w:r>
        <w:rPr>
          <w:i/>
          <w:sz w:val="28"/>
          <w:szCs w:val="28"/>
          <w:lang w:val="pl-PL"/>
        </w:rPr>
        <w:t>Các định mức lập dự toán kinh phí ngân sách nhà nước quy định tại Thông tư này là định mức tối đa áp dụng đối với nhiệm vụ khoa học và công nghệ cấp quốc gia sử dụng ngân sách nhà nước. Căn cứ quy định tại Thông tư này, các bộ, cơ quan ngang bộ, cơ quan thuộc Chính phủ (sau đây gọi là các bộ, cơ quan trung ương) và các địa phương căn cứ tình hình thực tế và khả năng ngân sách được giao để phê duyệt định mức lập dự toán thực hiện nhiệm vụ khoa học và công nghệ thuộc phạm vi quản lý để thực hiện thống nhất trong phạm vi bộ, cơ quan trung ương và địa phương, đảm bảo phù hợp với đặc thù hoạt động khoa học và công nghệ của bộ, cơ quan trung ương, địa phương và khả năng cân đối ngân sách được giao, nhưng tối đa không vượt quá định mức quy định tại Thông tư này</w:t>
      </w:r>
      <w:r>
        <w:rPr>
          <w:i/>
          <w:sz w:val="28"/>
          <w:szCs w:val="28"/>
          <w:lang w:val="nl-NL"/>
        </w:rPr>
        <w:t>”.</w:t>
      </w:r>
    </w:p>
    <w:p>
      <w:pPr>
        <w:widowControl w:val="0"/>
        <w:spacing w:before="60" w:after="60" w:line="265" w:lineRule="auto"/>
        <w:ind w:firstLine="709"/>
        <w:jc w:val="both"/>
        <w:rPr>
          <w:sz w:val="28"/>
          <w:szCs w:val="28"/>
          <w:lang w:val="nl-NL"/>
        </w:rPr>
      </w:pPr>
      <w:r>
        <w:rPr>
          <w:sz w:val="28"/>
          <w:szCs w:val="28"/>
        </w:rPr>
        <w:t>Vì vậy, việc ban hành Nghị quyết quy định định mức lập dự toán thực hiện nhiệm vụ khoa học và công nghệ có sử dụng NSNN trên địa bàn tỉnh Hải Dương là cần thiết và đúng quy định.</w:t>
      </w:r>
    </w:p>
    <w:p>
      <w:pPr>
        <w:widowControl w:val="0"/>
        <w:spacing w:before="60" w:after="60" w:line="265" w:lineRule="auto"/>
        <w:ind w:firstLine="709"/>
        <w:jc w:val="both"/>
        <w:rPr>
          <w:b/>
          <w:i/>
          <w:sz w:val="28"/>
          <w:szCs w:val="28"/>
          <w:lang w:val="nl-NL"/>
        </w:rPr>
      </w:pPr>
      <w:r>
        <w:rPr>
          <w:b/>
          <w:i/>
          <w:sz w:val="28"/>
          <w:szCs w:val="28"/>
          <w:lang w:val="nl-NL"/>
        </w:rPr>
        <w:t>2.2. Đánh giá tác động</w:t>
      </w:r>
    </w:p>
    <w:p>
      <w:pPr>
        <w:widowControl w:val="0"/>
        <w:spacing w:before="60" w:after="60" w:line="265" w:lineRule="auto"/>
        <w:ind w:firstLine="709"/>
        <w:jc w:val="both"/>
        <w:rPr>
          <w:bCs/>
          <w:i/>
          <w:sz w:val="28"/>
          <w:szCs w:val="28"/>
          <w:lang w:val="nl-NL"/>
        </w:rPr>
      </w:pPr>
      <w:r>
        <w:rPr>
          <w:bCs/>
          <w:i/>
          <w:sz w:val="28"/>
          <w:szCs w:val="28"/>
          <w:lang w:val="nl-NL"/>
        </w:rPr>
        <w:t>2.2.1. Tác động xã hội</w:t>
      </w:r>
    </w:p>
    <w:p>
      <w:pPr>
        <w:widowControl w:val="0"/>
        <w:pBdr>
          <w:top w:val="none" w:color="auto" w:sz="0" w:space="0"/>
          <w:left w:val="none" w:color="auto" w:sz="0" w:space="0"/>
          <w:bottom w:val="none" w:color="auto" w:sz="0" w:space="0"/>
          <w:right w:val="none" w:color="auto" w:sz="0" w:space="0"/>
          <w:between w:val="none" w:color="auto" w:sz="0" w:space="0"/>
        </w:pBdr>
        <w:spacing w:before="60" w:after="60" w:line="265" w:lineRule="auto"/>
        <w:ind w:firstLine="709"/>
        <w:jc w:val="both"/>
        <w:rPr>
          <w:rFonts w:eastAsia="Arial"/>
          <w:sz w:val="28"/>
          <w:szCs w:val="28"/>
          <w:lang w:val="nl-NL" w:eastAsia="vi-VN"/>
        </w:rPr>
      </w:pPr>
      <w:r>
        <w:rPr>
          <w:rFonts w:eastAsia="Arial"/>
          <w:sz w:val="28"/>
          <w:szCs w:val="28"/>
          <w:lang w:val="nl-NL" w:eastAsia="vi-VN"/>
        </w:rPr>
        <w:t xml:space="preserve">Quy định cụ thể mức chi đảm bảo việc lập dự toán kinh phí ngân sách nhà nước để thực hiện nhiệm vụ KH&amp;CN một cách rõ ràng, thống nhất, tăng cường công khai, minh bạch trong sử dụng ngân sách nhà nước </w:t>
      </w:r>
    </w:p>
    <w:p>
      <w:pPr>
        <w:widowControl w:val="0"/>
        <w:pBdr>
          <w:top w:val="none" w:color="auto" w:sz="0" w:space="0"/>
          <w:left w:val="none" w:color="auto" w:sz="0" w:space="0"/>
          <w:bottom w:val="none" w:color="auto" w:sz="0" w:space="0"/>
          <w:right w:val="none" w:color="auto" w:sz="0" w:space="0"/>
          <w:between w:val="none" w:color="auto" w:sz="0" w:space="0"/>
        </w:pBdr>
        <w:spacing w:before="60" w:after="60" w:line="265" w:lineRule="auto"/>
        <w:ind w:firstLine="709"/>
        <w:jc w:val="both"/>
        <w:rPr>
          <w:rFonts w:eastAsia="Arial"/>
          <w:sz w:val="28"/>
          <w:szCs w:val="28"/>
          <w:lang w:val="nl-NL" w:eastAsia="vi-VN"/>
        </w:rPr>
      </w:pPr>
      <w:r>
        <w:rPr>
          <w:bCs/>
          <w:i/>
          <w:sz w:val="28"/>
          <w:szCs w:val="28"/>
          <w:lang w:val="nl-NL"/>
        </w:rPr>
        <w:t>2.2.2. Tác động của thủ tục hành chính.</w:t>
      </w:r>
    </w:p>
    <w:p>
      <w:pPr>
        <w:widowControl w:val="0"/>
        <w:spacing w:before="60" w:after="60" w:line="265" w:lineRule="auto"/>
        <w:ind w:firstLine="709"/>
        <w:jc w:val="both"/>
        <w:rPr>
          <w:sz w:val="28"/>
          <w:szCs w:val="28"/>
          <w:lang w:val="nl-NL"/>
        </w:rPr>
      </w:pPr>
      <w:r>
        <w:rPr>
          <w:sz w:val="28"/>
          <w:szCs w:val="28"/>
          <w:lang w:val="nl-NL"/>
        </w:rPr>
        <w:tab/>
      </w:r>
      <w:r>
        <w:rPr>
          <w:sz w:val="28"/>
          <w:szCs w:val="28"/>
          <w:lang w:val="nl-NL"/>
        </w:rPr>
        <w:t>Không phát sinh thêm thủ tục hành chính.</w:t>
      </w:r>
    </w:p>
    <w:p>
      <w:pPr>
        <w:widowControl w:val="0"/>
        <w:spacing w:before="60" w:after="60" w:line="265" w:lineRule="auto"/>
        <w:ind w:firstLine="709"/>
        <w:jc w:val="both"/>
        <w:rPr>
          <w:bCs/>
          <w:i/>
          <w:sz w:val="28"/>
          <w:szCs w:val="28"/>
          <w:lang w:val="nl-NL"/>
        </w:rPr>
      </w:pPr>
      <w:r>
        <w:rPr>
          <w:bCs/>
          <w:i/>
          <w:sz w:val="28"/>
          <w:szCs w:val="28"/>
          <w:lang w:val="nl-NL"/>
        </w:rPr>
        <w:t>2.2.3. Tác động của hệ thống pháp luật.</w:t>
      </w:r>
    </w:p>
    <w:p>
      <w:pPr>
        <w:widowControl w:val="0"/>
        <w:spacing w:before="60" w:after="60" w:line="265" w:lineRule="auto"/>
        <w:ind w:firstLine="709"/>
        <w:jc w:val="both"/>
        <w:rPr>
          <w:bCs/>
          <w:sz w:val="28"/>
          <w:szCs w:val="28"/>
          <w:lang w:val="vi-VN"/>
        </w:rPr>
      </w:pPr>
      <w:r>
        <w:rPr>
          <w:sz w:val="28"/>
          <w:szCs w:val="28"/>
          <w:lang w:val="nl-NL"/>
        </w:rPr>
        <w:t>Thực hiện theo đúng quy định của pháp luật, Luật Ngân sách nhà nước, các quy định hiện hành của Trung ương, của tỉnh và phù hợp điều kiện thực tiễn của tỉnh Hải Dương</w:t>
      </w:r>
      <w:r>
        <w:rPr>
          <w:bCs/>
          <w:sz w:val="28"/>
          <w:szCs w:val="28"/>
          <w:lang w:val="vi-VN"/>
        </w:rPr>
        <w:t>.</w:t>
      </w:r>
    </w:p>
    <w:p>
      <w:pPr>
        <w:widowControl w:val="0"/>
        <w:spacing w:before="60" w:after="60" w:line="265" w:lineRule="auto"/>
        <w:ind w:firstLine="709"/>
        <w:jc w:val="both"/>
        <w:rPr>
          <w:i/>
          <w:iCs/>
          <w:sz w:val="28"/>
          <w:szCs w:val="28"/>
          <w:lang w:val="vi-VN"/>
        </w:rPr>
      </w:pPr>
      <w:r>
        <w:rPr>
          <w:i/>
          <w:iCs/>
          <w:sz w:val="28"/>
          <w:szCs w:val="28"/>
        </w:rPr>
        <w:t>2.2.4</w:t>
      </w:r>
      <w:r>
        <w:rPr>
          <w:i/>
          <w:iCs/>
          <w:sz w:val="28"/>
          <w:szCs w:val="28"/>
          <w:lang w:val="vi-VN"/>
        </w:rPr>
        <w:t xml:space="preserve">. </w:t>
      </w:r>
      <w:r>
        <w:rPr>
          <w:i/>
          <w:iCs/>
          <w:sz w:val="28"/>
          <w:szCs w:val="28"/>
        </w:rPr>
        <w:t>T</w:t>
      </w:r>
      <w:r>
        <w:rPr>
          <w:i/>
          <w:iCs/>
          <w:sz w:val="28"/>
          <w:szCs w:val="28"/>
          <w:lang w:val="vi-VN"/>
        </w:rPr>
        <w:t>ác động đối với đối tượng chịu sự tác động trực tiếp của chính sách và các đối tượng khác có liên quan</w:t>
      </w:r>
    </w:p>
    <w:p>
      <w:pPr>
        <w:widowControl w:val="0"/>
        <w:spacing w:before="60" w:after="60" w:line="265" w:lineRule="auto"/>
        <w:ind w:firstLine="709"/>
        <w:jc w:val="both"/>
        <w:rPr>
          <w:sz w:val="28"/>
          <w:szCs w:val="28"/>
          <w:lang w:val="vi-VN"/>
        </w:rPr>
      </w:pPr>
      <w:r>
        <w:rPr>
          <w:sz w:val="28"/>
          <w:szCs w:val="28"/>
          <w:lang w:val="vi-VN"/>
        </w:rPr>
        <w:t>- Tác động tích cực:</w:t>
      </w:r>
    </w:p>
    <w:p>
      <w:pPr>
        <w:widowControl w:val="0"/>
        <w:spacing w:before="60" w:after="60" w:line="265" w:lineRule="auto"/>
        <w:ind w:firstLine="709"/>
        <w:jc w:val="both"/>
        <w:rPr>
          <w:bCs/>
          <w:spacing w:val="-4"/>
          <w:sz w:val="28"/>
          <w:szCs w:val="28"/>
          <w:lang w:val="pt-BR"/>
        </w:rPr>
      </w:pPr>
      <w:r>
        <w:rPr>
          <w:bCs/>
          <w:spacing w:val="-4"/>
          <w:sz w:val="28"/>
          <w:szCs w:val="28"/>
          <w:lang w:val="pt-BR"/>
        </w:rPr>
        <w:t xml:space="preserve">Chính sách được ban hành sẽ thu hút được các nhà khoa học, các chuyên gia giỏi ở các Viện Trường Đại học, các cơ quan Trung ương tham gia nghiên cứu, tham gia các Hội đồng tư vấn khoa học và công nghệ cho tỉnh góp phần nâng cao chất lượng nhiệm vụ khoa học và công nghệ của tỉnh, phù hợp </w:t>
      </w:r>
      <w:r>
        <w:rPr>
          <w:sz w:val="28"/>
          <w:szCs w:val="28"/>
        </w:rPr>
        <w:t>với nguồn lực</w:t>
      </w:r>
      <w:r>
        <w:rPr>
          <w:bCs/>
          <w:spacing w:val="-4"/>
          <w:sz w:val="28"/>
          <w:szCs w:val="28"/>
          <w:lang w:val="pt-BR"/>
        </w:rPr>
        <w:t>, tình hình thực tế của địa phương.</w:t>
      </w:r>
    </w:p>
    <w:p>
      <w:pPr>
        <w:widowControl w:val="0"/>
        <w:spacing w:before="60" w:after="60" w:line="265" w:lineRule="auto"/>
        <w:ind w:firstLine="709"/>
        <w:jc w:val="both"/>
        <w:rPr>
          <w:sz w:val="28"/>
          <w:szCs w:val="28"/>
          <w:lang w:val="vi-VN"/>
        </w:rPr>
      </w:pPr>
      <w:r>
        <w:rPr>
          <w:sz w:val="28"/>
          <w:szCs w:val="28"/>
          <w:lang w:val="vi-VN"/>
        </w:rPr>
        <w:t>- Tác động tiêu cực:</w:t>
      </w:r>
    </w:p>
    <w:p>
      <w:pPr>
        <w:widowControl w:val="0"/>
        <w:spacing w:before="60" w:after="60" w:line="265" w:lineRule="auto"/>
        <w:ind w:firstLine="709"/>
        <w:jc w:val="both"/>
        <w:rPr>
          <w:sz w:val="28"/>
          <w:szCs w:val="28"/>
        </w:rPr>
      </w:pPr>
      <w:r>
        <w:rPr>
          <w:sz w:val="28"/>
          <w:szCs w:val="28"/>
          <w:lang w:val="vi-VN"/>
        </w:rPr>
        <w:t xml:space="preserve">Việc </w:t>
      </w:r>
      <w:r>
        <w:rPr>
          <w:sz w:val="28"/>
          <w:szCs w:val="28"/>
        </w:rPr>
        <w:t xml:space="preserve">ban hành chính sách sẽ làm tăng kinh phí công tác quản lý và kinh phí của các nhiệm vụ khoa học và công nghệ, </w:t>
      </w:r>
      <w:r>
        <w:rPr>
          <w:sz w:val="28"/>
          <w:szCs w:val="28"/>
          <w:lang w:val="vi-VN"/>
        </w:rPr>
        <w:t xml:space="preserve">dự kiến 01 (một) năm ngân sách </w:t>
      </w:r>
      <w:r>
        <w:rPr>
          <w:sz w:val="28"/>
          <w:szCs w:val="28"/>
        </w:rPr>
        <w:t>sự nghiệp khoa học sẽ tăng kinh phí công tác quản lý và kinh phí của các nhiệm vụ khoa học và công nghệ khoảng 7,0 tỷ đồng. Trong đó dự toán kinh phí quản lý nhiệm vụ khoa học và công nghệ tăng khoảng 1,0 tỷ đồng; dự toán kinh phí đối với các nhiệm vụ KH&amp;CN tăng khoảng 6,0 tỷ đồng (</w:t>
      </w:r>
      <w:r>
        <w:rPr>
          <w:i/>
          <w:iCs/>
          <w:sz w:val="28"/>
          <w:szCs w:val="28"/>
        </w:rPr>
        <w:t>có Biểu số liệu kèm theo</w:t>
      </w:r>
      <w:r>
        <w:rPr>
          <w:sz w:val="28"/>
          <w:szCs w:val="28"/>
        </w:rPr>
        <w:t xml:space="preserve">). Tuy nhiên tổng số kinh phí tăng thêm hằng năm vẫn đảm bảo nằm trong tổng số ngân sách sự nghiệp khoa học và công nghệ của tỉnh giao cho Sở Khoa học và Công nghệ quản lý. </w:t>
      </w:r>
    </w:p>
    <w:p>
      <w:pPr>
        <w:widowControl w:val="0"/>
        <w:spacing w:before="60" w:after="60" w:line="265" w:lineRule="auto"/>
        <w:ind w:firstLine="709"/>
        <w:jc w:val="both"/>
        <w:rPr>
          <w:b/>
          <w:i/>
          <w:sz w:val="28"/>
          <w:szCs w:val="28"/>
          <w:lang w:val="nl-NL"/>
        </w:rPr>
      </w:pPr>
      <w:r>
        <w:rPr>
          <w:b/>
          <w:i/>
          <w:sz w:val="28"/>
          <w:szCs w:val="28"/>
          <w:lang w:val="nl-NL"/>
        </w:rPr>
        <w:t>2.3. Lấy ý kiến</w:t>
      </w:r>
    </w:p>
    <w:p>
      <w:pPr>
        <w:widowControl w:val="0"/>
        <w:spacing w:before="60" w:after="60" w:line="265" w:lineRule="auto"/>
        <w:ind w:firstLine="709"/>
        <w:jc w:val="both"/>
        <w:rPr>
          <w:sz w:val="28"/>
          <w:szCs w:val="28"/>
          <w:lang w:val="nl-NL"/>
        </w:rPr>
      </w:pPr>
      <w:r>
        <w:rPr>
          <w:sz w:val="28"/>
          <w:szCs w:val="28"/>
          <w:lang w:val="nl-NL"/>
        </w:rPr>
        <w:t>Cơ quan chủ trì soạn thảo văn bản (Sở Khoa học và Công nghệ) đã có văn bản lấy ý kiến góp ý dự thảo Nghị quyết gửi các sở, ban, ngành, UBND các huyện, thị xã, thành phố, gửi hồ sơ dự thảo Nghị quyết tới Ủy ban Mặt trận Tổ quốc Việt Nam Tỉnh Hải Dương đồng thời thực hiện đăng tải trên Cổng thông tin điện tử của tỉnh 30 ngày để lấy ý kiến của các tổ chức, cá nhân, lấy ý kiến đối tượng chịu sự tác động của chính sách. Sau khi tổng hợp ý kiến góp ý của các cơ quan, đơn vị, cơ quan chủ trì, soạn thảo báo cáo tổng hợp, giải trình tiếp thu ý kiến điều chỉnh hoàn thiện hồ sơ gửi Sở Tư pháp thẩm định. Sau khi có ý kiến thẩm định của Sở Tư pháp, tiếp tục hoàn thiện tham mưu Ủy ban nhân dân tỉnh gửi các Ban của Hội đồng nhân dân tỉnh thẩm định trước khi trình Hội đồng nhân dân tỉnh quyết định.</w:t>
      </w:r>
    </w:p>
    <w:p>
      <w:pPr>
        <w:widowControl w:val="0"/>
        <w:spacing w:before="60" w:after="60" w:line="265" w:lineRule="auto"/>
        <w:ind w:firstLine="709"/>
        <w:jc w:val="both"/>
        <w:rPr>
          <w:b/>
          <w:i/>
          <w:sz w:val="28"/>
          <w:szCs w:val="28"/>
          <w:lang w:val="nl-NL"/>
        </w:rPr>
      </w:pPr>
      <w:r>
        <w:rPr>
          <w:b/>
          <w:i/>
          <w:sz w:val="28"/>
          <w:szCs w:val="28"/>
          <w:lang w:val="nl-NL"/>
        </w:rPr>
        <w:t>2.4. Giám sát và đánh giá</w:t>
      </w:r>
    </w:p>
    <w:p>
      <w:pPr>
        <w:widowControl w:val="0"/>
        <w:spacing w:before="60" w:after="60" w:line="265" w:lineRule="auto"/>
        <w:ind w:firstLine="709"/>
        <w:jc w:val="both"/>
        <w:rPr>
          <w:sz w:val="28"/>
          <w:szCs w:val="28"/>
          <w:lang w:val="nl-NL"/>
        </w:rPr>
      </w:pPr>
      <w:r>
        <w:rPr>
          <w:sz w:val="28"/>
          <w:szCs w:val="28"/>
          <w:lang w:val="nl-NL"/>
        </w:rPr>
        <w:t>a) Cơ quan chịu trách nhiệm tổ chức thi hành: UBND tỉnh giao Sở Khoa học và Công nghệ chủ trì, phối hợp với các sở, ngành, UBND huyện, thị xã, thành phố và các đơn vị có liên quan tổ chức thi hành chính sách; theo dõi việc hướng dẫn, tổ chức thi hành chính sách. Hàng năm, tổng hợp, báo cáo Ủy ban nhân dân tỉnh tình hình và kết quả thực hiện việc hỗ trợ theo chính sách, tham mưu Ủy ban nhân dân tỉnh báo cáo Thường trực Hội đồng nhân dân tỉnh theo quy định.</w:t>
      </w:r>
    </w:p>
    <w:p>
      <w:pPr>
        <w:widowControl w:val="0"/>
        <w:spacing w:before="60" w:after="60" w:line="265" w:lineRule="auto"/>
        <w:ind w:firstLine="709"/>
        <w:jc w:val="both"/>
        <w:rPr>
          <w:sz w:val="28"/>
          <w:szCs w:val="28"/>
          <w:lang w:val="nl-NL"/>
        </w:rPr>
      </w:pPr>
      <w:r>
        <w:rPr>
          <w:sz w:val="28"/>
          <w:szCs w:val="28"/>
          <w:lang w:val="nl-NL"/>
        </w:rPr>
        <w:t>b) Cơ quan giám sát: Thường trực Hội đồng nhân dân tỉnh, các Ban Hội đồng nhân dân tỉnh, đại biểu Hội đồng nhân dân tỉnh, Ủy ban Mặt trận Tổ quốc Việt Nam, các tổ chức chính trị - xã hội giám sát, đánh giá việc thi hành chính sách.</w:t>
      </w:r>
    </w:p>
    <w:p>
      <w:pPr>
        <w:widowControl w:val="0"/>
        <w:spacing w:before="60" w:after="60" w:line="265" w:lineRule="auto"/>
        <w:ind w:firstLine="709"/>
        <w:jc w:val="both"/>
        <w:rPr>
          <w:spacing w:val="-2"/>
          <w:sz w:val="28"/>
          <w:szCs w:val="28"/>
          <w:lang w:val="nl-NL"/>
        </w:rPr>
      </w:pPr>
      <w:r>
        <w:rPr>
          <w:spacing w:val="-2"/>
          <w:sz w:val="28"/>
          <w:szCs w:val="28"/>
          <w:lang w:val="nl-NL"/>
        </w:rPr>
        <w:t xml:space="preserve">Trên đây là báo cáo đánh giá tác động của chính sách quy định </w:t>
      </w:r>
      <w:r>
        <w:rPr>
          <w:bCs/>
          <w:spacing w:val="-2"/>
          <w:sz w:val="28"/>
          <w:szCs w:val="28"/>
          <w:lang w:val="nl-NL"/>
        </w:rPr>
        <w:t>định mức lập kinh phí đối với nhiệm vụ khoa học và công nghệ có sử dụng ngân sách nhà nước trên địa bàn tỉnh Hải Dương</w:t>
      </w:r>
      <w:r>
        <w:rPr>
          <w:spacing w:val="-2"/>
          <w:sz w:val="28"/>
          <w:szCs w:val="28"/>
          <w:lang w:val="nl-NL"/>
        </w:rPr>
        <w:t>, Sở Khoa học và Công nghệ kính báo cáo</w:t>
      </w:r>
      <w:r>
        <w:rPr>
          <w:bCs/>
          <w:spacing w:val="-2"/>
          <w:sz w:val="28"/>
          <w:szCs w:val="28"/>
          <w:lang w:val="nl-NL"/>
        </w:rPr>
        <w:t>.</w:t>
      </w:r>
      <w:r>
        <w:rPr>
          <w:spacing w:val="-2"/>
          <w:sz w:val="28"/>
          <w:szCs w:val="28"/>
          <w:lang w:val="nl-NL"/>
        </w:rPr>
        <w:t>/.</w:t>
      </w:r>
    </w:p>
    <w:p>
      <w:pPr>
        <w:ind w:firstLine="720"/>
        <w:jc w:val="both"/>
        <w:rPr>
          <w:sz w:val="28"/>
          <w:szCs w:val="28"/>
          <w:lang w:val="nl-NL"/>
        </w:rPr>
      </w:pPr>
    </w:p>
    <w:tbl>
      <w:tblPr>
        <w:tblStyle w:val="5"/>
        <w:tblW w:w="9214" w:type="dxa"/>
        <w:tblInd w:w="-34" w:type="dxa"/>
        <w:tblLayout w:type="autofit"/>
        <w:tblCellMar>
          <w:top w:w="0" w:type="dxa"/>
          <w:left w:w="108" w:type="dxa"/>
          <w:bottom w:w="0" w:type="dxa"/>
          <w:right w:w="108" w:type="dxa"/>
        </w:tblCellMar>
      </w:tblPr>
      <w:tblGrid>
        <w:gridCol w:w="4962"/>
        <w:gridCol w:w="4252"/>
      </w:tblGrid>
      <w:tr>
        <w:tblPrEx>
          <w:tblCellMar>
            <w:top w:w="0" w:type="dxa"/>
            <w:left w:w="108" w:type="dxa"/>
            <w:bottom w:w="0" w:type="dxa"/>
            <w:right w:w="108" w:type="dxa"/>
          </w:tblCellMar>
        </w:tblPrEx>
        <w:tc>
          <w:tcPr>
            <w:tcW w:w="4962" w:type="dxa"/>
          </w:tcPr>
          <w:p>
            <w:pPr>
              <w:rPr>
                <w:b/>
                <w:i/>
                <w:lang w:val="vi-VN"/>
              </w:rPr>
            </w:pPr>
            <w:r>
              <w:rPr>
                <w:b/>
                <w:i/>
              </w:rPr>
              <mc:AlternateContent>
                <mc:Choice Requires="wps">
                  <w:drawing>
                    <wp:anchor distT="0" distB="0" distL="114300" distR="114300" simplePos="0" relativeHeight="251661312" behindDoc="0" locked="0" layoutInCell="1" allowOverlap="1">
                      <wp:simplePos x="0" y="0"/>
                      <wp:positionH relativeFrom="column">
                        <wp:posOffset>1712595</wp:posOffset>
                      </wp:positionH>
                      <wp:positionV relativeFrom="paragraph">
                        <wp:posOffset>176530</wp:posOffset>
                      </wp:positionV>
                      <wp:extent cx="0" cy="462280"/>
                      <wp:effectExtent l="0" t="0" r="19050" b="33020"/>
                      <wp:wrapNone/>
                      <wp:docPr id="3" name="Straight Connector 3"/>
                      <wp:cNvGraphicFramePr/>
                      <a:graphic xmlns:a="http://schemas.openxmlformats.org/drawingml/2006/main">
                        <a:graphicData uri="http://schemas.microsoft.com/office/word/2010/wordprocessingShape">
                          <wps:wsp>
                            <wps:cNvCnPr/>
                            <wps:spPr>
                              <a:xfrm>
                                <a:off x="0" y="0"/>
                                <a:ext cx="0" cy="4625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4.85pt;margin-top:13.9pt;height:36.4pt;width:0pt;z-index:251661312;mso-width-relative:page;mso-height-relative:page;" filled="f" stroked="t" coordsize="21600,21600" o:gfxdata="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Tts9bdQAAAAKAQAADwAAAAAAAAABACAAAAAiAAAAZHJzL2Rvd25yZXYu&#10;eG1sUEsBAhQAFAAAAAgAh07iQLtaFHXGAQAAnAMAAA4AAAAAAAAAAQAgAAAAIwEAAGRycy9lMm9E&#10;b2MueG1sUEsFBgAAAAAGAAYAWQEAAFsFAAAAAA==&#10;">
                      <v:fill on="f" focussize="0,0"/>
                      <v:stroke color="#000000 [3213]" joinstyle="round"/>
                      <v:imagedata o:title=""/>
                      <o:lock v:ext="edit" aspectratio="f"/>
                    </v:line>
                  </w:pict>
                </mc:Fallback>
              </mc:AlternateContent>
            </w:r>
            <w:r>
              <w:rPr>
                <w:b/>
                <w:i/>
                <w:lang w:val="vi-VN"/>
              </w:rPr>
              <w:t>Nơi nhận:</w:t>
            </w:r>
          </w:p>
          <w:p>
            <w:pPr>
              <w:rPr>
                <w:sz w:val="22"/>
                <w:szCs w:val="22"/>
                <w:lang w:val="nl-NL"/>
              </w:rPr>
            </w:pPr>
            <w:r>
              <w:rPr>
                <w:b/>
                <w:i/>
              </w:rPr>
              <mc:AlternateContent>
                <mc:Choice Requires="wps">
                  <w:drawing>
                    <wp:anchor distT="45720" distB="45720" distL="114300" distR="114300" simplePos="0" relativeHeight="251662336" behindDoc="1" locked="0" layoutInCell="1" allowOverlap="1">
                      <wp:simplePos x="0" y="0"/>
                      <wp:positionH relativeFrom="column">
                        <wp:posOffset>1863090</wp:posOffset>
                      </wp:positionH>
                      <wp:positionV relativeFrom="paragraph">
                        <wp:posOffset>87630</wp:posOffset>
                      </wp:positionV>
                      <wp:extent cx="699135" cy="1404620"/>
                      <wp:effectExtent l="0" t="0" r="5715" b="0"/>
                      <wp:wrapTight wrapText="bothSides">
                        <wp:wrapPolygon>
                          <wp:start x="0" y="0"/>
                          <wp:lineTo x="0" y="19410"/>
                          <wp:lineTo x="21188" y="19410"/>
                          <wp:lineTo x="21188" y="0"/>
                          <wp:lineTo x="0" y="0"/>
                        </wp:wrapPolygon>
                      </wp:wrapTight>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99135" cy="1404620"/>
                              </a:xfrm>
                              <a:prstGeom prst="rect">
                                <a:avLst/>
                              </a:prstGeom>
                              <a:solidFill>
                                <a:srgbClr val="FFFFFF"/>
                              </a:solidFill>
                              <a:ln w="9525">
                                <a:noFill/>
                                <a:miter lim="800000"/>
                              </a:ln>
                            </wps:spPr>
                            <wps:txbx>
                              <w:txbxContent>
                                <w:p>
                                  <w:r>
                                    <w:t>(để b/c)</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146.7pt;margin-top:6.9pt;height:110.6pt;width:55.05pt;mso-wrap-distance-left:9pt;mso-wrap-distance-right:9pt;z-index:-251654144;mso-width-relative:page;mso-height-relative:margin;mso-height-percent:200;" fillcolor="#FFFFFF" filled="t" stroked="f" coordsize="21600,21600" wrapcoords="0 0 0 19410 21188 19410 21188 0 0 0" o:gfxdata="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FURMp1wAAAAoBAAAPAAAAAAAAAAEAIAAAACIAAABkcnMvZG93bnJldi54bWxQSwECFAAU&#10;AAAACACHTuJAxWlm3ysCAABTBAAADgAAAAAAAAABACAAAAAmAQAAZHJzL2Uyb0RvYy54bWxQSwUG&#10;AAAAAAYABgBZAQAAwwUAAAAA&#10;">
                      <v:fill on="t" focussize="0,0"/>
                      <v:stroke on="f" miterlimit="8" joinstyle="miter"/>
                      <v:imagedata o:title=""/>
                      <o:lock v:ext="edit" aspectratio="f"/>
                      <v:textbox style="mso-fit-shape-to-text:t;">
                        <w:txbxContent>
                          <w:p>
                            <w:r>
                              <w:t>(để b/c)</w:t>
                            </w:r>
                          </w:p>
                        </w:txbxContent>
                      </v:textbox>
                      <w10:wrap type="tight"/>
                    </v:shape>
                  </w:pict>
                </mc:Fallback>
              </mc:AlternateContent>
            </w:r>
            <w:r>
              <w:rPr>
                <w:sz w:val="22"/>
                <w:szCs w:val="22"/>
                <w:lang w:val="nl-NL"/>
              </w:rPr>
              <w:t>- UBND tỉnh;</w:t>
            </w:r>
          </w:p>
          <w:p>
            <w:pPr>
              <w:rPr>
                <w:sz w:val="22"/>
                <w:szCs w:val="22"/>
                <w:lang w:val="nl-NL"/>
              </w:rPr>
            </w:pPr>
            <w:r>
              <w:rPr>
                <w:sz w:val="22"/>
                <w:szCs w:val="22"/>
                <w:lang w:val="nl-NL"/>
              </w:rPr>
              <w:t>- Chủ tịch UBND tỉnh;</w:t>
            </w:r>
          </w:p>
          <w:p>
            <w:pPr>
              <w:rPr>
                <w:sz w:val="22"/>
                <w:szCs w:val="22"/>
                <w:lang w:val="nl-NL"/>
              </w:rPr>
            </w:pPr>
            <w:r>
              <w:rPr>
                <w:sz w:val="22"/>
                <w:szCs w:val="22"/>
                <w:lang w:val="nl-NL"/>
              </w:rPr>
              <w:t>- Các PCT UBND tỉnh;</w:t>
            </w:r>
          </w:p>
          <w:p>
            <w:pPr>
              <w:rPr>
                <w:sz w:val="22"/>
                <w:szCs w:val="22"/>
                <w:lang w:val="nl-NL"/>
              </w:rPr>
            </w:pPr>
            <w:r>
              <w:rPr>
                <w:sz w:val="22"/>
                <w:szCs w:val="22"/>
                <w:lang w:val="nl-NL"/>
              </w:rPr>
              <w:t>- Ban KTNS - HĐND tỉnh;</w:t>
            </w:r>
            <w:r>
              <w:rPr>
                <w:sz w:val="22"/>
                <w:szCs w:val="22"/>
                <w:lang w:val="vi-VN"/>
              </w:rPr>
              <w:t xml:space="preserve">          </w:t>
            </w:r>
          </w:p>
          <w:p>
            <w:pPr>
              <w:rPr>
                <w:sz w:val="22"/>
                <w:szCs w:val="22"/>
                <w:lang w:val="da-DK"/>
              </w:rPr>
            </w:pPr>
            <w:r>
              <w:rPr>
                <w:sz w:val="22"/>
                <w:szCs w:val="22"/>
                <w:lang w:val="da-DK"/>
              </w:rPr>
              <w:t>- VP Đoàn ĐBQH &amp; HĐND tỉnh;</w:t>
            </w:r>
          </w:p>
          <w:p>
            <w:pPr>
              <w:rPr>
                <w:sz w:val="22"/>
                <w:szCs w:val="22"/>
                <w:lang w:val="da-DK"/>
              </w:rPr>
            </w:pPr>
            <w:r>
              <w:rPr>
                <w:sz w:val="22"/>
                <w:szCs w:val="22"/>
                <w:lang w:val="da-DK"/>
              </w:rPr>
              <w:t>- Các Sở: Tài chính, Tư pháp;</w:t>
            </w:r>
          </w:p>
          <w:p>
            <w:pPr>
              <w:rPr>
                <w:color w:val="FFFFFF" w:themeColor="background1"/>
                <w:sz w:val="22"/>
                <w:szCs w:val="22"/>
                <w14:textFill>
                  <w14:noFill/>
                </w14:textFill>
              </w:rPr>
            </w:pPr>
            <w:r>
              <w:rPr>
                <w:sz w:val="22"/>
                <w:szCs w:val="22"/>
              </w:rPr>
              <w:t>- Lưu: VT, KHTC.</w:t>
            </w:r>
          </w:p>
          <w:p>
            <w:pPr>
              <w:rPr>
                <w:sz w:val="22"/>
                <w:szCs w:val="22"/>
              </w:rPr>
            </w:pPr>
          </w:p>
          <w:p>
            <w:pPr>
              <w:rPr>
                <w:lang w:val="nl-NL"/>
              </w:rPr>
            </w:pPr>
          </w:p>
        </w:tc>
        <w:tc>
          <w:tcPr>
            <w:tcW w:w="4252" w:type="dxa"/>
          </w:tcPr>
          <w:p>
            <w:pPr>
              <w:jc w:val="center"/>
              <w:rPr>
                <w:b/>
                <w:sz w:val="27"/>
                <w:szCs w:val="27"/>
                <w:lang w:val="nl-NL"/>
              </w:rPr>
            </w:pPr>
            <w:r>
              <w:rPr>
                <w:b/>
                <w:sz w:val="27"/>
                <w:szCs w:val="27"/>
                <w:lang w:val="nl-NL"/>
              </w:rPr>
              <w:t>GIÁM ĐỐC</w:t>
            </w:r>
          </w:p>
          <w:p>
            <w:pPr>
              <w:rPr>
                <w:b/>
                <w:sz w:val="27"/>
                <w:szCs w:val="27"/>
                <w:lang w:val="nl-NL"/>
              </w:rPr>
            </w:pPr>
          </w:p>
          <w:p>
            <w:pPr>
              <w:rPr>
                <w:b/>
                <w:sz w:val="27"/>
                <w:szCs w:val="27"/>
                <w:lang w:val="nl-NL"/>
              </w:rPr>
            </w:pPr>
          </w:p>
          <w:p>
            <w:pPr>
              <w:rPr>
                <w:b/>
                <w:sz w:val="27"/>
                <w:szCs w:val="27"/>
                <w:lang w:val="nl-NL"/>
              </w:rPr>
            </w:pPr>
          </w:p>
          <w:p>
            <w:pPr>
              <w:rPr>
                <w:b/>
                <w:sz w:val="27"/>
                <w:szCs w:val="27"/>
                <w:lang w:val="nl-NL"/>
              </w:rPr>
            </w:pPr>
          </w:p>
          <w:p>
            <w:pPr>
              <w:rPr>
                <w:b/>
                <w:sz w:val="27"/>
                <w:szCs w:val="27"/>
                <w:lang w:val="nl-NL"/>
              </w:rPr>
            </w:pPr>
          </w:p>
          <w:p>
            <w:pPr>
              <w:rPr>
                <w:b/>
                <w:sz w:val="27"/>
                <w:szCs w:val="27"/>
                <w:lang w:val="nl-NL"/>
              </w:rPr>
            </w:pPr>
          </w:p>
          <w:p>
            <w:pPr>
              <w:rPr>
                <w:b/>
                <w:sz w:val="27"/>
                <w:szCs w:val="27"/>
                <w:lang w:val="nl-NL"/>
              </w:rPr>
            </w:pPr>
          </w:p>
          <w:p>
            <w:pPr>
              <w:jc w:val="center"/>
              <w:rPr>
                <w:b/>
                <w:lang w:val="nl-NL"/>
              </w:rPr>
            </w:pPr>
            <w:r>
              <w:rPr>
                <w:b/>
                <w:sz w:val="27"/>
                <w:szCs w:val="27"/>
                <w:lang w:val="nl-NL"/>
              </w:rPr>
              <w:t>Phạm Văn Mạnh</w:t>
            </w:r>
          </w:p>
        </w:tc>
      </w:tr>
    </w:tbl>
    <w:p>
      <w:pPr>
        <w:jc w:val="both"/>
        <w:rPr>
          <w:sz w:val="28"/>
          <w:szCs w:val="28"/>
          <w:lang w:val="nl-NL"/>
        </w:rPr>
      </w:pPr>
    </w:p>
    <w:p>
      <w:pPr>
        <w:rPr>
          <w:lang w:val="nl-NL"/>
        </w:rPr>
      </w:pPr>
    </w:p>
    <w:p>
      <w:pPr>
        <w:spacing w:after="200" w:line="276" w:lineRule="auto"/>
        <w:rPr>
          <w:lang w:val="nl-NL"/>
        </w:rPr>
      </w:pPr>
    </w:p>
    <w:sectPr>
      <w:headerReference r:id="rId5" w:type="default"/>
      <w:footerReference r:id="rId6" w:type="default"/>
      <w:pgSz w:w="11907" w:h="16840"/>
      <w:pgMar w:top="1077" w:right="964" w:bottom="1077" w:left="1701" w:header="454" w:footer="454"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99052331"/>
      <w:docPartObj>
        <w:docPartGallery w:val="AutoText"/>
      </w:docPartObj>
    </w:sdtPr>
    <w:sdtContent>
      <w:p>
        <w:pPr>
          <w:pStyle w:val="11"/>
          <w:jc w:val="center"/>
        </w:pPr>
        <w:r>
          <w:fldChar w:fldCharType="begin"/>
        </w:r>
        <w:r>
          <w:instrText xml:space="preserve"> PAGE   \* MERGEFORMAT </w:instrText>
        </w:r>
        <w:r>
          <w:fldChar w:fldCharType="separate"/>
        </w:r>
        <w:r>
          <w:t>4</w:t>
        </w:r>
        <w:r>
          <w:fldChar w:fldCharType="end"/>
        </w:r>
      </w:p>
    </w:sdtContent>
  </w:sdt>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8355B6"/>
    <w:multiLevelType w:val="multilevel"/>
    <w:tmpl w:val="288355B6"/>
    <w:lvl w:ilvl="0" w:tentative="0">
      <w:start w:val="1"/>
      <w:numFmt w:val="decimal"/>
      <w:lvlText w:val="%1."/>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documentProtection w:enforcement="0"/>
  <w:defaultTabStop w:val="720"/>
  <w:drawingGridHorizontalSpacing w:val="12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F99"/>
    <w:rsid w:val="00003189"/>
    <w:rsid w:val="0000374F"/>
    <w:rsid w:val="00006E03"/>
    <w:rsid w:val="00011498"/>
    <w:rsid w:val="00014812"/>
    <w:rsid w:val="00015C49"/>
    <w:rsid w:val="00020886"/>
    <w:rsid w:val="00022FE0"/>
    <w:rsid w:val="00031B5C"/>
    <w:rsid w:val="00032E0C"/>
    <w:rsid w:val="00035C99"/>
    <w:rsid w:val="00036CB2"/>
    <w:rsid w:val="0003727D"/>
    <w:rsid w:val="000375AE"/>
    <w:rsid w:val="00037971"/>
    <w:rsid w:val="000441AD"/>
    <w:rsid w:val="00045939"/>
    <w:rsid w:val="00045D50"/>
    <w:rsid w:val="00046DA8"/>
    <w:rsid w:val="00051D64"/>
    <w:rsid w:val="00055572"/>
    <w:rsid w:val="00055852"/>
    <w:rsid w:val="00057963"/>
    <w:rsid w:val="00060F9A"/>
    <w:rsid w:val="00063855"/>
    <w:rsid w:val="000739BA"/>
    <w:rsid w:val="00077597"/>
    <w:rsid w:val="0008570B"/>
    <w:rsid w:val="00086A59"/>
    <w:rsid w:val="00094056"/>
    <w:rsid w:val="00095140"/>
    <w:rsid w:val="00097665"/>
    <w:rsid w:val="000A7F84"/>
    <w:rsid w:val="000B00F3"/>
    <w:rsid w:val="000B7473"/>
    <w:rsid w:val="000C1859"/>
    <w:rsid w:val="000D716D"/>
    <w:rsid w:val="000E0AD1"/>
    <w:rsid w:val="000E2185"/>
    <w:rsid w:val="000F383B"/>
    <w:rsid w:val="000F4BA0"/>
    <w:rsid w:val="000F4E88"/>
    <w:rsid w:val="000F657F"/>
    <w:rsid w:val="00102F6B"/>
    <w:rsid w:val="00112ECA"/>
    <w:rsid w:val="00125364"/>
    <w:rsid w:val="001273DE"/>
    <w:rsid w:val="001339D7"/>
    <w:rsid w:val="0013659B"/>
    <w:rsid w:val="00140223"/>
    <w:rsid w:val="001455E3"/>
    <w:rsid w:val="00151262"/>
    <w:rsid w:val="001540A4"/>
    <w:rsid w:val="001551C3"/>
    <w:rsid w:val="001554BB"/>
    <w:rsid w:val="00155DD1"/>
    <w:rsid w:val="00161925"/>
    <w:rsid w:val="00174F9A"/>
    <w:rsid w:val="001751C5"/>
    <w:rsid w:val="00176F66"/>
    <w:rsid w:val="00180169"/>
    <w:rsid w:val="001845E2"/>
    <w:rsid w:val="0018509F"/>
    <w:rsid w:val="00191D63"/>
    <w:rsid w:val="001B2AF5"/>
    <w:rsid w:val="001F0CF3"/>
    <w:rsid w:val="001F63A8"/>
    <w:rsid w:val="00201BAB"/>
    <w:rsid w:val="00202803"/>
    <w:rsid w:val="002103C6"/>
    <w:rsid w:val="00217BF9"/>
    <w:rsid w:val="0022206D"/>
    <w:rsid w:val="00226D7E"/>
    <w:rsid w:val="00231F5A"/>
    <w:rsid w:val="00233350"/>
    <w:rsid w:val="002363E1"/>
    <w:rsid w:val="002513D0"/>
    <w:rsid w:val="0025483C"/>
    <w:rsid w:val="00254940"/>
    <w:rsid w:val="00254A8B"/>
    <w:rsid w:val="00255A96"/>
    <w:rsid w:val="0026266F"/>
    <w:rsid w:val="00277471"/>
    <w:rsid w:val="002879DE"/>
    <w:rsid w:val="002957F2"/>
    <w:rsid w:val="002B297C"/>
    <w:rsid w:val="002C1D66"/>
    <w:rsid w:val="002C4BE5"/>
    <w:rsid w:val="002E78EA"/>
    <w:rsid w:val="002F0C27"/>
    <w:rsid w:val="002F2738"/>
    <w:rsid w:val="002F3B55"/>
    <w:rsid w:val="002F3F8B"/>
    <w:rsid w:val="002F5106"/>
    <w:rsid w:val="00307207"/>
    <w:rsid w:val="00307E7A"/>
    <w:rsid w:val="003102AF"/>
    <w:rsid w:val="003135F1"/>
    <w:rsid w:val="00316F99"/>
    <w:rsid w:val="0031792E"/>
    <w:rsid w:val="003215FC"/>
    <w:rsid w:val="00336A44"/>
    <w:rsid w:val="00337442"/>
    <w:rsid w:val="00344179"/>
    <w:rsid w:val="003445CF"/>
    <w:rsid w:val="00346F4C"/>
    <w:rsid w:val="00350AB6"/>
    <w:rsid w:val="00352159"/>
    <w:rsid w:val="00360373"/>
    <w:rsid w:val="003609AD"/>
    <w:rsid w:val="003633FB"/>
    <w:rsid w:val="00365C9F"/>
    <w:rsid w:val="0037147C"/>
    <w:rsid w:val="00375DF1"/>
    <w:rsid w:val="0037636D"/>
    <w:rsid w:val="00380D97"/>
    <w:rsid w:val="00380F7C"/>
    <w:rsid w:val="00381439"/>
    <w:rsid w:val="00383877"/>
    <w:rsid w:val="00387987"/>
    <w:rsid w:val="00392488"/>
    <w:rsid w:val="00392F54"/>
    <w:rsid w:val="003A0E4F"/>
    <w:rsid w:val="003A5522"/>
    <w:rsid w:val="003A7187"/>
    <w:rsid w:val="003A7E2D"/>
    <w:rsid w:val="003B5421"/>
    <w:rsid w:val="003B61D7"/>
    <w:rsid w:val="003D490E"/>
    <w:rsid w:val="003D7BCF"/>
    <w:rsid w:val="003E0FA0"/>
    <w:rsid w:val="003E205A"/>
    <w:rsid w:val="003E4F7F"/>
    <w:rsid w:val="003F235B"/>
    <w:rsid w:val="00402311"/>
    <w:rsid w:val="00403625"/>
    <w:rsid w:val="00405E69"/>
    <w:rsid w:val="00411F55"/>
    <w:rsid w:val="004136F6"/>
    <w:rsid w:val="004138C2"/>
    <w:rsid w:val="0041637B"/>
    <w:rsid w:val="00436A18"/>
    <w:rsid w:val="00436ABD"/>
    <w:rsid w:val="00437102"/>
    <w:rsid w:val="0044455A"/>
    <w:rsid w:val="00450C94"/>
    <w:rsid w:val="0045175C"/>
    <w:rsid w:val="00452B8B"/>
    <w:rsid w:val="00463D98"/>
    <w:rsid w:val="0047596A"/>
    <w:rsid w:val="004820EB"/>
    <w:rsid w:val="004B22A3"/>
    <w:rsid w:val="004B3F8E"/>
    <w:rsid w:val="004B4577"/>
    <w:rsid w:val="004D2A3B"/>
    <w:rsid w:val="004E5274"/>
    <w:rsid w:val="005052AF"/>
    <w:rsid w:val="005247EA"/>
    <w:rsid w:val="00525D61"/>
    <w:rsid w:val="00535A68"/>
    <w:rsid w:val="0054700D"/>
    <w:rsid w:val="005560CF"/>
    <w:rsid w:val="005563A0"/>
    <w:rsid w:val="00557057"/>
    <w:rsid w:val="00561C16"/>
    <w:rsid w:val="005636AB"/>
    <w:rsid w:val="00564FF9"/>
    <w:rsid w:val="0057437B"/>
    <w:rsid w:val="00576E41"/>
    <w:rsid w:val="00583253"/>
    <w:rsid w:val="00584C7C"/>
    <w:rsid w:val="005A1C46"/>
    <w:rsid w:val="005D0870"/>
    <w:rsid w:val="005D1E27"/>
    <w:rsid w:val="005D62AF"/>
    <w:rsid w:val="005D6BC9"/>
    <w:rsid w:val="005D6D16"/>
    <w:rsid w:val="005F585E"/>
    <w:rsid w:val="005F6C3A"/>
    <w:rsid w:val="00600DE9"/>
    <w:rsid w:val="00633DAE"/>
    <w:rsid w:val="00636D74"/>
    <w:rsid w:val="00640677"/>
    <w:rsid w:val="0064216D"/>
    <w:rsid w:val="006431C7"/>
    <w:rsid w:val="006454CA"/>
    <w:rsid w:val="006478A2"/>
    <w:rsid w:val="00655047"/>
    <w:rsid w:val="006608CB"/>
    <w:rsid w:val="00663F42"/>
    <w:rsid w:val="0068115A"/>
    <w:rsid w:val="006816A5"/>
    <w:rsid w:val="00681A33"/>
    <w:rsid w:val="00683513"/>
    <w:rsid w:val="00696B5F"/>
    <w:rsid w:val="006A1664"/>
    <w:rsid w:val="006A2047"/>
    <w:rsid w:val="006B5B4D"/>
    <w:rsid w:val="006B6969"/>
    <w:rsid w:val="006C0CCA"/>
    <w:rsid w:val="006C2636"/>
    <w:rsid w:val="006C533E"/>
    <w:rsid w:val="006E2636"/>
    <w:rsid w:val="006F001C"/>
    <w:rsid w:val="0070404F"/>
    <w:rsid w:val="0070567A"/>
    <w:rsid w:val="00705DD9"/>
    <w:rsid w:val="00707EA3"/>
    <w:rsid w:val="007164A5"/>
    <w:rsid w:val="00731651"/>
    <w:rsid w:val="00731BF0"/>
    <w:rsid w:val="00732915"/>
    <w:rsid w:val="00733CB4"/>
    <w:rsid w:val="00734D6B"/>
    <w:rsid w:val="00747F9B"/>
    <w:rsid w:val="00753FEB"/>
    <w:rsid w:val="0075490F"/>
    <w:rsid w:val="00756CC4"/>
    <w:rsid w:val="00760845"/>
    <w:rsid w:val="007650E2"/>
    <w:rsid w:val="00773D79"/>
    <w:rsid w:val="00773F44"/>
    <w:rsid w:val="007750DB"/>
    <w:rsid w:val="0078453C"/>
    <w:rsid w:val="007846E1"/>
    <w:rsid w:val="007872D2"/>
    <w:rsid w:val="00792CDA"/>
    <w:rsid w:val="007A23DC"/>
    <w:rsid w:val="007B182F"/>
    <w:rsid w:val="007B19A0"/>
    <w:rsid w:val="007B1F17"/>
    <w:rsid w:val="007B69B2"/>
    <w:rsid w:val="007C1D0C"/>
    <w:rsid w:val="007C5DFF"/>
    <w:rsid w:val="007E0975"/>
    <w:rsid w:val="007E3057"/>
    <w:rsid w:val="007E50B0"/>
    <w:rsid w:val="007E58E2"/>
    <w:rsid w:val="007E7443"/>
    <w:rsid w:val="0080061C"/>
    <w:rsid w:val="00807ECA"/>
    <w:rsid w:val="0081003F"/>
    <w:rsid w:val="008126A5"/>
    <w:rsid w:val="00824737"/>
    <w:rsid w:val="008334D1"/>
    <w:rsid w:val="00835C63"/>
    <w:rsid w:val="00842AF2"/>
    <w:rsid w:val="0084797A"/>
    <w:rsid w:val="00851B08"/>
    <w:rsid w:val="00855A63"/>
    <w:rsid w:val="008602F0"/>
    <w:rsid w:val="00865F99"/>
    <w:rsid w:val="00872585"/>
    <w:rsid w:val="00882492"/>
    <w:rsid w:val="008A0169"/>
    <w:rsid w:val="008B4C4E"/>
    <w:rsid w:val="008B4E80"/>
    <w:rsid w:val="008B62DD"/>
    <w:rsid w:val="008C247D"/>
    <w:rsid w:val="008D2094"/>
    <w:rsid w:val="008D2302"/>
    <w:rsid w:val="008D32C6"/>
    <w:rsid w:val="008E4F1F"/>
    <w:rsid w:val="008F2534"/>
    <w:rsid w:val="008F669E"/>
    <w:rsid w:val="008F6B76"/>
    <w:rsid w:val="008F7BC2"/>
    <w:rsid w:val="00903C64"/>
    <w:rsid w:val="00914E2A"/>
    <w:rsid w:val="0091775F"/>
    <w:rsid w:val="009320D5"/>
    <w:rsid w:val="009340E1"/>
    <w:rsid w:val="00936C9F"/>
    <w:rsid w:val="00937A50"/>
    <w:rsid w:val="00945123"/>
    <w:rsid w:val="009504E1"/>
    <w:rsid w:val="00951594"/>
    <w:rsid w:val="009675B8"/>
    <w:rsid w:val="0097046F"/>
    <w:rsid w:val="00971577"/>
    <w:rsid w:val="00973B86"/>
    <w:rsid w:val="00973E30"/>
    <w:rsid w:val="00974FF3"/>
    <w:rsid w:val="00977237"/>
    <w:rsid w:val="00985E53"/>
    <w:rsid w:val="00992CA6"/>
    <w:rsid w:val="00996A0D"/>
    <w:rsid w:val="009C1A39"/>
    <w:rsid w:val="009D0718"/>
    <w:rsid w:val="009D0B36"/>
    <w:rsid w:val="009E2299"/>
    <w:rsid w:val="009E426B"/>
    <w:rsid w:val="009E4FD7"/>
    <w:rsid w:val="009F6E27"/>
    <w:rsid w:val="00A02135"/>
    <w:rsid w:val="00A03C9B"/>
    <w:rsid w:val="00A05D79"/>
    <w:rsid w:val="00A21720"/>
    <w:rsid w:val="00A2292E"/>
    <w:rsid w:val="00A22EFF"/>
    <w:rsid w:val="00A22F2D"/>
    <w:rsid w:val="00A24177"/>
    <w:rsid w:val="00A241D5"/>
    <w:rsid w:val="00A3006F"/>
    <w:rsid w:val="00A31FE1"/>
    <w:rsid w:val="00A349D5"/>
    <w:rsid w:val="00A36FB9"/>
    <w:rsid w:val="00A50FD1"/>
    <w:rsid w:val="00A5487F"/>
    <w:rsid w:val="00A6270F"/>
    <w:rsid w:val="00A64271"/>
    <w:rsid w:val="00A760D1"/>
    <w:rsid w:val="00A849E3"/>
    <w:rsid w:val="00A84E40"/>
    <w:rsid w:val="00A966A8"/>
    <w:rsid w:val="00AA017B"/>
    <w:rsid w:val="00AA23A2"/>
    <w:rsid w:val="00AA5FC4"/>
    <w:rsid w:val="00AC2E36"/>
    <w:rsid w:val="00AC3297"/>
    <w:rsid w:val="00AC5C03"/>
    <w:rsid w:val="00AD0819"/>
    <w:rsid w:val="00AF2825"/>
    <w:rsid w:val="00B069CD"/>
    <w:rsid w:val="00B111D5"/>
    <w:rsid w:val="00B12CC9"/>
    <w:rsid w:val="00B161C1"/>
    <w:rsid w:val="00B21970"/>
    <w:rsid w:val="00B22253"/>
    <w:rsid w:val="00B22BB8"/>
    <w:rsid w:val="00B253FD"/>
    <w:rsid w:val="00B26A06"/>
    <w:rsid w:val="00B34E69"/>
    <w:rsid w:val="00B35C5B"/>
    <w:rsid w:val="00B40049"/>
    <w:rsid w:val="00B45F5F"/>
    <w:rsid w:val="00B62CDE"/>
    <w:rsid w:val="00B66EFF"/>
    <w:rsid w:val="00B70CF5"/>
    <w:rsid w:val="00B71CA0"/>
    <w:rsid w:val="00B71D09"/>
    <w:rsid w:val="00B77D20"/>
    <w:rsid w:val="00B82AB0"/>
    <w:rsid w:val="00B903E4"/>
    <w:rsid w:val="00BA6B86"/>
    <w:rsid w:val="00BB342F"/>
    <w:rsid w:val="00BC41BC"/>
    <w:rsid w:val="00BC7D2E"/>
    <w:rsid w:val="00BD12C8"/>
    <w:rsid w:val="00BD7B71"/>
    <w:rsid w:val="00BD7FA6"/>
    <w:rsid w:val="00BE2B6F"/>
    <w:rsid w:val="00BE63C5"/>
    <w:rsid w:val="00BF5E1C"/>
    <w:rsid w:val="00C03767"/>
    <w:rsid w:val="00C12466"/>
    <w:rsid w:val="00C20A86"/>
    <w:rsid w:val="00C21B33"/>
    <w:rsid w:val="00C427D4"/>
    <w:rsid w:val="00C43B8C"/>
    <w:rsid w:val="00C536C1"/>
    <w:rsid w:val="00C552EE"/>
    <w:rsid w:val="00C57C3A"/>
    <w:rsid w:val="00C57CD8"/>
    <w:rsid w:val="00C64C94"/>
    <w:rsid w:val="00C6640A"/>
    <w:rsid w:val="00C833A1"/>
    <w:rsid w:val="00C83BC2"/>
    <w:rsid w:val="00C86E52"/>
    <w:rsid w:val="00C9308C"/>
    <w:rsid w:val="00C93A93"/>
    <w:rsid w:val="00C94387"/>
    <w:rsid w:val="00C96D72"/>
    <w:rsid w:val="00CA0381"/>
    <w:rsid w:val="00CA582F"/>
    <w:rsid w:val="00CB406C"/>
    <w:rsid w:val="00CC05D9"/>
    <w:rsid w:val="00CC217C"/>
    <w:rsid w:val="00CC5CB4"/>
    <w:rsid w:val="00CD31CF"/>
    <w:rsid w:val="00CD6464"/>
    <w:rsid w:val="00CD7D3D"/>
    <w:rsid w:val="00CE1C31"/>
    <w:rsid w:val="00CE2852"/>
    <w:rsid w:val="00CE6641"/>
    <w:rsid w:val="00CF7A07"/>
    <w:rsid w:val="00D01D5E"/>
    <w:rsid w:val="00D257C5"/>
    <w:rsid w:val="00D3163D"/>
    <w:rsid w:val="00D41E1B"/>
    <w:rsid w:val="00D46168"/>
    <w:rsid w:val="00D5280A"/>
    <w:rsid w:val="00D53A71"/>
    <w:rsid w:val="00D54AC3"/>
    <w:rsid w:val="00D7251C"/>
    <w:rsid w:val="00D72C4F"/>
    <w:rsid w:val="00D72E90"/>
    <w:rsid w:val="00D73A45"/>
    <w:rsid w:val="00D74D4A"/>
    <w:rsid w:val="00D750F7"/>
    <w:rsid w:val="00D76034"/>
    <w:rsid w:val="00D77198"/>
    <w:rsid w:val="00D85608"/>
    <w:rsid w:val="00D86C2F"/>
    <w:rsid w:val="00D87196"/>
    <w:rsid w:val="00D87DDC"/>
    <w:rsid w:val="00D90FCF"/>
    <w:rsid w:val="00DB20EF"/>
    <w:rsid w:val="00DB7770"/>
    <w:rsid w:val="00DC1ABA"/>
    <w:rsid w:val="00DD169A"/>
    <w:rsid w:val="00DD37ED"/>
    <w:rsid w:val="00DD4A2D"/>
    <w:rsid w:val="00DD6587"/>
    <w:rsid w:val="00DE0D90"/>
    <w:rsid w:val="00E0543A"/>
    <w:rsid w:val="00E06227"/>
    <w:rsid w:val="00E10F90"/>
    <w:rsid w:val="00E139BA"/>
    <w:rsid w:val="00E15264"/>
    <w:rsid w:val="00E2175A"/>
    <w:rsid w:val="00E21A32"/>
    <w:rsid w:val="00E3062C"/>
    <w:rsid w:val="00E440CC"/>
    <w:rsid w:val="00E52163"/>
    <w:rsid w:val="00E55735"/>
    <w:rsid w:val="00E56003"/>
    <w:rsid w:val="00E63044"/>
    <w:rsid w:val="00E63923"/>
    <w:rsid w:val="00E63C86"/>
    <w:rsid w:val="00E64E80"/>
    <w:rsid w:val="00E64F5A"/>
    <w:rsid w:val="00E6732A"/>
    <w:rsid w:val="00E87FE4"/>
    <w:rsid w:val="00EC1109"/>
    <w:rsid w:val="00ED339F"/>
    <w:rsid w:val="00EE0F46"/>
    <w:rsid w:val="00EE29A5"/>
    <w:rsid w:val="00EE45BC"/>
    <w:rsid w:val="00EF2F7A"/>
    <w:rsid w:val="00EF38EF"/>
    <w:rsid w:val="00EF46CC"/>
    <w:rsid w:val="00EF76FF"/>
    <w:rsid w:val="00F01D64"/>
    <w:rsid w:val="00F048D1"/>
    <w:rsid w:val="00F112C5"/>
    <w:rsid w:val="00F11618"/>
    <w:rsid w:val="00F2220C"/>
    <w:rsid w:val="00F31474"/>
    <w:rsid w:val="00F35D72"/>
    <w:rsid w:val="00F362E6"/>
    <w:rsid w:val="00F41F4B"/>
    <w:rsid w:val="00F43DBA"/>
    <w:rsid w:val="00F45EB8"/>
    <w:rsid w:val="00F560A5"/>
    <w:rsid w:val="00F56C9E"/>
    <w:rsid w:val="00F63838"/>
    <w:rsid w:val="00F7439F"/>
    <w:rsid w:val="00F74FB9"/>
    <w:rsid w:val="00F7780C"/>
    <w:rsid w:val="00F81B2F"/>
    <w:rsid w:val="00FA34F7"/>
    <w:rsid w:val="00FC26A0"/>
    <w:rsid w:val="00FC29F4"/>
    <w:rsid w:val="00FD38BD"/>
    <w:rsid w:val="00FE28CE"/>
    <w:rsid w:val="2C9C1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4"/>
    <w:basedOn w:val="1"/>
    <w:next w:val="1"/>
    <w:link w:val="16"/>
    <w:qFormat/>
    <w:uiPriority w:val="0"/>
    <w:pPr>
      <w:keepNext/>
      <w:spacing w:before="240" w:after="60"/>
      <w:outlineLvl w:val="3"/>
    </w:pPr>
    <w:rPr>
      <w:b/>
      <w:bCs/>
      <w:sz w:val="28"/>
      <w:szCs w:val="28"/>
    </w:rPr>
  </w:style>
  <w:style w:type="paragraph" w:styleId="3">
    <w:name w:val="heading 5"/>
    <w:basedOn w:val="1"/>
    <w:next w:val="1"/>
    <w:link w:val="19"/>
    <w:semiHidden/>
    <w:unhideWhenUsed/>
    <w:qFormat/>
    <w:uiPriority w:val="9"/>
    <w:pPr>
      <w:keepNext/>
      <w:keepLines/>
      <w:spacing w:before="40"/>
      <w:outlineLvl w:val="4"/>
    </w:pPr>
    <w:rPr>
      <w:rFonts w:asciiTheme="majorHAnsi" w:hAnsiTheme="majorHAnsi" w:eastAsiaTheme="majorEastAsia" w:cstheme="majorBidi"/>
      <w:color w:val="376092" w:themeColor="accent1" w:themeShade="BF"/>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5"/>
    <w:semiHidden/>
    <w:unhideWhenUsed/>
    <w:uiPriority w:val="99"/>
    <w:rPr>
      <w:rFonts w:ascii="Segoe UI" w:hAnsi="Segoe UI" w:cs="Segoe UI"/>
      <w:sz w:val="18"/>
      <w:szCs w:val="18"/>
    </w:rPr>
  </w:style>
  <w:style w:type="paragraph" w:styleId="7">
    <w:name w:val="Body Text"/>
    <w:basedOn w:val="1"/>
    <w:link w:val="20"/>
    <w:qFormat/>
    <w:uiPriority w:val="1"/>
    <w:pPr>
      <w:widowControl w:val="0"/>
      <w:autoSpaceDE w:val="0"/>
      <w:autoSpaceDN w:val="0"/>
      <w:spacing w:before="158"/>
      <w:ind w:left="202" w:firstLine="719"/>
      <w:jc w:val="both"/>
    </w:pPr>
    <w:rPr>
      <w:sz w:val="28"/>
      <w:szCs w:val="28"/>
    </w:rPr>
  </w:style>
  <w:style w:type="paragraph" w:styleId="8">
    <w:name w:val="footer"/>
    <w:basedOn w:val="1"/>
    <w:link w:val="13"/>
    <w:unhideWhenUsed/>
    <w:uiPriority w:val="99"/>
    <w:pPr>
      <w:tabs>
        <w:tab w:val="center" w:pos="4680"/>
        <w:tab w:val="right" w:pos="9360"/>
      </w:tabs>
    </w:pPr>
  </w:style>
  <w:style w:type="character" w:styleId="9">
    <w:name w:val="footnote reference"/>
    <w:basedOn w:val="4"/>
    <w:semiHidden/>
    <w:unhideWhenUsed/>
    <w:uiPriority w:val="0"/>
    <w:rPr>
      <w:vertAlign w:val="superscript"/>
    </w:rPr>
  </w:style>
  <w:style w:type="paragraph" w:styleId="10">
    <w:name w:val="footnote text"/>
    <w:basedOn w:val="1"/>
    <w:link w:val="18"/>
    <w:semiHidden/>
    <w:unhideWhenUsed/>
    <w:uiPriority w:val="0"/>
    <w:rPr>
      <w:sz w:val="20"/>
      <w:szCs w:val="20"/>
    </w:rPr>
  </w:style>
  <w:style w:type="paragraph" w:styleId="11">
    <w:name w:val="header"/>
    <w:basedOn w:val="1"/>
    <w:link w:val="17"/>
    <w:unhideWhenUsed/>
    <w:uiPriority w:val="99"/>
    <w:pPr>
      <w:tabs>
        <w:tab w:val="center" w:pos="4680"/>
        <w:tab w:val="right" w:pos="9360"/>
      </w:tabs>
    </w:pPr>
  </w:style>
  <w:style w:type="table" w:styleId="12">
    <w:name w:val="Table Grid"/>
    <w:basedOn w:val="5"/>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Footer Char"/>
    <w:basedOn w:val="4"/>
    <w:link w:val="8"/>
    <w:uiPriority w:val="99"/>
    <w:rPr>
      <w:rFonts w:eastAsia="Times New Roman"/>
      <w:sz w:val="24"/>
      <w:szCs w:val="24"/>
    </w:rPr>
  </w:style>
  <w:style w:type="paragraph" w:styleId="14">
    <w:name w:val="List Paragraph"/>
    <w:basedOn w:val="1"/>
    <w:qFormat/>
    <w:uiPriority w:val="34"/>
    <w:pPr>
      <w:ind w:left="720"/>
      <w:contextualSpacing/>
    </w:pPr>
  </w:style>
  <w:style w:type="character" w:customStyle="1" w:styleId="15">
    <w:name w:val="Balloon Text Char"/>
    <w:basedOn w:val="4"/>
    <w:link w:val="6"/>
    <w:semiHidden/>
    <w:uiPriority w:val="99"/>
    <w:rPr>
      <w:rFonts w:ascii="Segoe UI" w:hAnsi="Segoe UI" w:eastAsia="Times New Roman" w:cs="Segoe UI"/>
      <w:sz w:val="18"/>
      <w:szCs w:val="18"/>
    </w:rPr>
  </w:style>
  <w:style w:type="character" w:customStyle="1" w:styleId="16">
    <w:name w:val="Heading 4 Char"/>
    <w:basedOn w:val="4"/>
    <w:link w:val="2"/>
    <w:uiPriority w:val="0"/>
    <w:rPr>
      <w:rFonts w:eastAsia="Times New Roman"/>
      <w:b/>
      <w:bCs/>
    </w:rPr>
  </w:style>
  <w:style w:type="character" w:customStyle="1" w:styleId="17">
    <w:name w:val="Header Char"/>
    <w:basedOn w:val="4"/>
    <w:link w:val="11"/>
    <w:uiPriority w:val="99"/>
    <w:rPr>
      <w:rFonts w:eastAsia="Times New Roman"/>
      <w:sz w:val="24"/>
      <w:szCs w:val="24"/>
    </w:rPr>
  </w:style>
  <w:style w:type="character" w:customStyle="1" w:styleId="18">
    <w:name w:val="Footnote Text Char"/>
    <w:basedOn w:val="4"/>
    <w:link w:val="10"/>
    <w:semiHidden/>
    <w:qFormat/>
    <w:uiPriority w:val="99"/>
    <w:rPr>
      <w:rFonts w:eastAsia="Times New Roman"/>
      <w:sz w:val="20"/>
      <w:szCs w:val="20"/>
    </w:rPr>
  </w:style>
  <w:style w:type="character" w:customStyle="1" w:styleId="19">
    <w:name w:val="Heading 5 Char"/>
    <w:basedOn w:val="4"/>
    <w:link w:val="3"/>
    <w:qFormat/>
    <w:uiPriority w:val="0"/>
    <w:rPr>
      <w:rFonts w:asciiTheme="majorHAnsi" w:hAnsiTheme="majorHAnsi" w:eastAsiaTheme="majorEastAsia" w:cstheme="majorBidi"/>
      <w:color w:val="376092" w:themeColor="accent1" w:themeShade="BF"/>
      <w:sz w:val="24"/>
      <w:szCs w:val="24"/>
    </w:rPr>
  </w:style>
  <w:style w:type="character" w:customStyle="1" w:styleId="20">
    <w:name w:val="Body Text Char"/>
    <w:basedOn w:val="4"/>
    <w:link w:val="7"/>
    <w:uiPriority w:val="1"/>
    <w:rPr>
      <w:rFonts w:eastAsia="Times New Roma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9D34C6-0C3F-46CF-8E44-757C09C2FC89}">
  <ds:schemaRefs/>
</ds:datastoreItem>
</file>

<file path=docProps/app.xml><?xml version="1.0" encoding="utf-8"?>
<Properties xmlns="http://schemas.openxmlformats.org/officeDocument/2006/extended-properties" xmlns:vt="http://schemas.openxmlformats.org/officeDocument/2006/docPropsVTypes">
  <Template>Normal</Template>
  <Pages>5</Pages>
  <Words>1577</Words>
  <Characters>8989</Characters>
  <Lines>74</Lines>
  <Paragraphs>21</Paragraphs>
  <TotalTime>9</TotalTime>
  <ScaleCrop>false</ScaleCrop>
  <LinksUpToDate>false</LinksUpToDate>
  <CharactersWithSpaces>10545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2023-07-21T06:52:00Z</dcterms:created>
  <dc:creator>Admin</dc:creator>
  <cp:lastModifiedBy>Hữu Đặng Nguyễn</cp:lastModifiedBy>
  <cp:lastPrinted>2023-06-09T04:08:00Z</cp:lastPrinted>
  <dcterms:modified xsi:type="dcterms:W3CDTF">2023-07-25T09:11:54Z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AC68EBEFE817433A87C3A7F12601D1B9</vt:lpwstr>
  </property>
</Properties>
</file>