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с системами линейных уравнений в GNU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метод Гаусса</w:t>
      </w:r>
    </w:p>
    <w:p>
      <w:pPr>
        <w:numPr>
          <w:ilvl w:val="0"/>
          <w:numId w:val="1001"/>
        </w:numPr>
        <w:pStyle w:val="Compact"/>
      </w:pPr>
      <w:r>
        <w:t xml:space="preserve">Изучить метод левого деления</w:t>
      </w:r>
    </w:p>
    <w:p>
      <w:pPr>
        <w:numPr>
          <w:ilvl w:val="0"/>
          <w:numId w:val="1001"/>
        </w:numPr>
        <w:pStyle w:val="Compact"/>
      </w:pPr>
      <w:r>
        <w:t xml:space="preserve">Изучить LUP-разложение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того, чтобы задать СЛАУ, необходимо задать расширенную матрицу</w:t>
      </w:r>
      <w:r>
        <w:t xml:space="preserve"> </w:t>
      </w:r>
      <w:r>
        <w:rPr>
          <w:iCs/>
          <w:i/>
        </w:rPr>
        <w:t xml:space="preserve">B</w:t>
      </w:r>
      <w:r>
        <w:t xml:space="preserve">. В этой матрице можно обращаться как к отдельному элементу, так и к целой строке/столбцу (рис. ??).</w:t>
      </w:r>
    </w:p>
    <w:p>
      <w:pPr>
        <w:pStyle w:val="CaptionedFigure"/>
      </w:pPr>
      <w:r>
        <w:drawing>
          <wp:inline>
            <wp:extent cx="2589195" cy="1848050"/>
            <wp:effectExtent b="0" l="0" r="0" t="0"/>
            <wp:docPr descr="Матрица 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Матрица B</w:t>
      </w:r>
    </w:p>
    <w:p>
      <w:pPr>
        <w:numPr>
          <w:ilvl w:val="0"/>
          <w:numId w:val="1003"/>
        </w:numPr>
        <w:pStyle w:val="Compact"/>
      </w:pPr>
      <w:r>
        <w:t xml:space="preserve">Реализуем метод Гаусса, поэтапно складывая строки матрицы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377440" cy="1790298"/>
            <wp:effectExtent b="0" l="0" r="0" t="0"/>
            <wp:docPr descr="Метод Гаусс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Гаусса</w:t>
      </w:r>
    </w:p>
    <w:p>
      <w:pPr>
        <w:pStyle w:val="BodyText"/>
      </w:pPr>
      <w:r>
        <w:t xml:space="preserve">Выведем получившуюся верхнюю треугольную матрицу в коротком и длинном формате (рис. ??).</w:t>
      </w:r>
    </w:p>
    <w:p>
      <w:pPr>
        <w:pStyle w:val="CaptionedFigure"/>
      </w:pPr>
      <w:r>
        <w:drawing>
          <wp:inline>
            <wp:extent cx="3733800" cy="1463334"/>
            <wp:effectExtent b="0" l="0" r="0" t="0"/>
            <wp:docPr descr="Форматы вывод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Форматы вывода</w:t>
      </w:r>
    </w:p>
    <w:p>
      <w:pPr>
        <w:numPr>
          <w:ilvl w:val="0"/>
          <w:numId w:val="1004"/>
        </w:numPr>
        <w:pStyle w:val="Compact"/>
      </w:pPr>
      <w:r>
        <w:t xml:space="preserve">Реализуем метод левого деления, разбив расширенную матрицу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на квадратную матрицу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 вектор-столбец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1039528" cy="2714324"/>
            <wp:effectExtent b="0" l="0" r="0" t="0"/>
            <wp:docPr descr="Метод левого делен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528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левого деления</w:t>
      </w:r>
    </w:p>
    <w:p>
      <w:pPr>
        <w:numPr>
          <w:ilvl w:val="0"/>
          <w:numId w:val="1005"/>
        </w:numPr>
        <w:pStyle w:val="Compact"/>
      </w:pPr>
      <w:r>
        <w:t xml:space="preserve">Реализуем LUP-разложение матрицы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1982804" cy="2781701"/>
            <wp:effectExtent b="0" l="0" r="0" t="0"/>
            <wp:docPr descr="LUP-разложени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LUP-разложение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работе с системами линейных алгебраических уравнений в Octave.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Полиенко Анастасия Николаевна, НПМмд-02-23</dc:creator>
  <dc:language>ru-RU</dc:language>
  <cp:keywords/>
  <dcterms:created xsi:type="dcterms:W3CDTF">2023-10-10T09:20:52Z</dcterms:created>
  <dcterms:modified xsi:type="dcterms:W3CDTF">2023-10-10T09:20:52Z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