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8E4B" w14:textId="7BEB2B6E" w:rsidR="000D01A0" w:rsidRPr="0066497F" w:rsidRDefault="00000000" w:rsidP="00064512">
      <w:pPr>
        <w:pStyle w:val="Ttulo1"/>
        <w:jc w:val="both"/>
        <w:rPr>
          <w:lang w:val="es-ES"/>
        </w:rPr>
      </w:pPr>
      <w:r w:rsidRPr="0066497F">
        <w:rPr>
          <w:color w:val="000000"/>
          <w:sz w:val="24"/>
          <w:lang w:val="es-ES"/>
        </w:rPr>
        <w:t>Tabla 2. Biomarcadores noveles identificados en los estudios incluidos</w:t>
      </w:r>
      <w:r w:rsidR="0055184F">
        <w:rPr>
          <w:color w:val="000000"/>
          <w:sz w:val="24"/>
          <w:lang w:val="es-ES"/>
        </w:rPr>
        <w:t>.</w:t>
      </w:r>
    </w:p>
    <w:p w14:paraId="1BF88168" w14:textId="77777777" w:rsidR="000D01A0" w:rsidRPr="0066497F" w:rsidRDefault="000D01A0" w:rsidP="00064512">
      <w:pPr>
        <w:jc w:val="both"/>
        <w:rPr>
          <w:lang w:val="es-ES"/>
        </w:rPr>
      </w:pPr>
    </w:p>
    <w:tbl>
      <w:tblPr>
        <w:tblStyle w:val="Tablaconcuadrcula"/>
        <w:tblW w:w="0" w:type="auto"/>
        <w:tblLayout w:type="fixed"/>
        <w:tblLook w:val="04A0" w:firstRow="1" w:lastRow="0" w:firstColumn="1" w:lastColumn="0" w:noHBand="0" w:noVBand="1"/>
      </w:tblPr>
      <w:tblGrid>
        <w:gridCol w:w="1666"/>
        <w:gridCol w:w="1561"/>
        <w:gridCol w:w="7087"/>
        <w:gridCol w:w="5040"/>
      </w:tblGrid>
      <w:tr w:rsidR="000D01A0" w14:paraId="35348EFE" w14:textId="77777777" w:rsidTr="00801999">
        <w:tc>
          <w:tcPr>
            <w:tcW w:w="1666" w:type="dxa"/>
            <w:shd w:val="clear" w:color="auto" w:fill="F2F2F2"/>
            <w:vAlign w:val="center"/>
          </w:tcPr>
          <w:p w14:paraId="27892D90" w14:textId="77777777" w:rsidR="000D01A0" w:rsidRDefault="00000000" w:rsidP="00064512">
            <w:pPr>
              <w:spacing w:before="80" w:after="80"/>
              <w:jc w:val="center"/>
            </w:pPr>
            <w:r>
              <w:rPr>
                <w:rFonts w:ascii="Calibri" w:hAnsi="Calibri"/>
                <w:b/>
                <w:sz w:val="20"/>
              </w:rPr>
              <w:t>Biomarcador</w:t>
            </w:r>
            <w:r>
              <w:rPr>
                <w:rFonts w:ascii="Calibri" w:hAnsi="Calibri"/>
                <w:b/>
                <w:sz w:val="20"/>
              </w:rPr>
              <w:br/>
              <w:t>Tipo (Muestra)</w:t>
            </w:r>
          </w:p>
        </w:tc>
        <w:tc>
          <w:tcPr>
            <w:tcW w:w="1561" w:type="dxa"/>
            <w:shd w:val="clear" w:color="auto" w:fill="F2F2F2"/>
            <w:vAlign w:val="center"/>
          </w:tcPr>
          <w:p w14:paraId="54A5C70A" w14:textId="7A8E8DAC" w:rsidR="000D01A0" w:rsidRDefault="00000000" w:rsidP="00064512">
            <w:pPr>
              <w:spacing w:before="80" w:after="80"/>
              <w:jc w:val="center"/>
            </w:pPr>
            <w:r>
              <w:rPr>
                <w:rFonts w:ascii="Calibri" w:hAnsi="Calibri"/>
                <w:b/>
                <w:sz w:val="20"/>
              </w:rPr>
              <w:t>Propósito clínico</w:t>
            </w:r>
          </w:p>
        </w:tc>
        <w:tc>
          <w:tcPr>
            <w:tcW w:w="7087" w:type="dxa"/>
            <w:shd w:val="clear" w:color="auto" w:fill="F2F2F2"/>
            <w:vAlign w:val="center"/>
          </w:tcPr>
          <w:p w14:paraId="76D1A508" w14:textId="77777777" w:rsidR="000D01A0" w:rsidRDefault="00000000" w:rsidP="00064512">
            <w:pPr>
              <w:spacing w:before="80" w:after="80"/>
              <w:jc w:val="center"/>
            </w:pPr>
            <w:r>
              <w:rPr>
                <w:rFonts w:ascii="Calibri" w:hAnsi="Calibri"/>
                <w:b/>
                <w:sz w:val="20"/>
              </w:rPr>
              <w:t>Hallazgos principales</w:t>
            </w:r>
          </w:p>
        </w:tc>
        <w:tc>
          <w:tcPr>
            <w:tcW w:w="5040" w:type="dxa"/>
            <w:shd w:val="clear" w:color="auto" w:fill="F2F2F2"/>
            <w:vAlign w:val="center"/>
          </w:tcPr>
          <w:p w14:paraId="63B516B2" w14:textId="77777777" w:rsidR="000D01A0" w:rsidRDefault="00000000" w:rsidP="00064512">
            <w:pPr>
              <w:spacing w:before="80" w:after="80"/>
              <w:jc w:val="center"/>
            </w:pPr>
            <w:r>
              <w:rPr>
                <w:rFonts w:ascii="Calibri" w:hAnsi="Calibri"/>
                <w:b/>
                <w:sz w:val="20"/>
              </w:rPr>
              <w:t>Limitaciones</w:t>
            </w:r>
          </w:p>
        </w:tc>
      </w:tr>
      <w:tr w:rsidR="000D01A0" w14:paraId="11A4BBDB" w14:textId="77777777" w:rsidTr="0066497F">
        <w:trPr>
          <w:cantSplit/>
        </w:trPr>
        <w:tc>
          <w:tcPr>
            <w:tcW w:w="15354" w:type="dxa"/>
            <w:gridSpan w:val="4"/>
            <w:shd w:val="clear" w:color="auto" w:fill="D9D9D9"/>
            <w:vAlign w:val="center"/>
          </w:tcPr>
          <w:p w14:paraId="3C5E886E" w14:textId="47AD774A" w:rsidR="000D01A0" w:rsidRDefault="00000000" w:rsidP="00064512">
            <w:pPr>
              <w:keepNext/>
              <w:jc w:val="both"/>
            </w:pPr>
            <w:r>
              <w:rPr>
                <w:rFonts w:ascii="Calibri" w:hAnsi="Calibri"/>
                <w:b/>
                <w:sz w:val="21"/>
              </w:rPr>
              <w:t>Kim</w:t>
            </w:r>
            <w:r w:rsidR="0066497F">
              <w:rPr>
                <w:rFonts w:ascii="Calibri" w:hAnsi="Calibri"/>
                <w:b/>
                <w:sz w:val="21"/>
              </w:rPr>
              <w:t xml:space="preserve"> et al., </w:t>
            </w:r>
            <w:r>
              <w:rPr>
                <w:rFonts w:ascii="Calibri" w:hAnsi="Calibri"/>
                <w:b/>
                <w:sz w:val="21"/>
              </w:rPr>
              <w:t>2019</w:t>
            </w:r>
          </w:p>
        </w:tc>
      </w:tr>
      <w:tr w:rsidR="000D01A0" w:rsidRPr="0066497F" w14:paraId="507BD61D" w14:textId="77777777" w:rsidTr="00801999">
        <w:trPr>
          <w:cantSplit/>
        </w:trPr>
        <w:tc>
          <w:tcPr>
            <w:tcW w:w="1666" w:type="dxa"/>
            <w:tcBorders>
              <w:bottom w:val="dotted" w:sz="4" w:space="0" w:color="AAAAAA"/>
            </w:tcBorders>
          </w:tcPr>
          <w:p w14:paraId="77C77681" w14:textId="320ED364" w:rsidR="000D01A0" w:rsidRPr="0066497F" w:rsidRDefault="00000000" w:rsidP="00064512">
            <w:pPr>
              <w:keepLines/>
              <w:spacing w:before="80" w:after="80"/>
              <w:jc w:val="both"/>
              <w:rPr>
                <w:lang w:val="es-ES"/>
              </w:rPr>
            </w:pPr>
            <w:r w:rsidRPr="0066497F">
              <w:rPr>
                <w:rFonts w:ascii="Calibri" w:hAnsi="Calibri"/>
                <w:b/>
                <w:sz w:val="20"/>
                <w:lang w:val="es-ES"/>
              </w:rPr>
              <w:t>sST2 (</w:t>
            </w:r>
            <w:r w:rsidR="0066497F">
              <w:rPr>
                <w:rFonts w:ascii="Calibri" w:hAnsi="Calibri"/>
                <w:b/>
                <w:sz w:val="20"/>
                <w:lang w:val="es-ES"/>
              </w:rPr>
              <w:t>s</w:t>
            </w:r>
            <w:r w:rsidRPr="0066497F">
              <w:rPr>
                <w:rFonts w:ascii="Calibri" w:hAnsi="Calibri"/>
                <w:b/>
                <w:sz w:val="20"/>
                <w:lang w:val="es-ES"/>
              </w:rPr>
              <w:t xml:space="preserve">upresor </w:t>
            </w:r>
            <w:r w:rsidR="0066497F">
              <w:rPr>
                <w:rFonts w:ascii="Calibri" w:hAnsi="Calibri"/>
                <w:b/>
                <w:sz w:val="20"/>
                <w:lang w:val="es-ES"/>
              </w:rPr>
              <w:t>s</w:t>
            </w:r>
            <w:r w:rsidRPr="0066497F">
              <w:rPr>
                <w:rFonts w:ascii="Calibri" w:hAnsi="Calibri"/>
                <w:b/>
                <w:sz w:val="20"/>
                <w:lang w:val="es-ES"/>
              </w:rPr>
              <w:t xml:space="preserve">oluble de la </w:t>
            </w:r>
            <w:r w:rsidR="0066497F">
              <w:rPr>
                <w:rFonts w:ascii="Calibri" w:hAnsi="Calibri"/>
                <w:b/>
                <w:sz w:val="20"/>
                <w:lang w:val="es-ES"/>
              </w:rPr>
              <w:t>t</w:t>
            </w:r>
            <w:r w:rsidRPr="0066497F">
              <w:rPr>
                <w:rFonts w:ascii="Calibri" w:hAnsi="Calibri"/>
                <w:b/>
                <w:sz w:val="20"/>
                <w:lang w:val="es-ES"/>
              </w:rPr>
              <w:t>umorigenicidad 2)</w:t>
            </w:r>
            <w:r w:rsidRPr="0066497F">
              <w:rPr>
                <w:rFonts w:ascii="Calibri" w:hAnsi="Calibri"/>
                <w:i/>
                <w:color w:val="555555"/>
                <w:sz w:val="18"/>
                <w:lang w:val="es-ES"/>
              </w:rPr>
              <w:br/>
              <w:t>Proteómico (Plasma)</w:t>
            </w:r>
          </w:p>
        </w:tc>
        <w:tc>
          <w:tcPr>
            <w:tcW w:w="1561" w:type="dxa"/>
            <w:tcBorders>
              <w:bottom w:val="dotted" w:sz="4" w:space="0" w:color="AAAAAA"/>
            </w:tcBorders>
          </w:tcPr>
          <w:p w14:paraId="3A1A2AAD" w14:textId="77777777" w:rsidR="000D01A0" w:rsidRDefault="00000000" w:rsidP="00064512">
            <w:pPr>
              <w:keepLines/>
              <w:spacing w:before="80" w:after="80"/>
              <w:jc w:val="both"/>
            </w:pPr>
            <w:r>
              <w:rPr>
                <w:rFonts w:ascii="Calibri" w:hAnsi="Calibri"/>
                <w:sz w:val="20"/>
              </w:rPr>
              <w:t>Pronóstico</w:t>
            </w:r>
          </w:p>
        </w:tc>
        <w:tc>
          <w:tcPr>
            <w:tcW w:w="7087" w:type="dxa"/>
            <w:tcBorders>
              <w:bottom w:val="dotted" w:sz="4" w:space="0" w:color="AAAAAA"/>
            </w:tcBorders>
          </w:tcPr>
          <w:p w14:paraId="18E3F369" w14:textId="77777777" w:rsidR="000D01A0" w:rsidRPr="0066497F" w:rsidRDefault="00000000" w:rsidP="00064512">
            <w:pPr>
              <w:keepLines/>
              <w:spacing w:before="80" w:after="80"/>
              <w:jc w:val="both"/>
              <w:rPr>
                <w:lang w:val="es-ES"/>
              </w:rPr>
            </w:pPr>
            <w:r w:rsidRPr="0066497F">
              <w:rPr>
                <w:rFonts w:ascii="Calibri" w:hAnsi="Calibri"/>
                <w:sz w:val="20"/>
                <w:lang w:val="es-ES"/>
              </w:rPr>
              <w:t>Se estableció un valor de corte óptimo de 32.6 ng/mL como predictor de mortalidad a un año (AUC 0.72, sensibilidad 91%, especificidad 52%, p=0.003) y la mortalidad global (AUC 0.72, sensibilidad 88%, especificidad 54%, p = 0.005).</w:t>
            </w:r>
          </w:p>
        </w:tc>
        <w:tc>
          <w:tcPr>
            <w:tcW w:w="5040" w:type="dxa"/>
            <w:tcBorders>
              <w:bottom w:val="dotted" w:sz="4" w:space="0" w:color="AAAAAA"/>
            </w:tcBorders>
          </w:tcPr>
          <w:p w14:paraId="7BFDBE56" w14:textId="77777777" w:rsidR="000D01A0" w:rsidRPr="0066497F" w:rsidRDefault="00000000" w:rsidP="00064512">
            <w:pPr>
              <w:keepLines/>
              <w:spacing w:before="80" w:after="80"/>
              <w:jc w:val="both"/>
              <w:rPr>
                <w:lang w:val="es-ES"/>
              </w:rPr>
            </w:pPr>
            <w:r w:rsidRPr="0066497F">
              <w:rPr>
                <w:rFonts w:ascii="Calibri" w:hAnsi="Calibri"/>
                <w:sz w:val="20"/>
                <w:lang w:val="es-ES"/>
              </w:rPr>
              <w:t>Aunque los resultados son significativos, se necesita repetir el análisis en una cohorte con un tamaño de muestra mayor.</w:t>
            </w:r>
          </w:p>
        </w:tc>
      </w:tr>
      <w:tr w:rsidR="000D01A0" w:rsidRPr="0066497F" w14:paraId="0C90350E" w14:textId="77777777" w:rsidTr="00801999">
        <w:trPr>
          <w:cantSplit/>
        </w:trPr>
        <w:tc>
          <w:tcPr>
            <w:tcW w:w="1666" w:type="dxa"/>
            <w:tcBorders>
              <w:bottom w:val="dotted" w:sz="4" w:space="0" w:color="AAAAAA"/>
            </w:tcBorders>
          </w:tcPr>
          <w:p w14:paraId="39D1ED87" w14:textId="1406B5F7" w:rsidR="000D01A0" w:rsidRPr="0066497F" w:rsidRDefault="00000000" w:rsidP="00064512">
            <w:pPr>
              <w:keepLines/>
              <w:spacing w:before="80" w:after="80"/>
              <w:jc w:val="both"/>
              <w:rPr>
                <w:lang w:val="es-ES"/>
              </w:rPr>
            </w:pPr>
            <w:r w:rsidRPr="0066497F">
              <w:rPr>
                <w:rFonts w:ascii="Calibri" w:hAnsi="Calibri"/>
                <w:b/>
                <w:sz w:val="20"/>
                <w:lang w:val="es-ES"/>
              </w:rPr>
              <w:t>GDF-15 (</w:t>
            </w:r>
            <w:r w:rsidR="0066497F">
              <w:rPr>
                <w:rFonts w:ascii="Calibri" w:hAnsi="Calibri"/>
                <w:b/>
                <w:sz w:val="20"/>
                <w:lang w:val="es-ES"/>
              </w:rPr>
              <w:t>f</w:t>
            </w:r>
            <w:r w:rsidRPr="0066497F">
              <w:rPr>
                <w:rFonts w:ascii="Calibri" w:hAnsi="Calibri"/>
                <w:b/>
                <w:sz w:val="20"/>
                <w:lang w:val="es-ES"/>
              </w:rPr>
              <w:t xml:space="preserve">actor de </w:t>
            </w:r>
            <w:r w:rsidR="0066497F">
              <w:rPr>
                <w:rFonts w:ascii="Calibri" w:hAnsi="Calibri"/>
                <w:b/>
                <w:sz w:val="20"/>
                <w:lang w:val="es-ES"/>
              </w:rPr>
              <w:t>d</w:t>
            </w:r>
            <w:r w:rsidRPr="0066497F">
              <w:rPr>
                <w:rFonts w:ascii="Calibri" w:hAnsi="Calibri"/>
                <w:b/>
                <w:sz w:val="20"/>
                <w:lang w:val="es-ES"/>
              </w:rPr>
              <w:t xml:space="preserve">iferenciación de </w:t>
            </w:r>
            <w:r w:rsidR="0066497F">
              <w:rPr>
                <w:rFonts w:ascii="Calibri" w:hAnsi="Calibri"/>
                <w:b/>
                <w:sz w:val="20"/>
                <w:lang w:val="es-ES"/>
              </w:rPr>
              <w:t>c</w:t>
            </w:r>
            <w:r w:rsidRPr="0066497F">
              <w:rPr>
                <w:rFonts w:ascii="Calibri" w:hAnsi="Calibri"/>
                <w:b/>
                <w:sz w:val="20"/>
                <w:lang w:val="es-ES"/>
              </w:rPr>
              <w:t>recimiento 15)</w:t>
            </w:r>
            <w:r w:rsidRPr="0066497F">
              <w:rPr>
                <w:rFonts w:ascii="Calibri" w:hAnsi="Calibri"/>
                <w:i/>
                <w:color w:val="555555"/>
                <w:sz w:val="18"/>
                <w:lang w:val="es-ES"/>
              </w:rPr>
              <w:br/>
              <w:t>Proteómico (Plasma)</w:t>
            </w:r>
          </w:p>
        </w:tc>
        <w:tc>
          <w:tcPr>
            <w:tcW w:w="1561" w:type="dxa"/>
            <w:tcBorders>
              <w:bottom w:val="dotted" w:sz="4" w:space="0" w:color="AAAAAA"/>
            </w:tcBorders>
          </w:tcPr>
          <w:p w14:paraId="45922976" w14:textId="77777777" w:rsidR="000D01A0" w:rsidRDefault="00000000" w:rsidP="00064512">
            <w:pPr>
              <w:keepLines/>
              <w:spacing w:before="80" w:after="80"/>
              <w:jc w:val="both"/>
            </w:pPr>
            <w:r>
              <w:rPr>
                <w:rFonts w:ascii="Calibri" w:hAnsi="Calibri"/>
                <w:sz w:val="20"/>
              </w:rPr>
              <w:t>Pronóstico</w:t>
            </w:r>
          </w:p>
        </w:tc>
        <w:tc>
          <w:tcPr>
            <w:tcW w:w="7087" w:type="dxa"/>
            <w:tcBorders>
              <w:bottom w:val="dotted" w:sz="4" w:space="0" w:color="AAAAAA"/>
            </w:tcBorders>
          </w:tcPr>
          <w:p w14:paraId="134D7068" w14:textId="77777777" w:rsidR="000D01A0" w:rsidRPr="0066497F" w:rsidRDefault="00000000" w:rsidP="00064512">
            <w:pPr>
              <w:keepLines/>
              <w:spacing w:before="80" w:after="80"/>
              <w:jc w:val="both"/>
              <w:rPr>
                <w:lang w:val="es-ES"/>
              </w:rPr>
            </w:pPr>
            <w:r w:rsidRPr="0066497F">
              <w:rPr>
                <w:rFonts w:ascii="Calibri" w:hAnsi="Calibri"/>
                <w:sz w:val="20"/>
                <w:lang w:val="es-ES"/>
              </w:rPr>
              <w:t>El GDF-15 mostró valor pronóstico significativo para mortalidad a un año utilizando un valor de corte &gt; 2.30 ng/mL (AUC 0.72, S: 71%, E: 44%, p=0.004) y para mortalidad global con un valor del corte &gt; 1.71 ng/mL (AUC 0.69, S: 80%, E: 58%, p=0.009).</w:t>
            </w:r>
          </w:p>
        </w:tc>
        <w:tc>
          <w:tcPr>
            <w:tcW w:w="5040" w:type="dxa"/>
            <w:tcBorders>
              <w:bottom w:val="dotted" w:sz="4" w:space="0" w:color="AAAAAA"/>
            </w:tcBorders>
          </w:tcPr>
          <w:p w14:paraId="1CDE05C6" w14:textId="77777777" w:rsidR="000D01A0" w:rsidRPr="0066497F" w:rsidRDefault="00000000" w:rsidP="00064512">
            <w:pPr>
              <w:keepLines/>
              <w:spacing w:before="80" w:after="80"/>
              <w:jc w:val="both"/>
              <w:rPr>
                <w:lang w:val="es-ES"/>
              </w:rPr>
            </w:pPr>
            <w:r w:rsidRPr="0066497F">
              <w:rPr>
                <w:rFonts w:ascii="Calibri" w:hAnsi="Calibri"/>
                <w:sz w:val="20"/>
                <w:lang w:val="es-ES"/>
              </w:rPr>
              <w:t>Ocurre lo mismo que con sST2. Se necesita estudiar con un tamaño de muestra mayor para asegurarse de que los resultados realmente reflejen la realidad de los pacientes con amiloidosis AL.</w:t>
            </w:r>
          </w:p>
        </w:tc>
      </w:tr>
      <w:tr w:rsidR="000D01A0" w:rsidRPr="0066497F" w14:paraId="39D964F3" w14:textId="77777777" w:rsidTr="00801999">
        <w:trPr>
          <w:cantSplit/>
        </w:trPr>
        <w:tc>
          <w:tcPr>
            <w:tcW w:w="1666" w:type="dxa"/>
          </w:tcPr>
          <w:p w14:paraId="13500F70" w14:textId="77777777" w:rsidR="000D01A0" w:rsidRDefault="00000000" w:rsidP="00064512">
            <w:pPr>
              <w:keepLines/>
              <w:spacing w:before="80" w:after="80"/>
              <w:jc w:val="both"/>
            </w:pPr>
            <w:r>
              <w:rPr>
                <w:rFonts w:ascii="Calibri" w:hAnsi="Calibri"/>
                <w:b/>
                <w:sz w:val="20"/>
              </w:rPr>
              <w:t>Osteopontina</w:t>
            </w:r>
            <w:r>
              <w:rPr>
                <w:rFonts w:ascii="Calibri" w:hAnsi="Calibri"/>
                <w:i/>
                <w:color w:val="555555"/>
                <w:sz w:val="18"/>
              </w:rPr>
              <w:br/>
              <w:t>Proteómico (Plasma)</w:t>
            </w:r>
          </w:p>
        </w:tc>
        <w:tc>
          <w:tcPr>
            <w:tcW w:w="1561" w:type="dxa"/>
          </w:tcPr>
          <w:p w14:paraId="016CFBC1" w14:textId="77777777" w:rsidR="000D01A0" w:rsidRDefault="00000000" w:rsidP="00064512">
            <w:pPr>
              <w:keepLines/>
              <w:spacing w:before="80" w:after="80"/>
              <w:jc w:val="both"/>
            </w:pPr>
            <w:r>
              <w:rPr>
                <w:rFonts w:ascii="Calibri" w:hAnsi="Calibri"/>
                <w:sz w:val="20"/>
              </w:rPr>
              <w:t>Pronóstico</w:t>
            </w:r>
          </w:p>
        </w:tc>
        <w:tc>
          <w:tcPr>
            <w:tcW w:w="7087" w:type="dxa"/>
          </w:tcPr>
          <w:p w14:paraId="4D02DA34" w14:textId="77777777" w:rsidR="000D01A0" w:rsidRPr="0066497F" w:rsidRDefault="00000000" w:rsidP="00064512">
            <w:pPr>
              <w:keepLines/>
              <w:spacing w:before="80" w:after="80"/>
              <w:jc w:val="both"/>
              <w:rPr>
                <w:lang w:val="es-ES"/>
              </w:rPr>
            </w:pPr>
            <w:r w:rsidRPr="0066497F">
              <w:rPr>
                <w:rFonts w:ascii="Calibri" w:hAnsi="Calibri"/>
                <w:sz w:val="20"/>
                <w:lang w:val="es-ES"/>
              </w:rPr>
              <w:t>No se encontraron resultados significativos.</w:t>
            </w:r>
          </w:p>
        </w:tc>
        <w:tc>
          <w:tcPr>
            <w:tcW w:w="5040" w:type="dxa"/>
          </w:tcPr>
          <w:p w14:paraId="0179D47D" w14:textId="77777777" w:rsidR="000D01A0" w:rsidRPr="0066497F" w:rsidRDefault="000D01A0" w:rsidP="00064512">
            <w:pPr>
              <w:keepLines/>
              <w:spacing w:before="80" w:after="80"/>
              <w:jc w:val="both"/>
              <w:rPr>
                <w:lang w:val="es-ES"/>
              </w:rPr>
            </w:pPr>
          </w:p>
        </w:tc>
      </w:tr>
      <w:tr w:rsidR="000D01A0" w14:paraId="529573E7" w14:textId="77777777" w:rsidTr="0066497F">
        <w:trPr>
          <w:cantSplit/>
        </w:trPr>
        <w:tc>
          <w:tcPr>
            <w:tcW w:w="15354" w:type="dxa"/>
            <w:gridSpan w:val="4"/>
            <w:shd w:val="clear" w:color="auto" w:fill="D9D9D9"/>
            <w:vAlign w:val="center"/>
          </w:tcPr>
          <w:p w14:paraId="64029831" w14:textId="31D675DB" w:rsidR="000D01A0" w:rsidRDefault="00000000" w:rsidP="00064512">
            <w:pPr>
              <w:keepNext/>
              <w:jc w:val="both"/>
            </w:pPr>
            <w:r>
              <w:rPr>
                <w:rFonts w:ascii="Calibri" w:hAnsi="Calibri"/>
                <w:b/>
                <w:sz w:val="21"/>
              </w:rPr>
              <w:t>Yogo</w:t>
            </w:r>
            <w:r w:rsidR="0066497F">
              <w:rPr>
                <w:rFonts w:ascii="Calibri" w:hAnsi="Calibri"/>
                <w:b/>
                <w:sz w:val="21"/>
              </w:rPr>
              <w:t xml:space="preserve"> et al., </w:t>
            </w:r>
            <w:r>
              <w:rPr>
                <w:rFonts w:ascii="Calibri" w:hAnsi="Calibri"/>
                <w:b/>
                <w:sz w:val="21"/>
              </w:rPr>
              <w:t>2019</w:t>
            </w:r>
          </w:p>
        </w:tc>
      </w:tr>
      <w:tr w:rsidR="000D01A0" w:rsidRPr="0066497F" w14:paraId="3B750004" w14:textId="77777777" w:rsidTr="00801999">
        <w:trPr>
          <w:cantSplit/>
        </w:trPr>
        <w:tc>
          <w:tcPr>
            <w:tcW w:w="1666" w:type="dxa"/>
          </w:tcPr>
          <w:p w14:paraId="4A8C5888" w14:textId="77777777" w:rsidR="000D01A0" w:rsidRPr="0066497F" w:rsidRDefault="00000000" w:rsidP="00064512">
            <w:pPr>
              <w:keepLines/>
              <w:spacing w:before="80" w:after="80"/>
              <w:jc w:val="both"/>
              <w:rPr>
                <w:lang w:val="es-ES"/>
              </w:rPr>
            </w:pPr>
            <w:r w:rsidRPr="0066497F">
              <w:rPr>
                <w:rFonts w:ascii="Calibri" w:hAnsi="Calibri"/>
                <w:b/>
                <w:sz w:val="20"/>
                <w:lang w:val="es-ES"/>
              </w:rPr>
              <w:t>Amplitud de Distribución Eritrocitaria (RDW)</w:t>
            </w:r>
            <w:r w:rsidRPr="0066497F">
              <w:rPr>
                <w:rFonts w:ascii="Calibri" w:hAnsi="Calibri"/>
                <w:i/>
                <w:color w:val="555555"/>
                <w:sz w:val="18"/>
                <w:lang w:val="es-ES"/>
              </w:rPr>
              <w:br/>
              <w:t>Circulante (Sangre)</w:t>
            </w:r>
          </w:p>
        </w:tc>
        <w:tc>
          <w:tcPr>
            <w:tcW w:w="1561" w:type="dxa"/>
          </w:tcPr>
          <w:p w14:paraId="052D3DAA" w14:textId="77777777" w:rsidR="000D01A0" w:rsidRDefault="00000000" w:rsidP="00064512">
            <w:pPr>
              <w:keepLines/>
              <w:spacing w:before="80" w:after="80"/>
              <w:jc w:val="both"/>
            </w:pPr>
            <w:r>
              <w:rPr>
                <w:rFonts w:ascii="Calibri" w:hAnsi="Calibri"/>
                <w:sz w:val="20"/>
              </w:rPr>
              <w:t>Pronóstico</w:t>
            </w:r>
          </w:p>
        </w:tc>
        <w:tc>
          <w:tcPr>
            <w:tcW w:w="7087" w:type="dxa"/>
          </w:tcPr>
          <w:p w14:paraId="33A35795" w14:textId="77777777" w:rsidR="000D01A0" w:rsidRPr="0066497F" w:rsidRDefault="00000000" w:rsidP="00064512">
            <w:pPr>
              <w:keepLines/>
              <w:spacing w:before="80" w:after="80"/>
              <w:jc w:val="both"/>
              <w:rPr>
                <w:lang w:val="es-ES"/>
              </w:rPr>
            </w:pPr>
            <w:r w:rsidRPr="0066497F">
              <w:rPr>
                <w:rFonts w:ascii="Calibri" w:hAnsi="Calibri"/>
                <w:sz w:val="20"/>
                <w:lang w:val="es-ES"/>
              </w:rPr>
              <w:t>Un RDW alto (≥13.8%, presente en el 48% de los pacientes analizados) es un predictor independiente de menor supervivencia global (p&lt;0.001). Además, se asoció un RDW alto con una menos supervivencia (p=0.0064) en pacientes sin afectación cardiaca, mostrando que es un predictor de mortalidad fiable para pacientes con y sin afectación cardiaca.</w:t>
            </w:r>
          </w:p>
        </w:tc>
        <w:tc>
          <w:tcPr>
            <w:tcW w:w="5040" w:type="dxa"/>
          </w:tcPr>
          <w:p w14:paraId="1C63CB25" w14:textId="77777777" w:rsidR="000D01A0" w:rsidRPr="0066497F" w:rsidRDefault="00000000" w:rsidP="00064512">
            <w:pPr>
              <w:keepLines/>
              <w:spacing w:before="80" w:after="80"/>
              <w:jc w:val="both"/>
              <w:rPr>
                <w:lang w:val="es-ES"/>
              </w:rPr>
            </w:pPr>
            <w:r w:rsidRPr="0066497F">
              <w:rPr>
                <w:rFonts w:ascii="Calibri" w:hAnsi="Calibri"/>
                <w:sz w:val="20"/>
                <w:lang w:val="es-ES"/>
              </w:rPr>
              <w:t>Los resultados se tienen que validar con estudios en los que el tamaño de muestra sea mayor.</w:t>
            </w:r>
          </w:p>
        </w:tc>
      </w:tr>
      <w:tr w:rsidR="000D01A0" w14:paraId="7D2EFE52" w14:textId="77777777" w:rsidTr="0066497F">
        <w:trPr>
          <w:cantSplit/>
        </w:trPr>
        <w:tc>
          <w:tcPr>
            <w:tcW w:w="15354" w:type="dxa"/>
            <w:gridSpan w:val="4"/>
            <w:shd w:val="clear" w:color="auto" w:fill="D9D9D9"/>
            <w:vAlign w:val="center"/>
          </w:tcPr>
          <w:p w14:paraId="128E6E6D" w14:textId="6DBAFC04" w:rsidR="000D01A0" w:rsidRDefault="00000000" w:rsidP="00064512">
            <w:pPr>
              <w:keepNext/>
              <w:jc w:val="both"/>
            </w:pPr>
            <w:r>
              <w:rPr>
                <w:rFonts w:ascii="Calibri" w:hAnsi="Calibri"/>
                <w:b/>
                <w:sz w:val="21"/>
              </w:rPr>
              <w:t>Zhao</w:t>
            </w:r>
            <w:r w:rsidR="0066497F">
              <w:rPr>
                <w:rFonts w:ascii="Calibri" w:hAnsi="Calibri"/>
                <w:b/>
                <w:sz w:val="21"/>
              </w:rPr>
              <w:t xml:space="preserve"> et al., </w:t>
            </w:r>
            <w:r>
              <w:rPr>
                <w:rFonts w:ascii="Calibri" w:hAnsi="Calibri"/>
                <w:b/>
                <w:sz w:val="21"/>
              </w:rPr>
              <w:t>2015</w:t>
            </w:r>
          </w:p>
        </w:tc>
      </w:tr>
      <w:tr w:rsidR="000D01A0" w:rsidRPr="0066497F" w14:paraId="231B709B" w14:textId="77777777" w:rsidTr="00801999">
        <w:trPr>
          <w:cantSplit/>
        </w:trPr>
        <w:tc>
          <w:tcPr>
            <w:tcW w:w="1666" w:type="dxa"/>
          </w:tcPr>
          <w:p w14:paraId="0EDF8EDF" w14:textId="29F51D41" w:rsidR="000D01A0" w:rsidRPr="0066497F" w:rsidRDefault="00000000" w:rsidP="00064512">
            <w:pPr>
              <w:keepLines/>
              <w:spacing w:before="80" w:after="80"/>
              <w:jc w:val="both"/>
              <w:rPr>
                <w:lang w:val="es-ES"/>
              </w:rPr>
            </w:pPr>
            <w:r w:rsidRPr="0066497F">
              <w:rPr>
                <w:rFonts w:ascii="Calibri" w:hAnsi="Calibri"/>
                <w:b/>
                <w:sz w:val="20"/>
                <w:lang w:val="es-ES"/>
              </w:rPr>
              <w:t>Patrón de pseudoinfarto</w:t>
            </w:r>
            <w:r w:rsidRPr="0066497F">
              <w:rPr>
                <w:rFonts w:ascii="Calibri" w:hAnsi="Calibri"/>
                <w:i/>
                <w:color w:val="555555"/>
                <w:sz w:val="18"/>
                <w:lang w:val="es-ES"/>
              </w:rPr>
              <w:br/>
            </w:r>
            <w:r w:rsidR="0066497F">
              <w:rPr>
                <w:rFonts w:ascii="Calibri" w:hAnsi="Calibri"/>
                <w:i/>
                <w:color w:val="555555"/>
                <w:sz w:val="18"/>
                <w:lang w:val="es-ES"/>
              </w:rPr>
              <w:t>Electrocardiograma</w:t>
            </w:r>
          </w:p>
        </w:tc>
        <w:tc>
          <w:tcPr>
            <w:tcW w:w="1561" w:type="dxa"/>
          </w:tcPr>
          <w:p w14:paraId="3178B6E3" w14:textId="77777777" w:rsidR="000D01A0" w:rsidRDefault="00000000" w:rsidP="00064512">
            <w:pPr>
              <w:keepLines/>
              <w:spacing w:before="80" w:after="80"/>
              <w:jc w:val="both"/>
            </w:pPr>
            <w:r>
              <w:rPr>
                <w:rFonts w:ascii="Calibri" w:hAnsi="Calibri"/>
                <w:sz w:val="20"/>
              </w:rPr>
              <w:t>Pronóstico</w:t>
            </w:r>
          </w:p>
        </w:tc>
        <w:tc>
          <w:tcPr>
            <w:tcW w:w="7087" w:type="dxa"/>
          </w:tcPr>
          <w:p w14:paraId="7F0CECF1" w14:textId="77777777" w:rsidR="000D01A0" w:rsidRPr="0066497F" w:rsidRDefault="00000000" w:rsidP="00064512">
            <w:pPr>
              <w:keepLines/>
              <w:spacing w:before="80" w:after="80"/>
              <w:jc w:val="both"/>
              <w:rPr>
                <w:lang w:val="es-ES"/>
              </w:rPr>
            </w:pPr>
            <w:r w:rsidRPr="0066497F">
              <w:rPr>
                <w:rFonts w:ascii="Calibri" w:hAnsi="Calibri"/>
                <w:sz w:val="20"/>
                <w:lang w:val="es-ES"/>
              </w:rPr>
              <w:t>La presencia del patrón de pseudoinfarto se asoció con una mayor gravedad clínica y redujo drásticamente la supervivencia mediana de 17 a tan solo 4 meses (p&lt;0.001). El análisis multivariante confirmó que es un predictor pronóstico de mortalidad independiente (HR 1.9).</w:t>
            </w:r>
          </w:p>
        </w:tc>
        <w:tc>
          <w:tcPr>
            <w:tcW w:w="5040" w:type="dxa"/>
          </w:tcPr>
          <w:p w14:paraId="2DEAC885" w14:textId="13F77532" w:rsidR="000D01A0" w:rsidRPr="0066497F" w:rsidRDefault="00000000" w:rsidP="00064512">
            <w:pPr>
              <w:keepLines/>
              <w:spacing w:before="80" w:after="80"/>
              <w:jc w:val="both"/>
              <w:rPr>
                <w:lang w:val="es-ES"/>
              </w:rPr>
            </w:pPr>
            <w:r w:rsidRPr="0066497F">
              <w:rPr>
                <w:rFonts w:ascii="Calibri" w:hAnsi="Calibri"/>
                <w:sz w:val="20"/>
                <w:lang w:val="es-ES"/>
              </w:rPr>
              <w:t xml:space="preserve">Descartaron la presencia de enfermedad coronaria solo por la historia clínica de los pacientes y no por una angiografía coronaria. </w:t>
            </w:r>
            <w:r w:rsidR="002C4D3F" w:rsidRPr="0066497F">
              <w:rPr>
                <w:rFonts w:ascii="Calibri" w:hAnsi="Calibri"/>
                <w:sz w:val="20"/>
                <w:lang w:val="es-ES"/>
              </w:rPr>
              <w:t>Además,</w:t>
            </w:r>
            <w:r w:rsidRPr="0066497F">
              <w:rPr>
                <w:rFonts w:ascii="Calibri" w:hAnsi="Calibri"/>
                <w:sz w:val="20"/>
                <w:lang w:val="es-ES"/>
              </w:rPr>
              <w:t xml:space="preserve"> hay algunos parámetros que no fueron </w:t>
            </w:r>
            <w:r w:rsidR="002C4D3F" w:rsidRPr="0066497F">
              <w:rPr>
                <w:rFonts w:ascii="Calibri" w:hAnsi="Calibri"/>
                <w:sz w:val="20"/>
                <w:lang w:val="es-ES"/>
              </w:rPr>
              <w:t>disponibles</w:t>
            </w:r>
            <w:r w:rsidRPr="0066497F">
              <w:rPr>
                <w:rFonts w:ascii="Calibri" w:hAnsi="Calibri"/>
                <w:sz w:val="20"/>
                <w:lang w:val="es-ES"/>
              </w:rPr>
              <w:t xml:space="preserve"> en algunos pacientes, lo que podría haber alterado los resultados.</w:t>
            </w:r>
          </w:p>
        </w:tc>
      </w:tr>
      <w:tr w:rsidR="000D01A0" w14:paraId="33AB9FA0" w14:textId="77777777" w:rsidTr="0066497F">
        <w:trPr>
          <w:cantSplit/>
        </w:trPr>
        <w:tc>
          <w:tcPr>
            <w:tcW w:w="15354" w:type="dxa"/>
            <w:gridSpan w:val="4"/>
            <w:shd w:val="clear" w:color="auto" w:fill="D9D9D9"/>
            <w:vAlign w:val="center"/>
          </w:tcPr>
          <w:p w14:paraId="6EBBBF6D" w14:textId="366ACF15" w:rsidR="000D01A0" w:rsidRDefault="00000000" w:rsidP="00064512">
            <w:pPr>
              <w:keepNext/>
              <w:jc w:val="both"/>
            </w:pPr>
            <w:r>
              <w:rPr>
                <w:rFonts w:ascii="Calibri" w:hAnsi="Calibri"/>
                <w:b/>
                <w:sz w:val="21"/>
              </w:rPr>
              <w:lastRenderedPageBreak/>
              <w:t>Huang</w:t>
            </w:r>
            <w:r w:rsidR="0066497F">
              <w:rPr>
                <w:rFonts w:ascii="Calibri" w:hAnsi="Calibri"/>
                <w:b/>
                <w:sz w:val="21"/>
              </w:rPr>
              <w:t xml:space="preserve"> et al., </w:t>
            </w:r>
            <w:r>
              <w:rPr>
                <w:rFonts w:ascii="Calibri" w:hAnsi="Calibri"/>
                <w:b/>
                <w:sz w:val="21"/>
              </w:rPr>
              <w:t>2024</w:t>
            </w:r>
          </w:p>
        </w:tc>
      </w:tr>
      <w:tr w:rsidR="000D01A0" w:rsidRPr="0066497F" w14:paraId="77CB9D97" w14:textId="77777777" w:rsidTr="00801999">
        <w:trPr>
          <w:cantSplit/>
        </w:trPr>
        <w:tc>
          <w:tcPr>
            <w:tcW w:w="1666" w:type="dxa"/>
          </w:tcPr>
          <w:p w14:paraId="5A178DAC" w14:textId="77777777" w:rsidR="000D01A0" w:rsidRDefault="00000000" w:rsidP="00064512">
            <w:pPr>
              <w:keepLines/>
              <w:spacing w:before="80" w:after="80"/>
              <w:jc w:val="both"/>
            </w:pPr>
            <w:r>
              <w:rPr>
                <w:rFonts w:ascii="Calibri" w:hAnsi="Calibri"/>
                <w:b/>
                <w:sz w:val="20"/>
              </w:rPr>
              <w:t>Galectina-3</w:t>
            </w:r>
            <w:r>
              <w:rPr>
                <w:rFonts w:ascii="Calibri" w:hAnsi="Calibri"/>
                <w:i/>
                <w:color w:val="555555"/>
                <w:sz w:val="18"/>
              </w:rPr>
              <w:br/>
              <w:t>Proteómico (Suero)</w:t>
            </w:r>
          </w:p>
        </w:tc>
        <w:tc>
          <w:tcPr>
            <w:tcW w:w="1561" w:type="dxa"/>
          </w:tcPr>
          <w:p w14:paraId="54A2E370" w14:textId="77777777" w:rsidR="000D01A0" w:rsidRDefault="00000000" w:rsidP="00064512">
            <w:pPr>
              <w:keepLines/>
              <w:spacing w:before="80" w:after="80"/>
              <w:jc w:val="both"/>
            </w:pPr>
            <w:r>
              <w:rPr>
                <w:rFonts w:ascii="Calibri" w:hAnsi="Calibri"/>
                <w:sz w:val="20"/>
              </w:rPr>
              <w:t>Pronóstico</w:t>
            </w:r>
          </w:p>
        </w:tc>
        <w:tc>
          <w:tcPr>
            <w:tcW w:w="7087" w:type="dxa"/>
          </w:tcPr>
          <w:p w14:paraId="07FC255E" w14:textId="77777777" w:rsidR="000D01A0" w:rsidRPr="0066497F" w:rsidRDefault="00000000" w:rsidP="00064512">
            <w:pPr>
              <w:keepLines/>
              <w:spacing w:before="80" w:after="80"/>
              <w:jc w:val="both"/>
              <w:rPr>
                <w:lang w:val="es-ES"/>
              </w:rPr>
            </w:pPr>
            <w:r w:rsidRPr="0066497F">
              <w:rPr>
                <w:rFonts w:ascii="Calibri" w:hAnsi="Calibri"/>
                <w:sz w:val="20"/>
                <w:lang w:val="es-ES"/>
              </w:rPr>
              <w:t>El análisis multivariante determinó un valor de corte de Gal-3 de 15.154 ng/mL como predictor de supervivencia, con una supervivencia promedio de 69.2 meses en pacientes con niveles por debajo del umbral y de 42.1 meses en pacientes que superaban el umbral (HR 2.451, p=0.046).</w:t>
            </w:r>
          </w:p>
        </w:tc>
        <w:tc>
          <w:tcPr>
            <w:tcW w:w="5040" w:type="dxa"/>
          </w:tcPr>
          <w:p w14:paraId="6F324D47" w14:textId="77777777" w:rsidR="000D01A0" w:rsidRPr="0066497F" w:rsidRDefault="00000000" w:rsidP="00064512">
            <w:pPr>
              <w:keepLines/>
              <w:spacing w:before="80" w:after="80"/>
              <w:jc w:val="both"/>
              <w:rPr>
                <w:lang w:val="es-ES"/>
              </w:rPr>
            </w:pPr>
            <w:r w:rsidRPr="0066497F">
              <w:rPr>
                <w:rFonts w:ascii="Calibri" w:hAnsi="Calibri"/>
                <w:sz w:val="20"/>
                <w:lang w:val="es-ES"/>
              </w:rPr>
              <w:t xml:space="preserve">No se realizó un estudio longitudinal de los pacientes, y estos no habían sido expuestos a terapias más actualizadas en el momento del estudio, por lo que los resultados podrían variar si se repiten las mediciones teniendo en cuenta estas nuevas terapias ampliamente utilizadas. Además, el tamaño de muestra es pequeño y podría no ser representativo. </w:t>
            </w:r>
          </w:p>
        </w:tc>
      </w:tr>
      <w:tr w:rsidR="000D01A0" w14:paraId="47124329" w14:textId="77777777" w:rsidTr="0066497F">
        <w:trPr>
          <w:cantSplit/>
        </w:trPr>
        <w:tc>
          <w:tcPr>
            <w:tcW w:w="15354" w:type="dxa"/>
            <w:gridSpan w:val="4"/>
            <w:shd w:val="clear" w:color="auto" w:fill="D9D9D9"/>
            <w:vAlign w:val="center"/>
          </w:tcPr>
          <w:p w14:paraId="5969B359" w14:textId="206F72F7" w:rsidR="000D01A0" w:rsidRDefault="00000000" w:rsidP="00064512">
            <w:pPr>
              <w:keepNext/>
              <w:jc w:val="both"/>
            </w:pPr>
            <w:r>
              <w:rPr>
                <w:rFonts w:ascii="Calibri" w:hAnsi="Calibri"/>
                <w:b/>
                <w:sz w:val="21"/>
              </w:rPr>
              <w:t>Huang</w:t>
            </w:r>
            <w:r w:rsidR="0066497F">
              <w:rPr>
                <w:rFonts w:ascii="Calibri" w:hAnsi="Calibri"/>
                <w:b/>
                <w:sz w:val="21"/>
              </w:rPr>
              <w:t xml:space="preserve"> et al., </w:t>
            </w:r>
            <w:r>
              <w:rPr>
                <w:rFonts w:ascii="Calibri" w:hAnsi="Calibri"/>
                <w:b/>
                <w:sz w:val="21"/>
              </w:rPr>
              <w:t>2019</w:t>
            </w:r>
          </w:p>
        </w:tc>
      </w:tr>
      <w:tr w:rsidR="000D01A0" w:rsidRPr="0066497F" w14:paraId="758F29C4" w14:textId="77777777" w:rsidTr="00801999">
        <w:trPr>
          <w:cantSplit/>
        </w:trPr>
        <w:tc>
          <w:tcPr>
            <w:tcW w:w="1666" w:type="dxa"/>
          </w:tcPr>
          <w:p w14:paraId="22A74FF7" w14:textId="77777777" w:rsidR="000D01A0" w:rsidRPr="0066497F" w:rsidRDefault="00000000" w:rsidP="00064512">
            <w:pPr>
              <w:keepLines/>
              <w:spacing w:before="80" w:after="80"/>
              <w:jc w:val="both"/>
              <w:rPr>
                <w:lang w:val="es-ES"/>
              </w:rPr>
            </w:pPr>
            <w:r w:rsidRPr="0066497F">
              <w:rPr>
                <w:rFonts w:ascii="Calibri" w:hAnsi="Calibri"/>
                <w:b/>
                <w:sz w:val="20"/>
                <w:lang w:val="es-ES"/>
              </w:rPr>
              <w:t>Mutaciones génicas en 98 genes</w:t>
            </w:r>
            <w:r w:rsidRPr="0066497F">
              <w:rPr>
                <w:rFonts w:ascii="Calibri" w:hAnsi="Calibri"/>
                <w:i/>
                <w:color w:val="555555"/>
                <w:sz w:val="18"/>
                <w:lang w:val="es-ES"/>
              </w:rPr>
              <w:br/>
              <w:t>Genómico (Células plasmáticas de la médula ósea positivas para CD138)</w:t>
            </w:r>
          </w:p>
        </w:tc>
        <w:tc>
          <w:tcPr>
            <w:tcW w:w="1561" w:type="dxa"/>
          </w:tcPr>
          <w:p w14:paraId="07B388EE" w14:textId="77777777" w:rsidR="000D01A0" w:rsidRDefault="00000000" w:rsidP="00064512">
            <w:pPr>
              <w:keepLines/>
              <w:spacing w:before="80" w:after="80"/>
              <w:jc w:val="both"/>
            </w:pPr>
            <w:r>
              <w:rPr>
                <w:rFonts w:ascii="Calibri" w:hAnsi="Calibri"/>
                <w:sz w:val="20"/>
              </w:rPr>
              <w:t>Pronóstico</w:t>
            </w:r>
          </w:p>
        </w:tc>
        <w:tc>
          <w:tcPr>
            <w:tcW w:w="7087" w:type="dxa"/>
          </w:tcPr>
          <w:p w14:paraId="0D98CFE8" w14:textId="32F3E832" w:rsidR="000D01A0" w:rsidRPr="0066497F" w:rsidRDefault="00000000" w:rsidP="00064512">
            <w:pPr>
              <w:keepLines/>
              <w:spacing w:before="80" w:after="80"/>
              <w:jc w:val="both"/>
              <w:rPr>
                <w:lang w:val="es-ES"/>
              </w:rPr>
            </w:pPr>
            <w:r w:rsidRPr="0066497F">
              <w:rPr>
                <w:rFonts w:ascii="Calibri" w:hAnsi="Calibri"/>
                <w:sz w:val="20"/>
                <w:lang w:val="es-ES"/>
              </w:rPr>
              <w:t xml:space="preserve">Se identificaron cuatro genes mutados asociados significativamente a una </w:t>
            </w:r>
            <w:r w:rsidR="002C4D3F" w:rsidRPr="0066497F">
              <w:rPr>
                <w:rFonts w:ascii="Calibri" w:hAnsi="Calibri"/>
                <w:sz w:val="20"/>
                <w:lang w:val="es-ES"/>
              </w:rPr>
              <w:t>supervivencia</w:t>
            </w:r>
            <w:r w:rsidRPr="0066497F">
              <w:rPr>
                <w:rFonts w:ascii="Calibri" w:hAnsi="Calibri"/>
                <w:sz w:val="20"/>
                <w:lang w:val="es-ES"/>
              </w:rPr>
              <w:t xml:space="preserve"> global menor: HIST1H1E, ASB15, ASCC3 y MEGF6. Presentar una carga mutacional mayor o igual a 4 mutaciones sirve como umbral óptimo para predecir un peor diagnóstico y menor supervivencia (sensibilidad 78%, especificidad 69%).</w:t>
            </w:r>
          </w:p>
        </w:tc>
        <w:tc>
          <w:tcPr>
            <w:tcW w:w="5040" w:type="dxa"/>
          </w:tcPr>
          <w:p w14:paraId="3A6CA8A9" w14:textId="77777777" w:rsidR="000D01A0" w:rsidRPr="0066497F" w:rsidRDefault="00000000" w:rsidP="00064512">
            <w:pPr>
              <w:keepLines/>
              <w:spacing w:before="80" w:after="80"/>
              <w:jc w:val="both"/>
              <w:rPr>
                <w:lang w:val="es-ES"/>
              </w:rPr>
            </w:pPr>
            <w:r w:rsidRPr="0066497F">
              <w:rPr>
                <w:rFonts w:ascii="Calibri" w:hAnsi="Calibri"/>
                <w:sz w:val="20"/>
                <w:lang w:val="es-ES"/>
              </w:rPr>
              <w:t>No se concluye que estas mutaciones sean un predictor pronóstico independiente en la amiloidosis AL ya que los genes fueron seleccionados y podrían no ser representativos del perfil mutacional proporcional al genoma.</w:t>
            </w:r>
          </w:p>
        </w:tc>
      </w:tr>
      <w:tr w:rsidR="000D01A0" w14:paraId="59415BC9" w14:textId="77777777" w:rsidTr="0066497F">
        <w:trPr>
          <w:cantSplit/>
        </w:trPr>
        <w:tc>
          <w:tcPr>
            <w:tcW w:w="15354" w:type="dxa"/>
            <w:gridSpan w:val="4"/>
            <w:shd w:val="clear" w:color="auto" w:fill="D9D9D9"/>
            <w:vAlign w:val="center"/>
          </w:tcPr>
          <w:p w14:paraId="10424442" w14:textId="22041567" w:rsidR="000D01A0" w:rsidRDefault="00000000" w:rsidP="00064512">
            <w:pPr>
              <w:keepNext/>
              <w:jc w:val="both"/>
            </w:pPr>
            <w:r>
              <w:rPr>
                <w:rFonts w:ascii="Calibri" w:hAnsi="Calibri"/>
                <w:b/>
                <w:sz w:val="21"/>
              </w:rPr>
              <w:t>Ishiguro</w:t>
            </w:r>
            <w:r w:rsidR="0066497F">
              <w:rPr>
                <w:rFonts w:ascii="Calibri" w:hAnsi="Calibri"/>
                <w:b/>
                <w:sz w:val="21"/>
              </w:rPr>
              <w:t xml:space="preserve"> et al., </w:t>
            </w:r>
            <w:r>
              <w:rPr>
                <w:rFonts w:ascii="Calibri" w:hAnsi="Calibri"/>
                <w:b/>
                <w:sz w:val="21"/>
              </w:rPr>
              <w:t>2017</w:t>
            </w:r>
          </w:p>
        </w:tc>
      </w:tr>
      <w:tr w:rsidR="000D01A0" w:rsidRPr="0066497F" w14:paraId="5624F900" w14:textId="77777777" w:rsidTr="00801999">
        <w:trPr>
          <w:cantSplit/>
        </w:trPr>
        <w:tc>
          <w:tcPr>
            <w:tcW w:w="1666" w:type="dxa"/>
          </w:tcPr>
          <w:p w14:paraId="3B6B169F" w14:textId="6C4744C3" w:rsidR="000D01A0" w:rsidRPr="0066497F" w:rsidRDefault="00000000" w:rsidP="00064512">
            <w:pPr>
              <w:keepLines/>
              <w:spacing w:before="80" w:after="80"/>
              <w:jc w:val="both"/>
              <w:rPr>
                <w:lang w:val="es-ES"/>
              </w:rPr>
            </w:pPr>
            <w:r w:rsidRPr="0066497F">
              <w:rPr>
                <w:rFonts w:ascii="Calibri" w:hAnsi="Calibri"/>
                <w:b/>
                <w:sz w:val="20"/>
                <w:lang w:val="es-ES"/>
              </w:rPr>
              <w:t>PIC (</w:t>
            </w:r>
            <w:r w:rsidR="0066497F">
              <w:rPr>
                <w:rFonts w:ascii="Calibri" w:hAnsi="Calibri"/>
                <w:b/>
                <w:sz w:val="20"/>
                <w:lang w:val="es-ES"/>
              </w:rPr>
              <w:t>c</w:t>
            </w:r>
            <w:r w:rsidRPr="0066497F">
              <w:rPr>
                <w:rFonts w:ascii="Calibri" w:hAnsi="Calibri"/>
                <w:b/>
                <w:sz w:val="20"/>
                <w:lang w:val="es-ES"/>
              </w:rPr>
              <w:t xml:space="preserve">omplejo </w:t>
            </w:r>
            <w:r w:rsidR="0066497F">
              <w:rPr>
                <w:rFonts w:ascii="Calibri" w:hAnsi="Calibri"/>
                <w:b/>
                <w:sz w:val="20"/>
                <w:lang w:val="es-ES"/>
              </w:rPr>
              <w:t>i</w:t>
            </w:r>
            <w:r w:rsidRPr="0066497F">
              <w:rPr>
                <w:rFonts w:ascii="Calibri" w:hAnsi="Calibri"/>
                <w:b/>
                <w:sz w:val="20"/>
                <w:lang w:val="es-ES"/>
              </w:rPr>
              <w:t xml:space="preserve">nhibidor </w:t>
            </w:r>
            <w:r w:rsidR="0066497F">
              <w:rPr>
                <w:rFonts w:ascii="Calibri" w:hAnsi="Calibri"/>
                <w:b/>
                <w:sz w:val="20"/>
                <w:lang w:val="es-ES"/>
              </w:rPr>
              <w:t>p</w:t>
            </w:r>
            <w:r w:rsidRPr="0066497F">
              <w:rPr>
                <w:rFonts w:ascii="Calibri" w:hAnsi="Calibri"/>
                <w:b/>
                <w:sz w:val="20"/>
                <w:lang w:val="es-ES"/>
              </w:rPr>
              <w:t>lasmina-</w:t>
            </w:r>
            <w:r>
              <w:rPr>
                <w:rFonts w:ascii="Calibri" w:hAnsi="Calibri"/>
                <w:b/>
                <w:sz w:val="20"/>
              </w:rPr>
              <w:t>α</w:t>
            </w:r>
            <w:r w:rsidRPr="0066497F">
              <w:rPr>
                <w:rFonts w:ascii="Calibri" w:hAnsi="Calibri"/>
                <w:b/>
                <w:sz w:val="20"/>
                <w:lang w:val="es-ES"/>
              </w:rPr>
              <w:t>₂-</w:t>
            </w:r>
            <w:r w:rsidR="0066497F">
              <w:rPr>
                <w:rFonts w:ascii="Calibri" w:hAnsi="Calibri"/>
                <w:b/>
                <w:sz w:val="20"/>
                <w:lang w:val="es-ES"/>
              </w:rPr>
              <w:t>a</w:t>
            </w:r>
            <w:r w:rsidRPr="0066497F">
              <w:rPr>
                <w:rFonts w:ascii="Calibri" w:hAnsi="Calibri"/>
                <w:b/>
                <w:sz w:val="20"/>
                <w:lang w:val="es-ES"/>
              </w:rPr>
              <w:t>ntiplasmina)</w:t>
            </w:r>
            <w:r w:rsidRPr="0066497F">
              <w:rPr>
                <w:rFonts w:ascii="Calibri" w:hAnsi="Calibri"/>
                <w:i/>
                <w:color w:val="555555"/>
                <w:sz w:val="18"/>
                <w:lang w:val="es-ES"/>
              </w:rPr>
              <w:br/>
              <w:t>Proteómico (Suero)</w:t>
            </w:r>
          </w:p>
        </w:tc>
        <w:tc>
          <w:tcPr>
            <w:tcW w:w="1561" w:type="dxa"/>
          </w:tcPr>
          <w:p w14:paraId="164F9B1F" w14:textId="77777777" w:rsidR="000D01A0" w:rsidRDefault="00000000" w:rsidP="00064512">
            <w:pPr>
              <w:keepLines/>
              <w:spacing w:before="80" w:after="80"/>
              <w:jc w:val="both"/>
            </w:pPr>
            <w:r>
              <w:rPr>
                <w:rFonts w:ascii="Calibri" w:hAnsi="Calibri"/>
                <w:sz w:val="20"/>
              </w:rPr>
              <w:t>Diagnóstico y monitorización</w:t>
            </w:r>
          </w:p>
        </w:tc>
        <w:tc>
          <w:tcPr>
            <w:tcW w:w="7087" w:type="dxa"/>
          </w:tcPr>
          <w:p w14:paraId="06FEA113" w14:textId="77777777" w:rsidR="000D01A0" w:rsidRPr="0066497F" w:rsidRDefault="00000000" w:rsidP="00064512">
            <w:pPr>
              <w:keepLines/>
              <w:spacing w:before="80" w:after="80"/>
              <w:jc w:val="both"/>
              <w:rPr>
                <w:lang w:val="es-ES"/>
              </w:rPr>
            </w:pPr>
            <w:r w:rsidRPr="0066497F">
              <w:rPr>
                <w:rFonts w:ascii="Calibri" w:hAnsi="Calibri"/>
                <w:sz w:val="20"/>
                <w:lang w:val="es-ES"/>
              </w:rPr>
              <w:t xml:space="preserve">Los niveles de PIC en los pacientes con amiloidosis AL fueron significativamente mayores que los del grupo MM. Mediante el análisis estadístico, se estableció un valor de corte óptimo de PIC de 1.72 </w:t>
            </w:r>
            <w:r>
              <w:rPr>
                <w:rFonts w:ascii="Calibri" w:hAnsi="Calibri"/>
                <w:sz w:val="20"/>
              </w:rPr>
              <w:t>μ</w:t>
            </w:r>
            <w:r w:rsidRPr="0066497F">
              <w:rPr>
                <w:rFonts w:ascii="Calibri" w:hAnsi="Calibri"/>
                <w:sz w:val="20"/>
                <w:lang w:val="es-ES"/>
              </w:rPr>
              <w:t>g/mL (84.6% sensibilidad y 80.8% especificidad). Además, se asoció el alto nivel de PIC con afectación hepática y la respuesta hematológica en pacientes con AL.</w:t>
            </w:r>
          </w:p>
        </w:tc>
        <w:tc>
          <w:tcPr>
            <w:tcW w:w="5040" w:type="dxa"/>
          </w:tcPr>
          <w:p w14:paraId="7175FAD7" w14:textId="77777777" w:rsidR="000D01A0" w:rsidRPr="0066497F" w:rsidRDefault="00000000" w:rsidP="00064512">
            <w:pPr>
              <w:keepLines/>
              <w:spacing w:before="80" w:after="80"/>
              <w:jc w:val="both"/>
              <w:rPr>
                <w:lang w:val="es-ES"/>
              </w:rPr>
            </w:pPr>
            <w:r w:rsidRPr="0066497F">
              <w:rPr>
                <w:rFonts w:ascii="Calibri" w:hAnsi="Calibri"/>
                <w:sz w:val="20"/>
                <w:lang w:val="es-ES"/>
              </w:rPr>
              <w:t>El estudio es simplemente retrospectivo y tiene un tamaño de muestra pequeño, por lo que los resultados pueden no ser representativos.</w:t>
            </w:r>
          </w:p>
        </w:tc>
      </w:tr>
      <w:tr w:rsidR="000D01A0" w14:paraId="0BED6B29" w14:textId="77777777" w:rsidTr="0066497F">
        <w:trPr>
          <w:cantSplit/>
        </w:trPr>
        <w:tc>
          <w:tcPr>
            <w:tcW w:w="15354" w:type="dxa"/>
            <w:gridSpan w:val="4"/>
            <w:shd w:val="clear" w:color="auto" w:fill="D9D9D9"/>
            <w:vAlign w:val="center"/>
          </w:tcPr>
          <w:p w14:paraId="6371483E" w14:textId="7740F795" w:rsidR="000D01A0" w:rsidRDefault="00000000" w:rsidP="00064512">
            <w:pPr>
              <w:keepNext/>
              <w:jc w:val="both"/>
            </w:pPr>
            <w:r>
              <w:rPr>
                <w:rFonts w:ascii="Calibri" w:hAnsi="Calibri"/>
                <w:b/>
                <w:sz w:val="21"/>
              </w:rPr>
              <w:t>Muchtar</w:t>
            </w:r>
            <w:r w:rsidR="0066497F">
              <w:rPr>
                <w:rFonts w:ascii="Calibri" w:hAnsi="Calibri"/>
                <w:b/>
                <w:sz w:val="21"/>
              </w:rPr>
              <w:t xml:space="preserve"> et al., </w:t>
            </w:r>
            <w:r>
              <w:rPr>
                <w:rFonts w:ascii="Calibri" w:hAnsi="Calibri"/>
                <w:b/>
                <w:sz w:val="21"/>
              </w:rPr>
              <w:t>2017</w:t>
            </w:r>
          </w:p>
        </w:tc>
      </w:tr>
      <w:tr w:rsidR="000D01A0" w:rsidRPr="0066497F" w14:paraId="6C835DA6" w14:textId="77777777" w:rsidTr="00801999">
        <w:trPr>
          <w:cantSplit/>
        </w:trPr>
        <w:tc>
          <w:tcPr>
            <w:tcW w:w="1666" w:type="dxa"/>
          </w:tcPr>
          <w:p w14:paraId="2E34C84E" w14:textId="77777777" w:rsidR="000D01A0" w:rsidRPr="0066497F" w:rsidRDefault="00000000" w:rsidP="00064512">
            <w:pPr>
              <w:keepLines/>
              <w:spacing w:before="80" w:after="80"/>
              <w:jc w:val="both"/>
              <w:rPr>
                <w:lang w:val="es-ES"/>
              </w:rPr>
            </w:pPr>
            <w:r w:rsidRPr="0066497F">
              <w:rPr>
                <w:rFonts w:ascii="Calibri" w:hAnsi="Calibri"/>
                <w:b/>
                <w:sz w:val="20"/>
                <w:lang w:val="es-ES"/>
              </w:rPr>
              <w:t>LDH (lactato deshidrogenasa)</w:t>
            </w:r>
            <w:r w:rsidRPr="0066497F">
              <w:rPr>
                <w:rFonts w:ascii="Calibri" w:hAnsi="Calibri"/>
                <w:i/>
                <w:color w:val="555555"/>
                <w:sz w:val="18"/>
                <w:lang w:val="es-ES"/>
              </w:rPr>
              <w:br/>
              <w:t>Proteómico (Suero)</w:t>
            </w:r>
          </w:p>
        </w:tc>
        <w:tc>
          <w:tcPr>
            <w:tcW w:w="1561" w:type="dxa"/>
          </w:tcPr>
          <w:p w14:paraId="39F52BF5" w14:textId="77777777" w:rsidR="000D01A0" w:rsidRDefault="00000000" w:rsidP="00064512">
            <w:pPr>
              <w:keepLines/>
              <w:spacing w:before="80" w:after="80"/>
              <w:jc w:val="both"/>
            </w:pPr>
            <w:r>
              <w:rPr>
                <w:rFonts w:ascii="Calibri" w:hAnsi="Calibri"/>
                <w:sz w:val="20"/>
              </w:rPr>
              <w:t>Pronóstico</w:t>
            </w:r>
          </w:p>
        </w:tc>
        <w:tc>
          <w:tcPr>
            <w:tcW w:w="7087" w:type="dxa"/>
          </w:tcPr>
          <w:p w14:paraId="0DA424C2" w14:textId="77777777" w:rsidR="000D01A0" w:rsidRPr="0066497F" w:rsidRDefault="00000000" w:rsidP="00064512">
            <w:pPr>
              <w:keepLines/>
              <w:spacing w:before="80" w:after="80"/>
              <w:jc w:val="both"/>
              <w:rPr>
                <w:lang w:val="es-ES"/>
              </w:rPr>
            </w:pPr>
            <w:r w:rsidRPr="0066497F">
              <w:rPr>
                <w:rFonts w:ascii="Calibri" w:hAnsi="Calibri"/>
                <w:sz w:val="20"/>
                <w:lang w:val="es-ES"/>
              </w:rPr>
              <w:t>Los pacientes con LDH elevada presentaron una mayor probabilidad de afectación orgánica extensa (&gt;2 órganos: 32% vs. 25%, p=0.008), incluyendo mayor afectación cardiaca, renal y hepática, aunque menor proporción de afectación nerviosa. Además, se asociaron los niveles elevados de LDH con una menor supervivencia global (mediana de 18 vs. 59 meses, p&lt;0.001) y con un mayor riesgo de muerte prematura. Se concluyó que la LDH es un marcador independiente de pronóstico y que podría ser un marcador de daño orgánico.</w:t>
            </w:r>
          </w:p>
        </w:tc>
        <w:tc>
          <w:tcPr>
            <w:tcW w:w="5040" w:type="dxa"/>
          </w:tcPr>
          <w:p w14:paraId="6D22D647" w14:textId="4B2B501E" w:rsidR="000D01A0" w:rsidRPr="0066497F" w:rsidRDefault="00000000" w:rsidP="00064512">
            <w:pPr>
              <w:keepLines/>
              <w:spacing w:before="80" w:after="80"/>
              <w:jc w:val="both"/>
              <w:rPr>
                <w:lang w:val="es-ES"/>
              </w:rPr>
            </w:pPr>
            <w:r w:rsidRPr="0066497F">
              <w:rPr>
                <w:rFonts w:ascii="Calibri" w:hAnsi="Calibri"/>
                <w:sz w:val="20"/>
                <w:lang w:val="es-ES"/>
              </w:rPr>
              <w:t xml:space="preserve">Es un estudio retrospectivo que podría no ser representativo, y es la primera vez que se investiga LDH </w:t>
            </w:r>
            <w:r w:rsidR="002C4D3F" w:rsidRPr="0066497F">
              <w:rPr>
                <w:rFonts w:ascii="Calibri" w:hAnsi="Calibri"/>
                <w:sz w:val="20"/>
                <w:lang w:val="es-ES"/>
              </w:rPr>
              <w:t>en relación con</w:t>
            </w:r>
            <w:r w:rsidRPr="0066497F">
              <w:rPr>
                <w:rFonts w:ascii="Calibri" w:hAnsi="Calibri"/>
                <w:sz w:val="20"/>
                <w:lang w:val="es-ES"/>
              </w:rPr>
              <w:t xml:space="preserve"> la amiloidosis AL. Además, algunos parámetros de un porcentaje de pacientes no estaban disponibles. Las interpretaciones del análisis multivariante están basadas en inferencias y no en causalidad. </w:t>
            </w:r>
          </w:p>
        </w:tc>
      </w:tr>
      <w:tr w:rsidR="000D01A0" w14:paraId="24A5A361" w14:textId="77777777" w:rsidTr="0066497F">
        <w:trPr>
          <w:cantSplit/>
        </w:trPr>
        <w:tc>
          <w:tcPr>
            <w:tcW w:w="15354" w:type="dxa"/>
            <w:gridSpan w:val="4"/>
            <w:shd w:val="clear" w:color="auto" w:fill="D9D9D9"/>
            <w:vAlign w:val="center"/>
          </w:tcPr>
          <w:p w14:paraId="06AC8CE3" w14:textId="462528C7" w:rsidR="000D01A0" w:rsidRDefault="00000000" w:rsidP="00064512">
            <w:pPr>
              <w:keepNext/>
              <w:jc w:val="both"/>
            </w:pPr>
            <w:r>
              <w:rPr>
                <w:rFonts w:ascii="Calibri" w:hAnsi="Calibri"/>
                <w:b/>
                <w:sz w:val="21"/>
              </w:rPr>
              <w:lastRenderedPageBreak/>
              <w:t>Boynton</w:t>
            </w:r>
            <w:r w:rsidR="0066497F">
              <w:rPr>
                <w:rFonts w:ascii="Calibri" w:hAnsi="Calibri"/>
                <w:b/>
                <w:sz w:val="21"/>
              </w:rPr>
              <w:t xml:space="preserve"> et al., </w:t>
            </w:r>
            <w:r>
              <w:rPr>
                <w:rFonts w:ascii="Calibri" w:hAnsi="Calibri"/>
                <w:b/>
                <w:sz w:val="21"/>
              </w:rPr>
              <w:t>2016</w:t>
            </w:r>
          </w:p>
        </w:tc>
      </w:tr>
      <w:tr w:rsidR="000D01A0" w:rsidRPr="0066497F" w14:paraId="661BFA07" w14:textId="77777777" w:rsidTr="00801999">
        <w:trPr>
          <w:cantSplit/>
        </w:trPr>
        <w:tc>
          <w:tcPr>
            <w:tcW w:w="1666" w:type="dxa"/>
          </w:tcPr>
          <w:p w14:paraId="01797B96" w14:textId="368F59EE" w:rsidR="000D01A0" w:rsidRPr="0066497F" w:rsidRDefault="00000000" w:rsidP="00064512">
            <w:pPr>
              <w:keepLines/>
              <w:spacing w:before="80" w:after="80"/>
              <w:jc w:val="both"/>
              <w:rPr>
                <w:lang w:val="es-ES"/>
              </w:rPr>
            </w:pPr>
            <w:r w:rsidRPr="0066497F">
              <w:rPr>
                <w:rFonts w:ascii="Calibri" w:hAnsi="Calibri"/>
                <w:b/>
                <w:sz w:val="20"/>
                <w:lang w:val="es-ES"/>
              </w:rPr>
              <w:t>LGE (realce tardío del gadolinio)</w:t>
            </w:r>
            <w:r w:rsidRPr="0066497F">
              <w:rPr>
                <w:rFonts w:ascii="Calibri" w:hAnsi="Calibri"/>
                <w:i/>
                <w:color w:val="555555"/>
                <w:sz w:val="18"/>
                <w:lang w:val="es-ES"/>
              </w:rPr>
              <w:br/>
              <w:t xml:space="preserve">Imagen </w:t>
            </w:r>
          </w:p>
        </w:tc>
        <w:tc>
          <w:tcPr>
            <w:tcW w:w="1561" w:type="dxa"/>
          </w:tcPr>
          <w:p w14:paraId="2C86D793" w14:textId="77777777" w:rsidR="000D01A0" w:rsidRDefault="00000000" w:rsidP="00064512">
            <w:pPr>
              <w:keepLines/>
              <w:spacing w:before="80" w:after="80"/>
              <w:jc w:val="both"/>
            </w:pPr>
            <w:r>
              <w:rPr>
                <w:rFonts w:ascii="Calibri" w:hAnsi="Calibri"/>
                <w:sz w:val="20"/>
              </w:rPr>
              <w:t>Pronóstico</w:t>
            </w:r>
          </w:p>
        </w:tc>
        <w:tc>
          <w:tcPr>
            <w:tcW w:w="7087" w:type="dxa"/>
          </w:tcPr>
          <w:p w14:paraId="4C08F114" w14:textId="77777777" w:rsidR="000D01A0" w:rsidRPr="0066497F" w:rsidRDefault="00000000" w:rsidP="00064512">
            <w:pPr>
              <w:keepLines/>
              <w:spacing w:before="80" w:after="80"/>
              <w:jc w:val="both"/>
              <w:rPr>
                <w:lang w:val="es-ES"/>
              </w:rPr>
            </w:pPr>
            <w:r w:rsidRPr="0066497F">
              <w:rPr>
                <w:rFonts w:ascii="Calibri" w:hAnsi="Calibri"/>
                <w:sz w:val="20"/>
                <w:lang w:val="es-ES"/>
              </w:rPr>
              <w:t>En el análisis univariante, se asoció de manera significativa el LGE global con la mortalidad por cualquier causa, multiplicando casi por tres el riesgo de muerte (HR 2.93, p&lt;0.001). En el análisis multivariante, el LGE global siguió siendo un marcador independiente del pronóstico (HR 2.43, p=0.01).</w:t>
            </w:r>
          </w:p>
        </w:tc>
        <w:tc>
          <w:tcPr>
            <w:tcW w:w="5040" w:type="dxa"/>
          </w:tcPr>
          <w:p w14:paraId="0E1566F8" w14:textId="77777777" w:rsidR="000D01A0" w:rsidRPr="0066497F" w:rsidRDefault="00000000" w:rsidP="00064512">
            <w:pPr>
              <w:keepLines/>
              <w:spacing w:before="80" w:after="80"/>
              <w:jc w:val="both"/>
              <w:rPr>
                <w:lang w:val="es-ES"/>
              </w:rPr>
            </w:pPr>
            <w:r w:rsidRPr="0066497F">
              <w:rPr>
                <w:rFonts w:ascii="Calibri" w:hAnsi="Calibri"/>
                <w:sz w:val="20"/>
                <w:lang w:val="es-ES"/>
              </w:rPr>
              <w:t>Hubo muchas muertes durante el desarrollo de este estudio, lo que limitó el número de variables en el análisis multivariante. Además, no se tuvo en cuenta el tratamiento de los pacientes ni se incluyó el mapeo T1, el cual se ha demostrado tener valor pronóstico importante anteriormente.</w:t>
            </w:r>
          </w:p>
        </w:tc>
      </w:tr>
      <w:tr w:rsidR="000D01A0" w14:paraId="5DAF2167" w14:textId="77777777" w:rsidTr="0066497F">
        <w:trPr>
          <w:cantSplit/>
        </w:trPr>
        <w:tc>
          <w:tcPr>
            <w:tcW w:w="15354" w:type="dxa"/>
            <w:gridSpan w:val="4"/>
            <w:shd w:val="clear" w:color="auto" w:fill="D9D9D9"/>
            <w:vAlign w:val="center"/>
          </w:tcPr>
          <w:p w14:paraId="5A53D8C0" w14:textId="066CBDED" w:rsidR="000D01A0" w:rsidRDefault="00000000" w:rsidP="00064512">
            <w:pPr>
              <w:keepNext/>
              <w:jc w:val="both"/>
            </w:pPr>
            <w:r>
              <w:rPr>
                <w:rFonts w:ascii="Calibri" w:hAnsi="Calibri"/>
                <w:b/>
                <w:sz w:val="21"/>
              </w:rPr>
              <w:t>Kastritis</w:t>
            </w:r>
            <w:r w:rsidR="0066497F">
              <w:rPr>
                <w:rFonts w:ascii="Calibri" w:hAnsi="Calibri"/>
                <w:b/>
                <w:sz w:val="21"/>
              </w:rPr>
              <w:t xml:space="preserve"> et al., </w:t>
            </w:r>
            <w:r>
              <w:rPr>
                <w:rFonts w:ascii="Calibri" w:hAnsi="Calibri"/>
                <w:b/>
                <w:sz w:val="21"/>
              </w:rPr>
              <w:t>2018</w:t>
            </w:r>
          </w:p>
        </w:tc>
      </w:tr>
      <w:tr w:rsidR="000D01A0" w:rsidRPr="0066497F" w14:paraId="19BDEC8B" w14:textId="77777777" w:rsidTr="00801999">
        <w:trPr>
          <w:cantSplit/>
        </w:trPr>
        <w:tc>
          <w:tcPr>
            <w:tcW w:w="1666" w:type="dxa"/>
          </w:tcPr>
          <w:p w14:paraId="22A15C96" w14:textId="060B6E7E" w:rsidR="000D01A0" w:rsidRPr="0066497F" w:rsidRDefault="00000000" w:rsidP="00064512">
            <w:pPr>
              <w:keepLines/>
              <w:spacing w:before="80" w:after="80"/>
              <w:jc w:val="both"/>
              <w:rPr>
                <w:lang w:val="es-ES"/>
              </w:rPr>
            </w:pPr>
            <w:r w:rsidRPr="0066497F">
              <w:rPr>
                <w:rFonts w:ascii="Calibri" w:hAnsi="Calibri"/>
                <w:b/>
                <w:sz w:val="20"/>
                <w:lang w:val="es-ES"/>
              </w:rPr>
              <w:t>GDF-15 (</w:t>
            </w:r>
            <w:r w:rsidR="0066497F">
              <w:rPr>
                <w:rFonts w:ascii="Calibri" w:hAnsi="Calibri"/>
                <w:b/>
                <w:sz w:val="20"/>
                <w:lang w:val="es-ES"/>
              </w:rPr>
              <w:t>f</w:t>
            </w:r>
            <w:r w:rsidRPr="0066497F">
              <w:rPr>
                <w:rFonts w:ascii="Calibri" w:hAnsi="Calibri"/>
                <w:b/>
                <w:sz w:val="20"/>
                <w:lang w:val="es-ES"/>
              </w:rPr>
              <w:t xml:space="preserve">actor de </w:t>
            </w:r>
            <w:r w:rsidR="0066497F">
              <w:rPr>
                <w:rFonts w:ascii="Calibri" w:hAnsi="Calibri"/>
                <w:b/>
                <w:sz w:val="20"/>
                <w:lang w:val="es-ES"/>
              </w:rPr>
              <w:t>d</w:t>
            </w:r>
            <w:r w:rsidRPr="0066497F">
              <w:rPr>
                <w:rFonts w:ascii="Calibri" w:hAnsi="Calibri"/>
                <w:b/>
                <w:sz w:val="20"/>
                <w:lang w:val="es-ES"/>
              </w:rPr>
              <w:t xml:space="preserve">iferenciación de </w:t>
            </w:r>
            <w:r w:rsidR="0066497F">
              <w:rPr>
                <w:rFonts w:ascii="Calibri" w:hAnsi="Calibri"/>
                <w:b/>
                <w:sz w:val="20"/>
                <w:lang w:val="es-ES"/>
              </w:rPr>
              <w:t>c</w:t>
            </w:r>
            <w:r w:rsidRPr="0066497F">
              <w:rPr>
                <w:rFonts w:ascii="Calibri" w:hAnsi="Calibri"/>
                <w:b/>
                <w:sz w:val="20"/>
                <w:lang w:val="es-ES"/>
              </w:rPr>
              <w:t>recimiento 15)</w:t>
            </w:r>
            <w:r w:rsidRPr="0066497F">
              <w:rPr>
                <w:rFonts w:ascii="Calibri" w:hAnsi="Calibri"/>
                <w:i/>
                <w:color w:val="555555"/>
                <w:sz w:val="18"/>
                <w:lang w:val="es-ES"/>
              </w:rPr>
              <w:br/>
              <w:t>Proteómico (Suero)</w:t>
            </w:r>
          </w:p>
        </w:tc>
        <w:tc>
          <w:tcPr>
            <w:tcW w:w="1561" w:type="dxa"/>
          </w:tcPr>
          <w:p w14:paraId="2369BD1D" w14:textId="77777777" w:rsidR="000D01A0" w:rsidRDefault="00000000" w:rsidP="00064512">
            <w:pPr>
              <w:keepLines/>
              <w:spacing w:before="80" w:after="80"/>
              <w:jc w:val="both"/>
            </w:pPr>
            <w:r>
              <w:rPr>
                <w:rFonts w:ascii="Calibri" w:hAnsi="Calibri"/>
                <w:sz w:val="20"/>
              </w:rPr>
              <w:t>Pronóstico</w:t>
            </w:r>
          </w:p>
        </w:tc>
        <w:tc>
          <w:tcPr>
            <w:tcW w:w="7087" w:type="dxa"/>
          </w:tcPr>
          <w:p w14:paraId="2A88B41D" w14:textId="77777777" w:rsidR="000D01A0" w:rsidRPr="0066497F" w:rsidRDefault="00000000" w:rsidP="00064512">
            <w:pPr>
              <w:keepLines/>
              <w:spacing w:before="80" w:after="80"/>
              <w:jc w:val="both"/>
              <w:rPr>
                <w:lang w:val="es-ES"/>
              </w:rPr>
            </w:pPr>
            <w:r w:rsidRPr="0066497F">
              <w:rPr>
                <w:rFonts w:ascii="Calibri" w:hAnsi="Calibri"/>
                <w:sz w:val="20"/>
                <w:lang w:val="es-ES"/>
              </w:rPr>
              <w:t xml:space="preserve">Un nivel elevado de GDF-15 se asoció significativamente con un mayor riesgo de muerte prematura y menor supervivencia global. El valor de corte &gt;7575 pg/mL registró una mortalidad del 40% a los 3 meses y del 65% a los 12 meses. En la cohorte de validación, este umbral confirmó una menor supervivencia. El análisis multivariante demostró que GDF-15 es un predictor independiente de mortalidad (HR 1.9 en la cohorte de evaluación y HR 1.92 en la cohorte de validación). Al combinar el sistema de estratificación Mayo con GDF-15, la capacidad predictiva del modelo mejoró. </w:t>
            </w:r>
          </w:p>
        </w:tc>
        <w:tc>
          <w:tcPr>
            <w:tcW w:w="5040" w:type="dxa"/>
          </w:tcPr>
          <w:p w14:paraId="59728750" w14:textId="77777777" w:rsidR="000D01A0" w:rsidRPr="0066497F" w:rsidRDefault="00000000" w:rsidP="00064512">
            <w:pPr>
              <w:keepLines/>
              <w:spacing w:before="80" w:after="80"/>
              <w:jc w:val="both"/>
              <w:rPr>
                <w:lang w:val="es-ES"/>
              </w:rPr>
            </w:pPr>
            <w:r w:rsidRPr="0066497F">
              <w:rPr>
                <w:rFonts w:ascii="Calibri" w:hAnsi="Calibri"/>
                <w:sz w:val="20"/>
                <w:lang w:val="es-ES"/>
              </w:rPr>
              <w:t>Hay que realizar más estudios para confirmar los resultados.</w:t>
            </w:r>
          </w:p>
        </w:tc>
      </w:tr>
      <w:tr w:rsidR="000D01A0" w14:paraId="751A32B7" w14:textId="77777777" w:rsidTr="0066497F">
        <w:trPr>
          <w:cantSplit/>
        </w:trPr>
        <w:tc>
          <w:tcPr>
            <w:tcW w:w="15354" w:type="dxa"/>
            <w:gridSpan w:val="4"/>
            <w:shd w:val="clear" w:color="auto" w:fill="D9D9D9"/>
            <w:vAlign w:val="center"/>
          </w:tcPr>
          <w:p w14:paraId="26285A3A" w14:textId="59EDEE4E" w:rsidR="000D01A0" w:rsidRDefault="00000000" w:rsidP="00064512">
            <w:pPr>
              <w:keepNext/>
              <w:jc w:val="both"/>
            </w:pPr>
            <w:r>
              <w:rPr>
                <w:rFonts w:ascii="Calibri" w:hAnsi="Calibri"/>
                <w:b/>
                <w:sz w:val="21"/>
              </w:rPr>
              <w:t>Granzow</w:t>
            </w:r>
            <w:r w:rsidR="0066497F">
              <w:rPr>
                <w:rFonts w:ascii="Calibri" w:hAnsi="Calibri"/>
                <w:b/>
                <w:sz w:val="21"/>
              </w:rPr>
              <w:t xml:space="preserve"> et al., </w:t>
            </w:r>
            <w:r>
              <w:rPr>
                <w:rFonts w:ascii="Calibri" w:hAnsi="Calibri"/>
                <w:b/>
                <w:sz w:val="21"/>
              </w:rPr>
              <w:t>2017</w:t>
            </w:r>
          </w:p>
        </w:tc>
      </w:tr>
      <w:tr w:rsidR="000D01A0" w:rsidRPr="0066497F" w14:paraId="2B0489EB" w14:textId="77777777" w:rsidTr="00801999">
        <w:trPr>
          <w:cantSplit/>
        </w:trPr>
        <w:tc>
          <w:tcPr>
            <w:tcW w:w="1666" w:type="dxa"/>
          </w:tcPr>
          <w:p w14:paraId="091899E9" w14:textId="77777777" w:rsidR="000D01A0" w:rsidRPr="0066497F" w:rsidRDefault="00000000" w:rsidP="00064512">
            <w:pPr>
              <w:keepLines/>
              <w:spacing w:before="80" w:after="80"/>
              <w:jc w:val="both"/>
              <w:rPr>
                <w:lang w:val="es-ES"/>
              </w:rPr>
            </w:pPr>
            <w:r w:rsidRPr="0066497F">
              <w:rPr>
                <w:rFonts w:ascii="Calibri" w:hAnsi="Calibri"/>
                <w:b/>
                <w:sz w:val="20"/>
                <w:lang w:val="es-ES"/>
              </w:rPr>
              <w:t>Aberraciones cromosómicas recurrentes</w:t>
            </w:r>
            <w:r w:rsidRPr="0066497F">
              <w:rPr>
                <w:rFonts w:ascii="Calibri" w:hAnsi="Calibri"/>
                <w:i/>
                <w:color w:val="555555"/>
                <w:sz w:val="18"/>
                <w:lang w:val="es-ES"/>
              </w:rPr>
              <w:br/>
              <w:t>Genómico (Células plasmáticas de la médula ósea positivas para CD138)</w:t>
            </w:r>
          </w:p>
        </w:tc>
        <w:tc>
          <w:tcPr>
            <w:tcW w:w="1561" w:type="dxa"/>
          </w:tcPr>
          <w:p w14:paraId="0FD523D7" w14:textId="77777777" w:rsidR="000D01A0" w:rsidRDefault="00000000" w:rsidP="00064512">
            <w:pPr>
              <w:keepLines/>
              <w:spacing w:before="80" w:after="80"/>
              <w:jc w:val="both"/>
            </w:pPr>
            <w:r>
              <w:rPr>
                <w:rFonts w:ascii="Calibri" w:hAnsi="Calibri"/>
                <w:sz w:val="20"/>
              </w:rPr>
              <w:t>Pronóstico</w:t>
            </w:r>
          </w:p>
        </w:tc>
        <w:tc>
          <w:tcPr>
            <w:tcW w:w="7087" w:type="dxa"/>
          </w:tcPr>
          <w:p w14:paraId="7ECC9850" w14:textId="77777777" w:rsidR="000D01A0" w:rsidRPr="0066497F" w:rsidRDefault="00000000" w:rsidP="00064512">
            <w:pPr>
              <w:keepLines/>
              <w:spacing w:before="80" w:after="80"/>
              <w:jc w:val="both"/>
              <w:rPr>
                <w:lang w:val="es-ES"/>
              </w:rPr>
            </w:pPr>
            <w:r w:rsidRPr="0066497F">
              <w:rPr>
                <w:rFonts w:ascii="Calibri" w:hAnsi="Calibri"/>
                <w:sz w:val="20"/>
                <w:lang w:val="es-ES"/>
              </w:rPr>
              <w:t>El análisis de supervivencia demostró que la ganancia concomitante de 1q, la deleción de 14q y la presencia aislada de la deleción de 1p ejercen un impacto desfavorable en los pacientes, pudiendo considerarse como marcadores pronósticos.</w:t>
            </w:r>
          </w:p>
        </w:tc>
        <w:tc>
          <w:tcPr>
            <w:tcW w:w="5040" w:type="dxa"/>
          </w:tcPr>
          <w:p w14:paraId="09FC3186" w14:textId="77777777" w:rsidR="000D01A0" w:rsidRPr="0066497F" w:rsidRDefault="00000000" w:rsidP="00064512">
            <w:pPr>
              <w:keepLines/>
              <w:spacing w:before="80" w:after="80"/>
              <w:jc w:val="both"/>
              <w:rPr>
                <w:lang w:val="es-ES"/>
              </w:rPr>
            </w:pPr>
            <w:r w:rsidRPr="0066497F">
              <w:rPr>
                <w:rFonts w:ascii="Calibri" w:hAnsi="Calibri"/>
                <w:sz w:val="20"/>
                <w:lang w:val="es-ES"/>
              </w:rPr>
              <w:t xml:space="preserve">Los pacientes no recibieron tratamientos homogéneos y el tamaño de muestra es demasiado pequeño para dar resultados certeros. </w:t>
            </w:r>
          </w:p>
        </w:tc>
      </w:tr>
      <w:tr w:rsidR="000D01A0" w14:paraId="722225AE" w14:textId="77777777" w:rsidTr="0066497F">
        <w:trPr>
          <w:cantSplit/>
        </w:trPr>
        <w:tc>
          <w:tcPr>
            <w:tcW w:w="15354" w:type="dxa"/>
            <w:gridSpan w:val="4"/>
            <w:shd w:val="clear" w:color="auto" w:fill="D9D9D9"/>
            <w:vAlign w:val="center"/>
          </w:tcPr>
          <w:p w14:paraId="682BC49A" w14:textId="3A528642" w:rsidR="000D01A0" w:rsidRDefault="00000000" w:rsidP="00064512">
            <w:pPr>
              <w:keepNext/>
              <w:jc w:val="both"/>
            </w:pPr>
            <w:r>
              <w:rPr>
                <w:rFonts w:ascii="Calibri" w:hAnsi="Calibri"/>
                <w:b/>
                <w:sz w:val="21"/>
              </w:rPr>
              <w:t>Ma</w:t>
            </w:r>
            <w:r w:rsidR="0066497F">
              <w:rPr>
                <w:rFonts w:ascii="Calibri" w:hAnsi="Calibri"/>
                <w:b/>
                <w:sz w:val="21"/>
              </w:rPr>
              <w:t xml:space="preserve"> et al., </w:t>
            </w:r>
            <w:r>
              <w:rPr>
                <w:rFonts w:ascii="Calibri" w:hAnsi="Calibri"/>
                <w:b/>
                <w:sz w:val="21"/>
              </w:rPr>
              <w:t>2024</w:t>
            </w:r>
          </w:p>
        </w:tc>
      </w:tr>
      <w:tr w:rsidR="000D01A0" w:rsidRPr="0066497F" w14:paraId="52C10FA0" w14:textId="77777777" w:rsidTr="00801999">
        <w:trPr>
          <w:cantSplit/>
        </w:trPr>
        <w:tc>
          <w:tcPr>
            <w:tcW w:w="1666" w:type="dxa"/>
          </w:tcPr>
          <w:p w14:paraId="230C66F8" w14:textId="2088AE31" w:rsidR="000D01A0" w:rsidRPr="0066497F" w:rsidRDefault="00000000" w:rsidP="00064512">
            <w:pPr>
              <w:keepLines/>
              <w:spacing w:before="80" w:after="80"/>
              <w:jc w:val="both"/>
              <w:rPr>
                <w:lang w:val="es-ES"/>
              </w:rPr>
            </w:pPr>
            <w:r w:rsidRPr="0066497F">
              <w:rPr>
                <w:rFonts w:ascii="Calibri" w:hAnsi="Calibri"/>
                <w:b/>
                <w:sz w:val="20"/>
                <w:lang w:val="es-ES"/>
              </w:rPr>
              <w:t>Radiómica derivada del mapeo T1 sin contraste</w:t>
            </w:r>
            <w:r w:rsidRPr="0066497F">
              <w:rPr>
                <w:rFonts w:ascii="Calibri" w:hAnsi="Calibri"/>
                <w:i/>
                <w:color w:val="555555"/>
                <w:sz w:val="18"/>
                <w:lang w:val="es-ES"/>
              </w:rPr>
              <w:br/>
              <w:t xml:space="preserve">Imagen </w:t>
            </w:r>
          </w:p>
        </w:tc>
        <w:tc>
          <w:tcPr>
            <w:tcW w:w="1561" w:type="dxa"/>
          </w:tcPr>
          <w:p w14:paraId="2DD6FB28" w14:textId="77777777" w:rsidR="000D01A0" w:rsidRDefault="00000000" w:rsidP="00064512">
            <w:pPr>
              <w:keepLines/>
              <w:spacing w:before="80" w:after="80"/>
              <w:jc w:val="both"/>
            </w:pPr>
            <w:r>
              <w:rPr>
                <w:rFonts w:ascii="Calibri" w:hAnsi="Calibri"/>
                <w:sz w:val="20"/>
              </w:rPr>
              <w:t>Diagnóstico</w:t>
            </w:r>
          </w:p>
        </w:tc>
        <w:tc>
          <w:tcPr>
            <w:tcW w:w="7087" w:type="dxa"/>
          </w:tcPr>
          <w:p w14:paraId="2B6DF6D0" w14:textId="77777777" w:rsidR="000D01A0" w:rsidRPr="0066497F" w:rsidRDefault="00000000" w:rsidP="00064512">
            <w:pPr>
              <w:keepLines/>
              <w:spacing w:before="80" w:after="80"/>
              <w:jc w:val="both"/>
              <w:rPr>
                <w:lang w:val="es-ES"/>
              </w:rPr>
            </w:pPr>
            <w:r w:rsidRPr="0066497F">
              <w:rPr>
                <w:rFonts w:ascii="Calibri" w:hAnsi="Calibri"/>
                <w:sz w:val="20"/>
                <w:lang w:val="es-ES"/>
              </w:rPr>
              <w:t>De los 86 pacientes con sospecha de amiloidosis AL cardiaca, se diagnosticaron con esta enfermedad 70 de ellos. El modelo basado en la puntuación radiómica mostró una sensibilidad significativamente mayor para detectar afectación miocárdica en comparación con los valores aislados de T1. Además, se desarrolló un modelo que integraba ambas variables que alcanzó unos valores de AUC de 0.929 en el grupo de entrenamiento y de 0.909 en el de prueba. Se concluyó que este biomarcador tiene valor incremental en el diagnóstico de AL-CA.</w:t>
            </w:r>
          </w:p>
        </w:tc>
        <w:tc>
          <w:tcPr>
            <w:tcW w:w="5040" w:type="dxa"/>
          </w:tcPr>
          <w:p w14:paraId="34A255C4" w14:textId="77777777" w:rsidR="000D01A0" w:rsidRPr="0066497F" w:rsidRDefault="00000000" w:rsidP="00064512">
            <w:pPr>
              <w:keepLines/>
              <w:spacing w:before="80" w:after="80"/>
              <w:jc w:val="both"/>
              <w:rPr>
                <w:lang w:val="es-ES"/>
              </w:rPr>
            </w:pPr>
            <w:r w:rsidRPr="0066497F">
              <w:rPr>
                <w:rFonts w:ascii="Calibri" w:hAnsi="Calibri"/>
                <w:sz w:val="20"/>
                <w:lang w:val="es-ES"/>
              </w:rPr>
              <w:t xml:space="preserve">Es un estudio retrospectivo con un tamaño de muestra pequeño. Además, utilizaron solo secuencias de mapeo T1, y la integración de mapeo T2 u otras secuencias de CMR sin contraste hubiera dado mayor potencial al análisis. </w:t>
            </w:r>
          </w:p>
        </w:tc>
      </w:tr>
      <w:tr w:rsidR="000D01A0" w14:paraId="24A59FB6" w14:textId="77777777" w:rsidTr="0066497F">
        <w:trPr>
          <w:cantSplit/>
        </w:trPr>
        <w:tc>
          <w:tcPr>
            <w:tcW w:w="15354" w:type="dxa"/>
            <w:gridSpan w:val="4"/>
            <w:shd w:val="clear" w:color="auto" w:fill="D9D9D9"/>
            <w:vAlign w:val="center"/>
          </w:tcPr>
          <w:p w14:paraId="53815BA5" w14:textId="17B8332F" w:rsidR="000D01A0" w:rsidRDefault="00000000" w:rsidP="00064512">
            <w:pPr>
              <w:keepNext/>
              <w:jc w:val="both"/>
            </w:pPr>
            <w:r>
              <w:rPr>
                <w:rFonts w:ascii="Calibri" w:hAnsi="Calibri"/>
                <w:b/>
                <w:sz w:val="21"/>
              </w:rPr>
              <w:lastRenderedPageBreak/>
              <w:t>Xie</w:t>
            </w:r>
            <w:r w:rsidR="0066497F">
              <w:rPr>
                <w:rFonts w:ascii="Calibri" w:hAnsi="Calibri"/>
                <w:b/>
                <w:sz w:val="21"/>
              </w:rPr>
              <w:t xml:space="preserve"> et al., </w:t>
            </w:r>
            <w:r>
              <w:rPr>
                <w:rFonts w:ascii="Calibri" w:hAnsi="Calibri"/>
                <w:b/>
                <w:sz w:val="21"/>
              </w:rPr>
              <w:t>2025</w:t>
            </w:r>
          </w:p>
        </w:tc>
      </w:tr>
      <w:tr w:rsidR="000D01A0" w:rsidRPr="0066497F" w14:paraId="43870D2F" w14:textId="77777777" w:rsidTr="00801999">
        <w:trPr>
          <w:cantSplit/>
        </w:trPr>
        <w:tc>
          <w:tcPr>
            <w:tcW w:w="1666" w:type="dxa"/>
            <w:tcBorders>
              <w:bottom w:val="dotted" w:sz="4" w:space="0" w:color="AAAAAA"/>
            </w:tcBorders>
          </w:tcPr>
          <w:p w14:paraId="00ECC9A2" w14:textId="77777777" w:rsidR="000D01A0" w:rsidRDefault="00000000" w:rsidP="00064512">
            <w:pPr>
              <w:keepLines/>
              <w:spacing w:before="80" w:after="80"/>
              <w:jc w:val="both"/>
            </w:pPr>
            <w:r>
              <w:rPr>
                <w:rFonts w:ascii="Calibri" w:hAnsi="Calibri"/>
                <w:b/>
                <w:sz w:val="20"/>
              </w:rPr>
              <w:t>Fitoesfingosina</w:t>
            </w:r>
            <w:r>
              <w:rPr>
                <w:rFonts w:ascii="Calibri" w:hAnsi="Calibri"/>
                <w:i/>
                <w:color w:val="555555"/>
                <w:sz w:val="18"/>
              </w:rPr>
              <w:br/>
              <w:t>Metabolómico (Plasma)</w:t>
            </w:r>
          </w:p>
        </w:tc>
        <w:tc>
          <w:tcPr>
            <w:tcW w:w="1561" w:type="dxa"/>
            <w:tcBorders>
              <w:bottom w:val="dotted" w:sz="4" w:space="0" w:color="AAAAAA"/>
            </w:tcBorders>
          </w:tcPr>
          <w:p w14:paraId="17000E64" w14:textId="77777777" w:rsidR="000D01A0" w:rsidRDefault="00000000" w:rsidP="00064512">
            <w:pPr>
              <w:keepLines/>
              <w:spacing w:before="80" w:after="80"/>
              <w:jc w:val="both"/>
            </w:pPr>
            <w:r>
              <w:rPr>
                <w:rFonts w:ascii="Calibri" w:hAnsi="Calibri"/>
                <w:sz w:val="20"/>
              </w:rPr>
              <w:t>Diagnóstico</w:t>
            </w:r>
          </w:p>
        </w:tc>
        <w:tc>
          <w:tcPr>
            <w:tcW w:w="7087" w:type="dxa"/>
            <w:tcBorders>
              <w:bottom w:val="dotted" w:sz="4" w:space="0" w:color="AAAAAA"/>
            </w:tcBorders>
          </w:tcPr>
          <w:p w14:paraId="7834D131" w14:textId="77777777" w:rsidR="000D01A0" w:rsidRPr="0066497F" w:rsidRDefault="00000000" w:rsidP="00064512">
            <w:pPr>
              <w:keepLines/>
              <w:spacing w:before="80" w:after="80"/>
              <w:jc w:val="both"/>
              <w:rPr>
                <w:lang w:val="es-ES"/>
              </w:rPr>
            </w:pPr>
            <w:r w:rsidRPr="0066497F">
              <w:rPr>
                <w:rFonts w:ascii="Calibri" w:hAnsi="Calibri"/>
                <w:sz w:val="20"/>
                <w:lang w:val="es-ES"/>
              </w:rPr>
              <w:t xml:space="preserve">Los niveles de fitoesfingosina eran mayores en el grupo AL que en los controles y el grupo MM (p&lt;0.001), mostrando valores AUC de 0.99 y 0.779 en el grupo de entrenamiento y de 0.994 y 0.799 en el grupo de validación respectivamente. Los valores de sensibilidad y especificidad no bajaron del 90% en el modelo con los controles, aunque en el modelo con el grupo MM fueron peores.  </w:t>
            </w:r>
          </w:p>
        </w:tc>
        <w:tc>
          <w:tcPr>
            <w:tcW w:w="5040" w:type="dxa"/>
            <w:tcBorders>
              <w:bottom w:val="dotted" w:sz="4" w:space="0" w:color="AAAAAA"/>
            </w:tcBorders>
          </w:tcPr>
          <w:p w14:paraId="1D4A395B" w14:textId="77777777" w:rsidR="000D01A0" w:rsidRPr="0066497F" w:rsidRDefault="00000000" w:rsidP="00064512">
            <w:pPr>
              <w:keepLines/>
              <w:spacing w:before="80" w:after="80"/>
              <w:jc w:val="both"/>
              <w:rPr>
                <w:lang w:val="es-ES"/>
              </w:rPr>
            </w:pPr>
            <w:r w:rsidRPr="0066497F">
              <w:rPr>
                <w:rFonts w:ascii="Calibri" w:hAnsi="Calibri"/>
                <w:sz w:val="20"/>
                <w:lang w:val="es-ES"/>
              </w:rPr>
              <w:t>El tamaño de muestra es demasiado pequeño para dar resultados certeros y los biomarcadores identificados en este estudio necesitan ser validados independientemente.</w:t>
            </w:r>
          </w:p>
        </w:tc>
      </w:tr>
      <w:tr w:rsidR="000D01A0" w:rsidRPr="0066497F" w14:paraId="66C1FEC7" w14:textId="77777777" w:rsidTr="00801999">
        <w:trPr>
          <w:cantSplit/>
        </w:trPr>
        <w:tc>
          <w:tcPr>
            <w:tcW w:w="1666" w:type="dxa"/>
          </w:tcPr>
          <w:p w14:paraId="2F119599" w14:textId="77777777" w:rsidR="000D01A0" w:rsidRPr="0066497F" w:rsidRDefault="00000000" w:rsidP="00064512">
            <w:pPr>
              <w:keepLines/>
              <w:spacing w:before="80" w:after="80"/>
              <w:jc w:val="both"/>
              <w:rPr>
                <w:lang w:val="es-ES"/>
              </w:rPr>
            </w:pPr>
            <w:r w:rsidRPr="0066497F">
              <w:rPr>
                <w:rFonts w:ascii="Calibri" w:hAnsi="Calibri"/>
                <w:b/>
                <w:sz w:val="20"/>
                <w:lang w:val="es-ES"/>
              </w:rPr>
              <w:t>Dimetilarginina asimétrica (ADMA)</w:t>
            </w:r>
            <w:r w:rsidRPr="0066497F">
              <w:rPr>
                <w:rFonts w:ascii="Calibri" w:hAnsi="Calibri"/>
                <w:i/>
                <w:color w:val="555555"/>
                <w:sz w:val="18"/>
                <w:lang w:val="es-ES"/>
              </w:rPr>
              <w:br/>
              <w:t>Metabolómico (Plasma)</w:t>
            </w:r>
          </w:p>
        </w:tc>
        <w:tc>
          <w:tcPr>
            <w:tcW w:w="1561" w:type="dxa"/>
          </w:tcPr>
          <w:p w14:paraId="50A4DA09" w14:textId="77777777" w:rsidR="000D01A0" w:rsidRDefault="00000000" w:rsidP="00064512">
            <w:pPr>
              <w:keepLines/>
              <w:spacing w:before="80" w:after="80"/>
              <w:jc w:val="both"/>
            </w:pPr>
            <w:r>
              <w:rPr>
                <w:rFonts w:ascii="Calibri" w:hAnsi="Calibri"/>
                <w:sz w:val="20"/>
              </w:rPr>
              <w:t>Diagnóstico</w:t>
            </w:r>
          </w:p>
        </w:tc>
        <w:tc>
          <w:tcPr>
            <w:tcW w:w="7087" w:type="dxa"/>
          </w:tcPr>
          <w:p w14:paraId="5F4D61BC" w14:textId="614E0D6A" w:rsidR="000D01A0" w:rsidRPr="0066497F" w:rsidRDefault="00000000" w:rsidP="00064512">
            <w:pPr>
              <w:keepLines/>
              <w:spacing w:before="80" w:after="80"/>
              <w:jc w:val="both"/>
              <w:rPr>
                <w:lang w:val="es-ES"/>
              </w:rPr>
            </w:pPr>
            <w:r w:rsidRPr="0066497F">
              <w:rPr>
                <w:rFonts w:ascii="Calibri" w:hAnsi="Calibri"/>
                <w:sz w:val="20"/>
                <w:lang w:val="es-ES"/>
              </w:rPr>
              <w:t xml:space="preserve">También se observaron valores significativamente mayores en el grupo AL. En el modelo con el grupo control, se observó un AUC de 0.904, con una sensibilidad y especificidad del 97% y 100% respectivamente. Se concluyó que ADMA tiene potencial para distinguir AL del grupo </w:t>
            </w:r>
            <w:r w:rsidR="002C4D3F" w:rsidRPr="0066497F">
              <w:rPr>
                <w:rFonts w:ascii="Calibri" w:hAnsi="Calibri"/>
                <w:sz w:val="20"/>
                <w:lang w:val="es-ES"/>
              </w:rPr>
              <w:t>control,</w:t>
            </w:r>
            <w:r w:rsidRPr="0066497F">
              <w:rPr>
                <w:rFonts w:ascii="Calibri" w:hAnsi="Calibri"/>
                <w:sz w:val="20"/>
                <w:lang w:val="es-ES"/>
              </w:rPr>
              <w:t xml:space="preserve"> pero no para distinguir AL de MM, como ocurre con la fitoesfingosina.</w:t>
            </w:r>
          </w:p>
        </w:tc>
        <w:tc>
          <w:tcPr>
            <w:tcW w:w="5040" w:type="dxa"/>
          </w:tcPr>
          <w:p w14:paraId="36AB5AAA" w14:textId="77777777" w:rsidR="000D01A0" w:rsidRPr="0066497F" w:rsidRDefault="00000000" w:rsidP="00064512">
            <w:pPr>
              <w:keepLines/>
              <w:spacing w:before="80" w:after="80"/>
              <w:jc w:val="both"/>
              <w:rPr>
                <w:lang w:val="es-ES"/>
              </w:rPr>
            </w:pPr>
            <w:r w:rsidRPr="0066497F">
              <w:rPr>
                <w:rFonts w:ascii="Calibri" w:hAnsi="Calibri"/>
                <w:sz w:val="20"/>
                <w:lang w:val="es-ES"/>
              </w:rPr>
              <w:t>Tiene las misma limitaciones que en el caso de la fitoesfingosina.</w:t>
            </w:r>
          </w:p>
        </w:tc>
      </w:tr>
      <w:tr w:rsidR="000D01A0" w14:paraId="396C42F4" w14:textId="77777777" w:rsidTr="0066497F">
        <w:trPr>
          <w:cantSplit/>
        </w:trPr>
        <w:tc>
          <w:tcPr>
            <w:tcW w:w="15354" w:type="dxa"/>
            <w:gridSpan w:val="4"/>
            <w:shd w:val="clear" w:color="auto" w:fill="D9D9D9"/>
            <w:vAlign w:val="center"/>
          </w:tcPr>
          <w:p w14:paraId="3B57FC06" w14:textId="164F3E93" w:rsidR="000D01A0" w:rsidRDefault="00000000" w:rsidP="00064512">
            <w:pPr>
              <w:keepNext/>
              <w:jc w:val="both"/>
            </w:pPr>
            <w:r>
              <w:rPr>
                <w:rFonts w:ascii="Calibri" w:hAnsi="Calibri"/>
                <w:b/>
                <w:sz w:val="21"/>
              </w:rPr>
              <w:t>Yan</w:t>
            </w:r>
            <w:r w:rsidR="0066497F">
              <w:rPr>
                <w:rFonts w:ascii="Calibri" w:hAnsi="Calibri"/>
                <w:b/>
                <w:sz w:val="21"/>
              </w:rPr>
              <w:t xml:space="preserve"> et al., </w:t>
            </w:r>
            <w:r>
              <w:rPr>
                <w:rFonts w:ascii="Calibri" w:hAnsi="Calibri"/>
                <w:b/>
                <w:sz w:val="21"/>
              </w:rPr>
              <w:t>2025</w:t>
            </w:r>
          </w:p>
        </w:tc>
      </w:tr>
      <w:tr w:rsidR="000D01A0" w:rsidRPr="0066497F" w14:paraId="468261F4" w14:textId="77777777" w:rsidTr="00801999">
        <w:trPr>
          <w:cantSplit/>
        </w:trPr>
        <w:tc>
          <w:tcPr>
            <w:tcW w:w="1666" w:type="dxa"/>
          </w:tcPr>
          <w:p w14:paraId="09515D24" w14:textId="77777777" w:rsidR="000D01A0" w:rsidRPr="0066497F" w:rsidRDefault="00000000" w:rsidP="00064512">
            <w:pPr>
              <w:keepLines/>
              <w:spacing w:before="80" w:after="80"/>
              <w:jc w:val="both"/>
              <w:rPr>
                <w:lang w:val="es-ES"/>
              </w:rPr>
            </w:pPr>
            <w:r w:rsidRPr="0066497F">
              <w:rPr>
                <w:rFonts w:ascii="Calibri" w:hAnsi="Calibri"/>
                <w:b/>
                <w:sz w:val="20"/>
                <w:lang w:val="es-ES"/>
              </w:rPr>
              <w:t>Modelo de 10 variables: edad, cTnI, NT-proBNP, Crea, ALB, Tbil, ALP, IVS, LVPW, EF</w:t>
            </w:r>
            <w:r w:rsidRPr="0066497F">
              <w:rPr>
                <w:rFonts w:ascii="Calibri" w:hAnsi="Calibri"/>
                <w:i/>
                <w:color w:val="555555"/>
                <w:sz w:val="18"/>
                <w:lang w:val="es-ES"/>
              </w:rPr>
              <w:br/>
              <w:t>Proteómico (Sangre)</w:t>
            </w:r>
          </w:p>
        </w:tc>
        <w:tc>
          <w:tcPr>
            <w:tcW w:w="1561" w:type="dxa"/>
          </w:tcPr>
          <w:p w14:paraId="116EE108" w14:textId="77777777" w:rsidR="000D01A0" w:rsidRDefault="00000000" w:rsidP="00064512">
            <w:pPr>
              <w:keepLines/>
              <w:spacing w:before="80" w:after="80"/>
              <w:jc w:val="both"/>
            </w:pPr>
            <w:r>
              <w:rPr>
                <w:rFonts w:ascii="Calibri" w:hAnsi="Calibri"/>
                <w:sz w:val="20"/>
              </w:rPr>
              <w:t>Diagnóstico</w:t>
            </w:r>
          </w:p>
        </w:tc>
        <w:tc>
          <w:tcPr>
            <w:tcW w:w="7087" w:type="dxa"/>
          </w:tcPr>
          <w:p w14:paraId="65BBB729" w14:textId="77777777" w:rsidR="000D01A0" w:rsidRPr="0066497F" w:rsidRDefault="00000000" w:rsidP="00064512">
            <w:pPr>
              <w:keepLines/>
              <w:spacing w:before="80" w:after="80"/>
              <w:jc w:val="both"/>
              <w:rPr>
                <w:lang w:val="es-ES"/>
              </w:rPr>
            </w:pPr>
            <w:r w:rsidRPr="0066497F">
              <w:rPr>
                <w:rFonts w:ascii="Calibri" w:hAnsi="Calibri"/>
                <w:sz w:val="20"/>
                <w:lang w:val="es-ES"/>
              </w:rPr>
              <w:t>Se probaron múltiples algoritmos de Machine Learning. El modelo de aprendizaje en conjunto (ensemble learning) mostró un mayor rendimiento en la validación externa, con un F1-score de 0.94 y un AUC de 0.9784. Además, el modelo IA superó el rendimiento de hematólogos, con una exactitud del 0.95 y del 0.73 respectivamente.</w:t>
            </w:r>
          </w:p>
        </w:tc>
        <w:tc>
          <w:tcPr>
            <w:tcW w:w="5040" w:type="dxa"/>
          </w:tcPr>
          <w:p w14:paraId="6D6E9621" w14:textId="7229CF54" w:rsidR="000D01A0" w:rsidRPr="0066497F" w:rsidRDefault="00000000" w:rsidP="00064512">
            <w:pPr>
              <w:keepLines/>
              <w:spacing w:before="80" w:after="80"/>
              <w:jc w:val="both"/>
              <w:rPr>
                <w:lang w:val="es-ES"/>
              </w:rPr>
            </w:pPr>
            <w:r w:rsidRPr="0066497F">
              <w:rPr>
                <w:rFonts w:ascii="Calibri" w:hAnsi="Calibri"/>
                <w:sz w:val="20"/>
                <w:lang w:val="es-ES"/>
              </w:rPr>
              <w:t xml:space="preserve">Es un estudio </w:t>
            </w:r>
            <w:r w:rsidR="002C4D3F" w:rsidRPr="0066497F">
              <w:rPr>
                <w:rFonts w:ascii="Calibri" w:hAnsi="Calibri"/>
                <w:sz w:val="20"/>
                <w:lang w:val="es-ES"/>
              </w:rPr>
              <w:t>retrospectivo</w:t>
            </w:r>
            <w:r w:rsidRPr="0066497F">
              <w:rPr>
                <w:rFonts w:ascii="Calibri" w:hAnsi="Calibri"/>
                <w:sz w:val="20"/>
                <w:lang w:val="es-ES"/>
              </w:rPr>
              <w:t xml:space="preserve"> por lo que puede haber sesgos en él. El modelo debería incluir más variables, y aunque el tamaño de muestra es bastante amplio, algunos valores de pacientes faltaron en el análisis y los rellenaron mediante el método de perturbación aleatoria, lo que puede haber alterado los resultados. El modelo necesita más ensayos antes de poder ser usado clínicamente. </w:t>
            </w:r>
          </w:p>
        </w:tc>
      </w:tr>
      <w:tr w:rsidR="000D01A0" w14:paraId="506218FE" w14:textId="77777777" w:rsidTr="0066497F">
        <w:trPr>
          <w:cantSplit/>
        </w:trPr>
        <w:tc>
          <w:tcPr>
            <w:tcW w:w="15354" w:type="dxa"/>
            <w:gridSpan w:val="4"/>
            <w:shd w:val="clear" w:color="auto" w:fill="D9D9D9"/>
            <w:vAlign w:val="center"/>
          </w:tcPr>
          <w:p w14:paraId="12F4B21F" w14:textId="0FE5E34B" w:rsidR="000D01A0" w:rsidRDefault="00000000" w:rsidP="00064512">
            <w:pPr>
              <w:keepNext/>
              <w:jc w:val="both"/>
            </w:pPr>
            <w:r>
              <w:rPr>
                <w:rFonts w:ascii="Calibri" w:hAnsi="Calibri"/>
                <w:b/>
                <w:sz w:val="21"/>
              </w:rPr>
              <w:t>Xiao</w:t>
            </w:r>
            <w:r w:rsidR="0066497F">
              <w:rPr>
                <w:rFonts w:ascii="Calibri" w:hAnsi="Calibri"/>
                <w:b/>
                <w:sz w:val="21"/>
              </w:rPr>
              <w:t xml:space="preserve"> et al., </w:t>
            </w:r>
            <w:r>
              <w:rPr>
                <w:rFonts w:ascii="Calibri" w:hAnsi="Calibri"/>
                <w:b/>
                <w:sz w:val="21"/>
              </w:rPr>
              <w:t>2021</w:t>
            </w:r>
          </w:p>
        </w:tc>
      </w:tr>
      <w:tr w:rsidR="000D01A0" w:rsidRPr="0066497F" w14:paraId="1A37C923" w14:textId="77777777" w:rsidTr="00801999">
        <w:trPr>
          <w:cantSplit/>
        </w:trPr>
        <w:tc>
          <w:tcPr>
            <w:tcW w:w="1666" w:type="dxa"/>
          </w:tcPr>
          <w:p w14:paraId="5E6597EC" w14:textId="6CE667F1" w:rsidR="000D01A0" w:rsidRPr="0066497F" w:rsidRDefault="00000000" w:rsidP="00064512">
            <w:pPr>
              <w:keepLines/>
              <w:spacing w:before="80" w:after="80"/>
              <w:jc w:val="both"/>
              <w:rPr>
                <w:lang w:val="es-ES"/>
              </w:rPr>
            </w:pPr>
            <w:r w:rsidRPr="0066497F">
              <w:rPr>
                <w:rFonts w:ascii="Calibri" w:hAnsi="Calibri"/>
                <w:b/>
                <w:sz w:val="20"/>
                <w:lang w:val="es-ES"/>
              </w:rPr>
              <w:t>sST2 (</w:t>
            </w:r>
            <w:r w:rsidR="0066497F">
              <w:rPr>
                <w:rFonts w:ascii="Calibri" w:hAnsi="Calibri"/>
                <w:b/>
                <w:sz w:val="20"/>
                <w:lang w:val="es-ES"/>
              </w:rPr>
              <w:t>s</w:t>
            </w:r>
            <w:r w:rsidRPr="0066497F">
              <w:rPr>
                <w:rFonts w:ascii="Calibri" w:hAnsi="Calibri"/>
                <w:b/>
                <w:sz w:val="20"/>
                <w:lang w:val="es-ES"/>
              </w:rPr>
              <w:t xml:space="preserve">upresor </w:t>
            </w:r>
            <w:r w:rsidR="0066497F">
              <w:rPr>
                <w:rFonts w:ascii="Calibri" w:hAnsi="Calibri"/>
                <w:b/>
                <w:sz w:val="20"/>
                <w:lang w:val="es-ES"/>
              </w:rPr>
              <w:t>s</w:t>
            </w:r>
            <w:r w:rsidRPr="0066497F">
              <w:rPr>
                <w:rFonts w:ascii="Calibri" w:hAnsi="Calibri"/>
                <w:b/>
                <w:sz w:val="20"/>
                <w:lang w:val="es-ES"/>
              </w:rPr>
              <w:t xml:space="preserve">oluble de la </w:t>
            </w:r>
            <w:r w:rsidR="0066497F">
              <w:rPr>
                <w:rFonts w:ascii="Calibri" w:hAnsi="Calibri"/>
                <w:b/>
                <w:sz w:val="20"/>
                <w:lang w:val="es-ES"/>
              </w:rPr>
              <w:t>t</w:t>
            </w:r>
            <w:r w:rsidRPr="0066497F">
              <w:rPr>
                <w:rFonts w:ascii="Calibri" w:hAnsi="Calibri"/>
                <w:b/>
                <w:sz w:val="20"/>
                <w:lang w:val="es-ES"/>
              </w:rPr>
              <w:t>umorigenicidad 2)</w:t>
            </w:r>
            <w:r w:rsidRPr="0066497F">
              <w:rPr>
                <w:rFonts w:ascii="Calibri" w:hAnsi="Calibri"/>
                <w:i/>
                <w:color w:val="555555"/>
                <w:sz w:val="18"/>
                <w:lang w:val="es-ES"/>
              </w:rPr>
              <w:br/>
              <w:t>Proteómico (Suero)</w:t>
            </w:r>
          </w:p>
        </w:tc>
        <w:tc>
          <w:tcPr>
            <w:tcW w:w="1561" w:type="dxa"/>
          </w:tcPr>
          <w:p w14:paraId="7A8215CB" w14:textId="77777777" w:rsidR="000D01A0" w:rsidRDefault="00000000" w:rsidP="00064512">
            <w:pPr>
              <w:keepLines/>
              <w:spacing w:before="80" w:after="80"/>
              <w:jc w:val="both"/>
            </w:pPr>
            <w:r>
              <w:rPr>
                <w:rFonts w:ascii="Calibri" w:hAnsi="Calibri"/>
                <w:sz w:val="20"/>
              </w:rPr>
              <w:t>Pronóstico</w:t>
            </w:r>
          </w:p>
        </w:tc>
        <w:tc>
          <w:tcPr>
            <w:tcW w:w="7087" w:type="dxa"/>
          </w:tcPr>
          <w:p w14:paraId="6B8AFD83" w14:textId="60D3F826" w:rsidR="000D01A0" w:rsidRPr="0066497F" w:rsidRDefault="00000000" w:rsidP="00064512">
            <w:pPr>
              <w:keepLines/>
              <w:spacing w:before="80" w:after="80"/>
              <w:jc w:val="both"/>
              <w:rPr>
                <w:lang w:val="es-ES"/>
              </w:rPr>
            </w:pPr>
            <w:r w:rsidRPr="0066497F">
              <w:rPr>
                <w:rFonts w:ascii="Calibri" w:hAnsi="Calibri"/>
                <w:sz w:val="20"/>
                <w:lang w:val="es-ES"/>
              </w:rPr>
              <w:t>El nivel basal mediano de sST2 se estableció en 12.2 ng/mL, observándose que aquellos con niveles elevados presentaban una mayor gravedad clínica y estadio más avanzado. En el análisis ROC</w:t>
            </w:r>
            <w:r w:rsidR="008820CE">
              <w:rPr>
                <w:rFonts w:ascii="Calibri" w:hAnsi="Calibri"/>
                <w:sz w:val="20"/>
                <w:lang w:val="es-ES"/>
              </w:rPr>
              <w:t>,</w:t>
            </w:r>
            <w:r w:rsidRPr="0066497F">
              <w:rPr>
                <w:rFonts w:ascii="Calibri" w:hAnsi="Calibri"/>
                <w:sz w:val="20"/>
                <w:lang w:val="es-ES"/>
              </w:rPr>
              <w:t xml:space="preserve"> se observó un AUC de 0.728, con una sensibilidad y especificidad del 80.2% y 61.1% respectivamente, y un punto de corte óptimo de sST2 de 12.34 ng/mL. Se concluyó que el sST2 es un marcador predictor de pronóstico independiente. </w:t>
            </w:r>
          </w:p>
        </w:tc>
        <w:tc>
          <w:tcPr>
            <w:tcW w:w="5040" w:type="dxa"/>
          </w:tcPr>
          <w:p w14:paraId="4E2C72AA" w14:textId="77777777" w:rsidR="000D01A0" w:rsidRPr="0066497F" w:rsidRDefault="00000000" w:rsidP="00064512">
            <w:pPr>
              <w:keepLines/>
              <w:spacing w:before="80" w:after="80"/>
              <w:jc w:val="both"/>
              <w:rPr>
                <w:lang w:val="es-ES"/>
              </w:rPr>
            </w:pPr>
            <w:r w:rsidRPr="0066497F">
              <w:rPr>
                <w:rFonts w:ascii="Calibri" w:hAnsi="Calibri"/>
                <w:sz w:val="20"/>
                <w:lang w:val="es-ES"/>
              </w:rPr>
              <w:t>El tamaño de muestra es bastante pequeño y los resultados podrían no ser representativos.</w:t>
            </w:r>
          </w:p>
        </w:tc>
      </w:tr>
    </w:tbl>
    <w:p w14:paraId="692C1456" w14:textId="77777777" w:rsidR="000D01A0" w:rsidRPr="0066497F" w:rsidRDefault="000D01A0" w:rsidP="00064512">
      <w:pPr>
        <w:jc w:val="both"/>
        <w:rPr>
          <w:lang w:val="es-ES"/>
        </w:rPr>
      </w:pPr>
    </w:p>
    <w:p w14:paraId="5B15122A" w14:textId="58FA542E" w:rsidR="000D01A0" w:rsidRPr="003F4492" w:rsidRDefault="00000000" w:rsidP="00064512">
      <w:pPr>
        <w:jc w:val="both"/>
        <w:rPr>
          <w:rFonts w:asciiTheme="majorHAnsi" w:hAnsiTheme="majorHAnsi" w:cstheme="majorHAnsi"/>
          <w:iCs/>
          <w:lang w:val="es-ES"/>
        </w:rPr>
      </w:pPr>
      <w:r w:rsidRPr="003F4492">
        <w:rPr>
          <w:rFonts w:asciiTheme="majorHAnsi" w:hAnsiTheme="majorHAnsi" w:cstheme="majorHAnsi"/>
          <w:iCs/>
          <w:sz w:val="18"/>
          <w:lang w:val="es-ES"/>
        </w:rPr>
        <w:t>Abreviaturas: AL = amiloidosis de cadena ligera; AUC = área bajo la curva ROC; HR = hazard ratio</w:t>
      </w:r>
      <w:r w:rsidR="0055184F" w:rsidRPr="003F4492">
        <w:rPr>
          <w:rFonts w:asciiTheme="majorHAnsi" w:hAnsiTheme="majorHAnsi" w:cstheme="majorHAnsi"/>
          <w:iCs/>
          <w:sz w:val="18"/>
          <w:lang w:val="es-ES"/>
        </w:rPr>
        <w:t>; cTnI = troponina I cardía</w:t>
      </w:r>
      <w:r w:rsidR="00D3198A" w:rsidRPr="003F4492">
        <w:rPr>
          <w:rFonts w:asciiTheme="majorHAnsi" w:hAnsiTheme="majorHAnsi" w:cstheme="majorHAnsi"/>
          <w:iCs/>
          <w:sz w:val="18"/>
          <w:lang w:val="es-ES"/>
        </w:rPr>
        <w:t xml:space="preserve">ca; Crea = creatinina; ALB = albúmina; Tbil = bilirrubina total; ALP = fosfatasa alcalina; </w:t>
      </w:r>
      <w:r w:rsidR="008F1EEE" w:rsidRPr="003F4492">
        <w:rPr>
          <w:rFonts w:asciiTheme="majorHAnsi" w:hAnsiTheme="majorHAnsi" w:cstheme="majorHAnsi"/>
          <w:iCs/>
          <w:sz w:val="18"/>
          <w:lang w:val="es-ES"/>
        </w:rPr>
        <w:t xml:space="preserve">IVS = </w:t>
      </w:r>
      <w:r w:rsidR="006422BD" w:rsidRPr="003F4492">
        <w:rPr>
          <w:rFonts w:asciiTheme="majorHAnsi" w:hAnsiTheme="majorHAnsi" w:cstheme="majorHAnsi"/>
          <w:iCs/>
          <w:sz w:val="18"/>
          <w:lang w:val="es-ES"/>
        </w:rPr>
        <w:t>tabique interventricular</w:t>
      </w:r>
      <w:r w:rsidR="008F1EEE" w:rsidRPr="003F4492">
        <w:rPr>
          <w:rFonts w:asciiTheme="majorHAnsi" w:hAnsiTheme="majorHAnsi" w:cstheme="majorHAnsi"/>
          <w:iCs/>
          <w:sz w:val="18"/>
          <w:lang w:val="es-ES"/>
        </w:rPr>
        <w:t xml:space="preserve">; LVPW = </w:t>
      </w:r>
      <w:r w:rsidR="00B61800" w:rsidRPr="003F4492">
        <w:rPr>
          <w:rFonts w:asciiTheme="majorHAnsi" w:hAnsiTheme="majorHAnsi" w:cstheme="majorHAnsi"/>
          <w:iCs/>
          <w:sz w:val="18"/>
          <w:lang w:val="es-ES"/>
        </w:rPr>
        <w:t>pared posterior del ventrículo izquierdo</w:t>
      </w:r>
      <w:r w:rsidR="008F1EEE" w:rsidRPr="003F4492">
        <w:rPr>
          <w:rFonts w:asciiTheme="majorHAnsi" w:hAnsiTheme="majorHAnsi" w:cstheme="majorHAnsi"/>
          <w:iCs/>
          <w:sz w:val="18"/>
          <w:lang w:val="es-ES"/>
        </w:rPr>
        <w:t>;</w:t>
      </w:r>
      <w:r w:rsidR="005C6EAC" w:rsidRPr="003F4492">
        <w:rPr>
          <w:rFonts w:asciiTheme="majorHAnsi" w:hAnsiTheme="majorHAnsi" w:cstheme="majorHAnsi"/>
          <w:iCs/>
          <w:sz w:val="18"/>
          <w:lang w:val="es-ES"/>
        </w:rPr>
        <w:t xml:space="preserve"> EF = </w:t>
      </w:r>
      <w:r w:rsidR="003F4492" w:rsidRPr="003F4492">
        <w:rPr>
          <w:rFonts w:asciiTheme="majorHAnsi" w:hAnsiTheme="majorHAnsi" w:cstheme="majorHAnsi"/>
          <w:iCs/>
          <w:sz w:val="18"/>
          <w:lang w:val="es-ES"/>
        </w:rPr>
        <w:t>fracción de eyección</w:t>
      </w:r>
      <w:r w:rsidR="005C6EAC" w:rsidRPr="003F4492">
        <w:rPr>
          <w:rFonts w:asciiTheme="majorHAnsi" w:hAnsiTheme="majorHAnsi" w:cstheme="majorHAnsi"/>
          <w:iCs/>
          <w:sz w:val="18"/>
          <w:lang w:val="es-ES"/>
        </w:rPr>
        <w:t>.</w:t>
      </w:r>
    </w:p>
    <w:sectPr w:rsidR="000D01A0" w:rsidRPr="003F4492" w:rsidSect="00034616">
      <w:pgSz w:w="16838" w:h="11906" w:orient="landscape"/>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27078030">
    <w:abstractNumId w:val="8"/>
  </w:num>
  <w:num w:numId="2" w16cid:durableId="1486817256">
    <w:abstractNumId w:val="6"/>
  </w:num>
  <w:num w:numId="3" w16cid:durableId="500465299">
    <w:abstractNumId w:val="5"/>
  </w:num>
  <w:num w:numId="4" w16cid:durableId="232933643">
    <w:abstractNumId w:val="4"/>
  </w:num>
  <w:num w:numId="5" w16cid:durableId="224032573">
    <w:abstractNumId w:val="7"/>
  </w:num>
  <w:num w:numId="6" w16cid:durableId="271517594">
    <w:abstractNumId w:val="3"/>
  </w:num>
  <w:num w:numId="7" w16cid:durableId="1027218564">
    <w:abstractNumId w:val="2"/>
  </w:num>
  <w:num w:numId="8" w16cid:durableId="765541577">
    <w:abstractNumId w:val="1"/>
  </w:num>
  <w:num w:numId="9" w16cid:durableId="198353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512"/>
    <w:rsid w:val="000D01A0"/>
    <w:rsid w:val="0015074B"/>
    <w:rsid w:val="00154D17"/>
    <w:rsid w:val="0029639D"/>
    <w:rsid w:val="002C4D3F"/>
    <w:rsid w:val="00326F90"/>
    <w:rsid w:val="003F4492"/>
    <w:rsid w:val="0055184F"/>
    <w:rsid w:val="005C6EAC"/>
    <w:rsid w:val="006422BD"/>
    <w:rsid w:val="0066497F"/>
    <w:rsid w:val="00801999"/>
    <w:rsid w:val="008820CE"/>
    <w:rsid w:val="008F1EEE"/>
    <w:rsid w:val="00AA1D8D"/>
    <w:rsid w:val="00B47730"/>
    <w:rsid w:val="00B61800"/>
    <w:rsid w:val="00CB0664"/>
    <w:rsid w:val="00D31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AFDF30-8FEC-4C1D-A41C-BDF753454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1926</Words>
  <Characters>8937</Characters>
  <Application>Microsoft Office Word</Application>
  <DocSecurity>0</DocSecurity>
  <Lines>182</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p</cp:lastModifiedBy>
  <cp:revision>13</cp:revision>
  <dcterms:created xsi:type="dcterms:W3CDTF">2013-12-23T23:15:00Z</dcterms:created>
  <dcterms:modified xsi:type="dcterms:W3CDTF">2026-06-12T16:42:00Z</dcterms:modified>
  <cp:category/>
</cp:coreProperties>
</file>