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3950" w:type="dxa"/>
        <w:tblCellSpacing w:w="0" w:type="dxa"/>
        <w:tblBorders>
          <w:top w:val="single" w:sz="6" w:space="0" w:color="999999"/>
          <w:left w:val="single" w:sz="6" w:space="0" w:color="999999"/>
          <w:bottom w:val="single" w:sz="6" w:space="0" w:color="999999"/>
          <w:right w:val="single" w:sz="6" w:space="0" w:color="999999"/>
        </w:tblBorders>
        <w:tblCellMar>
          <w:left w:w="0" w:type="dxa"/>
          <w:right w:w="0" w:type="dxa"/>
        </w:tblCellMar>
        <w:tblLook w:val="04A0" w:firstRow="1" w:lastRow="0" w:firstColumn="1" w:lastColumn="0" w:noHBand="0" w:noVBand="1"/>
      </w:tblPr>
      <w:tblGrid>
        <w:gridCol w:w="13950"/>
      </w:tblGrid>
      <w:tr w:rsidR="00317D57" w:rsidRPr="00317D57" w:rsidTr="00317D57">
        <w:trPr>
          <w:tblCellSpacing w:w="0" w:type="dxa"/>
        </w:trPr>
        <w:tc>
          <w:tcPr>
            <w:tcW w:w="0" w:type="auto"/>
            <w:vAlign w:val="center"/>
            <w:hideMark/>
          </w:tcPr>
          <w:tbl>
            <w:tblPr>
              <w:tblW w:w="12900" w:type="dxa"/>
              <w:tblCellSpacing w:w="0" w:type="dxa"/>
              <w:tblCellMar>
                <w:left w:w="0" w:type="dxa"/>
                <w:right w:w="0" w:type="dxa"/>
              </w:tblCellMar>
              <w:tblLook w:val="04A0" w:firstRow="1" w:lastRow="0" w:firstColumn="1" w:lastColumn="0" w:noHBand="0" w:noVBand="1"/>
            </w:tblPr>
            <w:tblGrid>
              <w:gridCol w:w="1050"/>
              <w:gridCol w:w="5400"/>
              <w:gridCol w:w="1050"/>
              <w:gridCol w:w="5400"/>
            </w:tblGrid>
            <w:tr w:rsidR="00317D57" w:rsidRPr="00317D57">
              <w:trPr>
                <w:tblCellSpacing w:w="0" w:type="dxa"/>
              </w:trPr>
              <w:tc>
                <w:tcPr>
                  <w:tcW w:w="1050" w:type="dxa"/>
                  <w:tcMar>
                    <w:top w:w="0" w:type="dxa"/>
                    <w:left w:w="75" w:type="dxa"/>
                    <w:bottom w:w="0" w:type="dxa"/>
                    <w:right w:w="0" w:type="dxa"/>
                  </w:tcMar>
                  <w:vAlign w:val="center"/>
                  <w:hideMark/>
                </w:tcPr>
                <w:p w:rsidR="00317D57" w:rsidRPr="00317D57" w:rsidRDefault="00317D57" w:rsidP="00317D57">
                  <w:pPr>
                    <w:widowControl/>
                    <w:spacing w:before="180" w:line="300" w:lineRule="atLeast"/>
                    <w:jc w:val="left"/>
                    <w:rPr>
                      <w:rFonts w:ascii="宋体" w:hAnsi="宋体" w:cs="宋体"/>
                      <w:kern w:val="0"/>
                      <w:sz w:val="18"/>
                      <w:szCs w:val="18"/>
                    </w:rPr>
                  </w:pPr>
                  <w:r w:rsidRPr="00317D57">
                    <w:rPr>
                      <w:rFonts w:ascii="宋体" w:hAnsi="宋体" w:cs="宋体"/>
                      <w:b/>
                      <w:bCs/>
                      <w:kern w:val="0"/>
                      <w:sz w:val="18"/>
                      <w:szCs w:val="18"/>
                    </w:rPr>
                    <w:t>索 引 号：</w:t>
                  </w:r>
                </w:p>
              </w:tc>
              <w:tc>
                <w:tcPr>
                  <w:tcW w:w="5400" w:type="dxa"/>
                  <w:tcMar>
                    <w:top w:w="0" w:type="dxa"/>
                    <w:left w:w="75" w:type="dxa"/>
                    <w:bottom w:w="0" w:type="dxa"/>
                    <w:right w:w="0" w:type="dxa"/>
                  </w:tcMar>
                  <w:vAlign w:val="center"/>
                  <w:hideMark/>
                </w:tcPr>
                <w:p w:rsidR="00317D57" w:rsidRPr="00317D57" w:rsidRDefault="00317D57" w:rsidP="00317D57">
                  <w:pPr>
                    <w:widowControl/>
                    <w:spacing w:before="180" w:line="300" w:lineRule="atLeast"/>
                    <w:jc w:val="left"/>
                    <w:rPr>
                      <w:rFonts w:ascii="宋体" w:hAnsi="宋体" w:cs="宋体"/>
                      <w:kern w:val="0"/>
                      <w:sz w:val="18"/>
                      <w:szCs w:val="18"/>
                    </w:rPr>
                  </w:pPr>
                  <w:r w:rsidRPr="00317D57">
                    <w:rPr>
                      <w:rFonts w:ascii="宋体" w:hAnsi="宋体" w:cs="宋体"/>
                      <w:kern w:val="0"/>
                      <w:sz w:val="18"/>
                      <w:szCs w:val="18"/>
                    </w:rPr>
                    <w:t>000014349/2015-00002</w:t>
                  </w:r>
                </w:p>
              </w:tc>
              <w:tc>
                <w:tcPr>
                  <w:tcW w:w="1050" w:type="dxa"/>
                  <w:tcMar>
                    <w:top w:w="0" w:type="dxa"/>
                    <w:left w:w="75" w:type="dxa"/>
                    <w:bottom w:w="0" w:type="dxa"/>
                    <w:right w:w="0" w:type="dxa"/>
                  </w:tcMar>
                  <w:vAlign w:val="center"/>
                  <w:hideMark/>
                </w:tcPr>
                <w:p w:rsidR="00317D57" w:rsidRPr="00317D57" w:rsidRDefault="00317D57" w:rsidP="00317D57">
                  <w:pPr>
                    <w:widowControl/>
                    <w:spacing w:before="180" w:line="300" w:lineRule="atLeast"/>
                    <w:jc w:val="left"/>
                    <w:rPr>
                      <w:rFonts w:ascii="宋体" w:hAnsi="宋体" w:cs="宋体"/>
                      <w:kern w:val="0"/>
                      <w:sz w:val="18"/>
                      <w:szCs w:val="18"/>
                    </w:rPr>
                  </w:pPr>
                  <w:r w:rsidRPr="00317D57">
                    <w:rPr>
                      <w:rFonts w:ascii="宋体" w:hAnsi="宋体" w:cs="宋体"/>
                      <w:b/>
                      <w:bCs/>
                      <w:kern w:val="0"/>
                      <w:sz w:val="18"/>
                      <w:szCs w:val="18"/>
                    </w:rPr>
                    <w:t>主题分类：</w:t>
                  </w:r>
                </w:p>
              </w:tc>
              <w:tc>
                <w:tcPr>
                  <w:tcW w:w="5400" w:type="dxa"/>
                  <w:tcMar>
                    <w:top w:w="0" w:type="dxa"/>
                    <w:left w:w="75" w:type="dxa"/>
                    <w:bottom w:w="0" w:type="dxa"/>
                    <w:right w:w="0" w:type="dxa"/>
                  </w:tcMar>
                  <w:vAlign w:val="center"/>
                  <w:hideMark/>
                </w:tcPr>
                <w:p w:rsidR="00317D57" w:rsidRPr="00317D57" w:rsidRDefault="00317D57" w:rsidP="00317D57">
                  <w:pPr>
                    <w:widowControl/>
                    <w:spacing w:before="180" w:line="300" w:lineRule="atLeast"/>
                    <w:jc w:val="left"/>
                    <w:rPr>
                      <w:rFonts w:ascii="宋体" w:hAnsi="宋体" w:cs="宋体"/>
                      <w:kern w:val="0"/>
                      <w:sz w:val="18"/>
                      <w:szCs w:val="18"/>
                    </w:rPr>
                  </w:pPr>
                  <w:r w:rsidRPr="00317D57">
                    <w:rPr>
                      <w:rFonts w:ascii="宋体" w:hAnsi="宋体" w:cs="宋体"/>
                      <w:kern w:val="0"/>
                      <w:sz w:val="18"/>
                      <w:szCs w:val="18"/>
                    </w:rPr>
                    <w:t>劳动、人事、监察\社会保障</w:t>
                  </w:r>
                </w:p>
              </w:tc>
            </w:tr>
            <w:tr w:rsidR="00317D57" w:rsidRPr="00317D57">
              <w:trPr>
                <w:tblCellSpacing w:w="0" w:type="dxa"/>
              </w:trPr>
              <w:tc>
                <w:tcPr>
                  <w:tcW w:w="0" w:type="auto"/>
                  <w:tcMar>
                    <w:top w:w="0" w:type="dxa"/>
                    <w:left w:w="75" w:type="dxa"/>
                    <w:bottom w:w="0" w:type="dxa"/>
                    <w:right w:w="0" w:type="dxa"/>
                  </w:tcMar>
                  <w:vAlign w:val="center"/>
                  <w:hideMark/>
                </w:tcPr>
                <w:p w:rsidR="00317D57" w:rsidRPr="00317D57" w:rsidRDefault="00317D57" w:rsidP="00317D57">
                  <w:pPr>
                    <w:widowControl/>
                    <w:spacing w:before="180" w:line="300" w:lineRule="atLeast"/>
                    <w:jc w:val="left"/>
                    <w:rPr>
                      <w:rFonts w:ascii="宋体" w:hAnsi="宋体" w:cs="宋体"/>
                      <w:kern w:val="0"/>
                      <w:sz w:val="18"/>
                      <w:szCs w:val="18"/>
                    </w:rPr>
                  </w:pPr>
                  <w:r w:rsidRPr="00317D57">
                    <w:rPr>
                      <w:rFonts w:ascii="宋体" w:hAnsi="宋体" w:cs="宋体"/>
                      <w:b/>
                      <w:bCs/>
                      <w:kern w:val="0"/>
                      <w:sz w:val="18"/>
                      <w:szCs w:val="18"/>
                    </w:rPr>
                    <w:t>发文机关：</w:t>
                  </w:r>
                </w:p>
              </w:tc>
              <w:tc>
                <w:tcPr>
                  <w:tcW w:w="0" w:type="auto"/>
                  <w:tcMar>
                    <w:top w:w="0" w:type="dxa"/>
                    <w:left w:w="75" w:type="dxa"/>
                    <w:bottom w:w="0" w:type="dxa"/>
                    <w:right w:w="0" w:type="dxa"/>
                  </w:tcMar>
                  <w:vAlign w:val="center"/>
                  <w:hideMark/>
                </w:tcPr>
                <w:p w:rsidR="00317D57" w:rsidRPr="00317D57" w:rsidRDefault="00317D57" w:rsidP="00317D57">
                  <w:pPr>
                    <w:widowControl/>
                    <w:spacing w:before="180" w:line="300" w:lineRule="atLeast"/>
                    <w:jc w:val="left"/>
                    <w:rPr>
                      <w:rFonts w:ascii="宋体" w:hAnsi="宋体" w:cs="宋体"/>
                      <w:kern w:val="0"/>
                      <w:sz w:val="18"/>
                      <w:szCs w:val="18"/>
                    </w:rPr>
                  </w:pPr>
                  <w:r w:rsidRPr="00317D57">
                    <w:rPr>
                      <w:rFonts w:ascii="宋体" w:hAnsi="宋体" w:cs="宋体"/>
                      <w:kern w:val="0"/>
                      <w:sz w:val="18"/>
                      <w:szCs w:val="18"/>
                    </w:rPr>
                    <w:t>国务院</w:t>
                  </w:r>
                </w:p>
              </w:tc>
              <w:tc>
                <w:tcPr>
                  <w:tcW w:w="0" w:type="auto"/>
                  <w:tcMar>
                    <w:top w:w="0" w:type="dxa"/>
                    <w:left w:w="75" w:type="dxa"/>
                    <w:bottom w:w="0" w:type="dxa"/>
                    <w:right w:w="0" w:type="dxa"/>
                  </w:tcMar>
                  <w:vAlign w:val="center"/>
                  <w:hideMark/>
                </w:tcPr>
                <w:p w:rsidR="00317D57" w:rsidRPr="00317D57" w:rsidRDefault="00317D57" w:rsidP="00317D57">
                  <w:pPr>
                    <w:widowControl/>
                    <w:spacing w:before="180" w:line="300" w:lineRule="atLeast"/>
                    <w:jc w:val="left"/>
                    <w:rPr>
                      <w:rFonts w:ascii="宋体" w:hAnsi="宋体" w:cs="宋体"/>
                      <w:kern w:val="0"/>
                      <w:sz w:val="18"/>
                      <w:szCs w:val="18"/>
                    </w:rPr>
                  </w:pPr>
                  <w:r w:rsidRPr="00317D57">
                    <w:rPr>
                      <w:rFonts w:ascii="宋体" w:hAnsi="宋体" w:cs="宋体"/>
                      <w:b/>
                      <w:bCs/>
                      <w:kern w:val="0"/>
                      <w:sz w:val="18"/>
                      <w:szCs w:val="18"/>
                    </w:rPr>
                    <w:t>成文日期：</w:t>
                  </w:r>
                </w:p>
              </w:tc>
              <w:tc>
                <w:tcPr>
                  <w:tcW w:w="0" w:type="auto"/>
                  <w:tcMar>
                    <w:top w:w="0" w:type="dxa"/>
                    <w:left w:w="75" w:type="dxa"/>
                    <w:bottom w:w="0" w:type="dxa"/>
                    <w:right w:w="0" w:type="dxa"/>
                  </w:tcMar>
                  <w:vAlign w:val="center"/>
                  <w:hideMark/>
                </w:tcPr>
                <w:p w:rsidR="00317D57" w:rsidRPr="00317D57" w:rsidRDefault="00317D57" w:rsidP="00317D57">
                  <w:pPr>
                    <w:widowControl/>
                    <w:spacing w:before="180" w:line="300" w:lineRule="atLeast"/>
                    <w:jc w:val="left"/>
                    <w:rPr>
                      <w:rFonts w:ascii="宋体" w:hAnsi="宋体" w:cs="宋体"/>
                      <w:kern w:val="0"/>
                      <w:sz w:val="18"/>
                      <w:szCs w:val="18"/>
                    </w:rPr>
                  </w:pPr>
                  <w:r w:rsidRPr="00317D57">
                    <w:rPr>
                      <w:rFonts w:ascii="宋体" w:hAnsi="宋体" w:cs="宋体"/>
                      <w:kern w:val="0"/>
                      <w:sz w:val="18"/>
                      <w:szCs w:val="18"/>
                    </w:rPr>
                    <w:t>2015年01月03日</w:t>
                  </w:r>
                </w:p>
              </w:tc>
            </w:tr>
            <w:tr w:rsidR="00317D57" w:rsidRPr="00317D57">
              <w:trPr>
                <w:tblCellSpacing w:w="0" w:type="dxa"/>
              </w:trPr>
              <w:tc>
                <w:tcPr>
                  <w:tcW w:w="0" w:type="auto"/>
                  <w:tcMar>
                    <w:top w:w="0" w:type="dxa"/>
                    <w:left w:w="75" w:type="dxa"/>
                    <w:bottom w:w="0" w:type="dxa"/>
                    <w:right w:w="0" w:type="dxa"/>
                  </w:tcMar>
                  <w:vAlign w:val="center"/>
                  <w:hideMark/>
                </w:tcPr>
                <w:p w:rsidR="00317D57" w:rsidRPr="00317D57" w:rsidRDefault="00317D57" w:rsidP="00317D57">
                  <w:pPr>
                    <w:widowControl/>
                    <w:spacing w:before="180" w:line="300" w:lineRule="atLeast"/>
                    <w:jc w:val="left"/>
                    <w:rPr>
                      <w:rFonts w:ascii="宋体" w:hAnsi="宋体" w:cs="宋体"/>
                      <w:kern w:val="0"/>
                      <w:sz w:val="18"/>
                      <w:szCs w:val="18"/>
                    </w:rPr>
                  </w:pPr>
                  <w:proofErr w:type="gramStart"/>
                  <w:r w:rsidRPr="00317D57">
                    <w:rPr>
                      <w:rFonts w:ascii="宋体" w:hAnsi="宋体" w:cs="宋体"/>
                      <w:b/>
                      <w:bCs/>
                      <w:kern w:val="0"/>
                      <w:sz w:val="18"/>
                      <w:szCs w:val="18"/>
                    </w:rPr>
                    <w:t xml:space="preserve">标　　</w:t>
                  </w:r>
                  <w:proofErr w:type="gramEnd"/>
                  <w:r w:rsidRPr="00317D57">
                    <w:rPr>
                      <w:rFonts w:ascii="宋体" w:hAnsi="宋体" w:cs="宋体"/>
                      <w:b/>
                      <w:bCs/>
                      <w:kern w:val="0"/>
                      <w:sz w:val="18"/>
                      <w:szCs w:val="18"/>
                    </w:rPr>
                    <w:t>题：</w:t>
                  </w:r>
                </w:p>
              </w:tc>
              <w:tc>
                <w:tcPr>
                  <w:tcW w:w="0" w:type="auto"/>
                  <w:gridSpan w:val="3"/>
                  <w:tcMar>
                    <w:top w:w="0" w:type="dxa"/>
                    <w:left w:w="75" w:type="dxa"/>
                    <w:bottom w:w="0" w:type="dxa"/>
                    <w:right w:w="0" w:type="dxa"/>
                  </w:tcMar>
                  <w:vAlign w:val="center"/>
                  <w:hideMark/>
                </w:tcPr>
                <w:p w:rsidR="00317D57" w:rsidRPr="00317D57" w:rsidRDefault="00317D57" w:rsidP="00317D57">
                  <w:pPr>
                    <w:widowControl/>
                    <w:spacing w:before="180" w:line="300" w:lineRule="atLeast"/>
                    <w:jc w:val="left"/>
                    <w:rPr>
                      <w:rFonts w:ascii="宋体" w:hAnsi="宋体" w:cs="宋体"/>
                      <w:kern w:val="0"/>
                      <w:sz w:val="18"/>
                      <w:szCs w:val="18"/>
                    </w:rPr>
                  </w:pPr>
                  <w:r w:rsidRPr="00317D57">
                    <w:rPr>
                      <w:rFonts w:ascii="宋体" w:hAnsi="宋体" w:cs="宋体"/>
                      <w:kern w:val="0"/>
                      <w:sz w:val="18"/>
                      <w:szCs w:val="18"/>
                    </w:rPr>
                    <w:t>国务院关于机关事业单位工作人员养老保险制度改革的决定</w:t>
                  </w:r>
                </w:p>
              </w:tc>
            </w:tr>
            <w:tr w:rsidR="00317D57" w:rsidRPr="00317D57">
              <w:trPr>
                <w:tblCellSpacing w:w="0" w:type="dxa"/>
              </w:trPr>
              <w:tc>
                <w:tcPr>
                  <w:tcW w:w="0" w:type="auto"/>
                  <w:tcMar>
                    <w:top w:w="0" w:type="dxa"/>
                    <w:left w:w="75" w:type="dxa"/>
                    <w:bottom w:w="0" w:type="dxa"/>
                    <w:right w:w="0" w:type="dxa"/>
                  </w:tcMar>
                  <w:vAlign w:val="center"/>
                  <w:hideMark/>
                </w:tcPr>
                <w:p w:rsidR="00317D57" w:rsidRPr="00317D57" w:rsidRDefault="00317D57" w:rsidP="00317D57">
                  <w:pPr>
                    <w:widowControl/>
                    <w:spacing w:before="180" w:line="300" w:lineRule="atLeast"/>
                    <w:jc w:val="left"/>
                    <w:rPr>
                      <w:rFonts w:ascii="宋体" w:hAnsi="宋体" w:cs="宋体"/>
                      <w:kern w:val="0"/>
                      <w:sz w:val="18"/>
                      <w:szCs w:val="18"/>
                    </w:rPr>
                  </w:pPr>
                  <w:r w:rsidRPr="00317D57">
                    <w:rPr>
                      <w:rFonts w:ascii="宋体" w:hAnsi="宋体" w:cs="宋体"/>
                      <w:b/>
                      <w:bCs/>
                      <w:kern w:val="0"/>
                      <w:sz w:val="18"/>
                      <w:szCs w:val="18"/>
                    </w:rPr>
                    <w:t>发文字号：</w:t>
                  </w:r>
                </w:p>
              </w:tc>
              <w:tc>
                <w:tcPr>
                  <w:tcW w:w="0" w:type="auto"/>
                  <w:tcMar>
                    <w:top w:w="0" w:type="dxa"/>
                    <w:left w:w="75" w:type="dxa"/>
                    <w:bottom w:w="0" w:type="dxa"/>
                    <w:right w:w="0" w:type="dxa"/>
                  </w:tcMar>
                  <w:vAlign w:val="center"/>
                  <w:hideMark/>
                </w:tcPr>
                <w:p w:rsidR="00317D57" w:rsidRPr="00317D57" w:rsidRDefault="00317D57" w:rsidP="00317D57">
                  <w:pPr>
                    <w:widowControl/>
                    <w:spacing w:before="180" w:line="300" w:lineRule="atLeast"/>
                    <w:jc w:val="left"/>
                    <w:rPr>
                      <w:rFonts w:ascii="宋体" w:hAnsi="宋体" w:cs="宋体"/>
                      <w:kern w:val="0"/>
                      <w:sz w:val="18"/>
                      <w:szCs w:val="18"/>
                    </w:rPr>
                  </w:pPr>
                  <w:r w:rsidRPr="00317D57">
                    <w:rPr>
                      <w:rFonts w:ascii="宋体" w:hAnsi="宋体" w:cs="宋体"/>
                      <w:kern w:val="0"/>
                      <w:sz w:val="18"/>
                      <w:szCs w:val="18"/>
                    </w:rPr>
                    <w:t>国发〔2015〕2号</w:t>
                  </w:r>
                </w:p>
              </w:tc>
              <w:tc>
                <w:tcPr>
                  <w:tcW w:w="0" w:type="auto"/>
                  <w:tcMar>
                    <w:top w:w="0" w:type="dxa"/>
                    <w:left w:w="75" w:type="dxa"/>
                    <w:bottom w:w="0" w:type="dxa"/>
                    <w:right w:w="0" w:type="dxa"/>
                  </w:tcMar>
                  <w:vAlign w:val="center"/>
                  <w:hideMark/>
                </w:tcPr>
                <w:p w:rsidR="00317D57" w:rsidRPr="00317D57" w:rsidRDefault="00317D57" w:rsidP="00317D57">
                  <w:pPr>
                    <w:widowControl/>
                    <w:spacing w:before="180" w:line="300" w:lineRule="atLeast"/>
                    <w:jc w:val="left"/>
                    <w:rPr>
                      <w:rFonts w:ascii="宋体" w:hAnsi="宋体" w:cs="宋体"/>
                      <w:kern w:val="0"/>
                      <w:sz w:val="18"/>
                      <w:szCs w:val="18"/>
                    </w:rPr>
                  </w:pPr>
                  <w:r w:rsidRPr="00317D57">
                    <w:rPr>
                      <w:rFonts w:ascii="宋体" w:hAnsi="宋体" w:cs="宋体"/>
                      <w:b/>
                      <w:bCs/>
                      <w:kern w:val="0"/>
                      <w:sz w:val="18"/>
                      <w:szCs w:val="18"/>
                    </w:rPr>
                    <w:t>发布日期：</w:t>
                  </w:r>
                </w:p>
              </w:tc>
              <w:tc>
                <w:tcPr>
                  <w:tcW w:w="0" w:type="auto"/>
                  <w:tcMar>
                    <w:top w:w="0" w:type="dxa"/>
                    <w:left w:w="75" w:type="dxa"/>
                    <w:bottom w:w="0" w:type="dxa"/>
                    <w:right w:w="0" w:type="dxa"/>
                  </w:tcMar>
                  <w:vAlign w:val="center"/>
                  <w:hideMark/>
                </w:tcPr>
                <w:p w:rsidR="00317D57" w:rsidRPr="00317D57" w:rsidRDefault="00317D57" w:rsidP="00317D57">
                  <w:pPr>
                    <w:widowControl/>
                    <w:spacing w:before="180" w:line="300" w:lineRule="atLeast"/>
                    <w:jc w:val="left"/>
                    <w:rPr>
                      <w:rFonts w:ascii="宋体" w:hAnsi="宋体" w:cs="宋体"/>
                      <w:kern w:val="0"/>
                      <w:sz w:val="18"/>
                      <w:szCs w:val="18"/>
                    </w:rPr>
                  </w:pPr>
                  <w:r w:rsidRPr="00317D57">
                    <w:rPr>
                      <w:rFonts w:ascii="宋体" w:hAnsi="宋体" w:cs="宋体"/>
                      <w:kern w:val="0"/>
                      <w:sz w:val="18"/>
                      <w:szCs w:val="18"/>
                    </w:rPr>
                    <w:t>2015年01月14日</w:t>
                  </w:r>
                </w:p>
              </w:tc>
            </w:tr>
          </w:tbl>
          <w:p w:rsidR="00317D57" w:rsidRPr="00317D57" w:rsidRDefault="00317D57" w:rsidP="00317D57">
            <w:pPr>
              <w:widowControl/>
              <w:jc w:val="left"/>
              <w:rPr>
                <w:rFonts w:ascii="宋体" w:hAnsi="宋体" w:cs="宋体"/>
                <w:vanish/>
                <w:kern w:val="0"/>
                <w:sz w:val="24"/>
              </w:rPr>
            </w:pPr>
          </w:p>
          <w:tbl>
            <w:tblPr>
              <w:tblW w:w="12900" w:type="dxa"/>
              <w:tblCellSpacing w:w="0" w:type="dxa"/>
              <w:tblCellMar>
                <w:left w:w="0" w:type="dxa"/>
                <w:right w:w="0" w:type="dxa"/>
              </w:tblCellMar>
              <w:tblLook w:val="04A0" w:firstRow="1" w:lastRow="0" w:firstColumn="1" w:lastColumn="0" w:noHBand="0" w:noVBand="1"/>
            </w:tblPr>
            <w:tblGrid>
              <w:gridCol w:w="1050"/>
              <w:gridCol w:w="4950"/>
              <w:gridCol w:w="1050"/>
              <w:gridCol w:w="5850"/>
            </w:tblGrid>
            <w:tr w:rsidR="00317D57" w:rsidRPr="00317D57">
              <w:trPr>
                <w:tblCellSpacing w:w="0" w:type="dxa"/>
              </w:trPr>
              <w:tc>
                <w:tcPr>
                  <w:tcW w:w="1050" w:type="dxa"/>
                  <w:tcMar>
                    <w:top w:w="0" w:type="dxa"/>
                    <w:left w:w="75" w:type="dxa"/>
                    <w:bottom w:w="0" w:type="dxa"/>
                    <w:right w:w="0" w:type="dxa"/>
                  </w:tcMar>
                  <w:vAlign w:val="center"/>
                  <w:hideMark/>
                </w:tcPr>
                <w:p w:rsidR="00317D57" w:rsidRPr="00317D57" w:rsidRDefault="00317D57" w:rsidP="00317D57">
                  <w:pPr>
                    <w:widowControl/>
                    <w:spacing w:after="180" w:line="300" w:lineRule="atLeast"/>
                    <w:jc w:val="left"/>
                    <w:rPr>
                      <w:rFonts w:ascii="宋体" w:hAnsi="宋体" w:cs="宋体"/>
                      <w:kern w:val="0"/>
                      <w:sz w:val="18"/>
                      <w:szCs w:val="18"/>
                    </w:rPr>
                  </w:pPr>
                  <w:r w:rsidRPr="00317D57">
                    <w:rPr>
                      <w:rFonts w:ascii="宋体" w:hAnsi="宋体" w:cs="宋体"/>
                      <w:b/>
                      <w:bCs/>
                      <w:kern w:val="0"/>
                      <w:sz w:val="18"/>
                      <w:szCs w:val="18"/>
                    </w:rPr>
                    <w:t>主 题 词：</w:t>
                  </w:r>
                </w:p>
              </w:tc>
              <w:tc>
                <w:tcPr>
                  <w:tcW w:w="4950" w:type="dxa"/>
                  <w:tcMar>
                    <w:top w:w="0" w:type="dxa"/>
                    <w:left w:w="75" w:type="dxa"/>
                    <w:bottom w:w="0" w:type="dxa"/>
                    <w:right w:w="0" w:type="dxa"/>
                  </w:tcMar>
                  <w:vAlign w:val="center"/>
                  <w:hideMark/>
                </w:tcPr>
                <w:p w:rsidR="00317D57" w:rsidRPr="00317D57" w:rsidRDefault="00317D57" w:rsidP="00317D57">
                  <w:pPr>
                    <w:widowControl/>
                    <w:spacing w:after="180" w:line="300" w:lineRule="atLeast"/>
                    <w:jc w:val="left"/>
                    <w:rPr>
                      <w:rFonts w:ascii="宋体" w:hAnsi="宋体" w:cs="宋体"/>
                      <w:kern w:val="0"/>
                      <w:sz w:val="18"/>
                      <w:szCs w:val="18"/>
                    </w:rPr>
                  </w:pPr>
                </w:p>
              </w:tc>
              <w:tc>
                <w:tcPr>
                  <w:tcW w:w="1050" w:type="dxa"/>
                  <w:tcMar>
                    <w:top w:w="0" w:type="dxa"/>
                    <w:left w:w="75" w:type="dxa"/>
                    <w:bottom w:w="0" w:type="dxa"/>
                    <w:right w:w="0" w:type="dxa"/>
                  </w:tcMar>
                  <w:vAlign w:val="center"/>
                  <w:hideMark/>
                </w:tcPr>
                <w:p w:rsidR="00317D57" w:rsidRPr="00317D57" w:rsidRDefault="00317D57" w:rsidP="00317D57">
                  <w:pPr>
                    <w:widowControl/>
                    <w:spacing w:after="180" w:line="300" w:lineRule="atLeast"/>
                    <w:jc w:val="left"/>
                    <w:rPr>
                      <w:rFonts w:ascii="宋体" w:hAnsi="宋体" w:cs="宋体"/>
                      <w:kern w:val="0"/>
                      <w:sz w:val="18"/>
                      <w:szCs w:val="18"/>
                    </w:rPr>
                  </w:pPr>
                </w:p>
              </w:tc>
              <w:tc>
                <w:tcPr>
                  <w:tcW w:w="0" w:type="auto"/>
                  <w:tcMar>
                    <w:top w:w="0" w:type="dxa"/>
                    <w:left w:w="75" w:type="dxa"/>
                    <w:bottom w:w="0" w:type="dxa"/>
                    <w:right w:w="0" w:type="dxa"/>
                  </w:tcMar>
                  <w:vAlign w:val="center"/>
                  <w:hideMark/>
                </w:tcPr>
                <w:p w:rsidR="00317D57" w:rsidRPr="00317D57" w:rsidRDefault="00317D57" w:rsidP="00317D57">
                  <w:pPr>
                    <w:widowControl/>
                    <w:spacing w:after="180" w:line="300" w:lineRule="atLeast"/>
                    <w:jc w:val="left"/>
                    <w:rPr>
                      <w:rFonts w:ascii="宋体" w:hAnsi="宋体" w:cs="宋体"/>
                      <w:kern w:val="0"/>
                      <w:sz w:val="18"/>
                      <w:szCs w:val="18"/>
                    </w:rPr>
                  </w:pPr>
                </w:p>
              </w:tc>
            </w:tr>
          </w:tbl>
          <w:p w:rsidR="00317D57" w:rsidRPr="00317D57" w:rsidRDefault="00317D57" w:rsidP="00317D57">
            <w:pPr>
              <w:widowControl/>
              <w:spacing w:before="150"/>
              <w:jc w:val="left"/>
              <w:rPr>
                <w:rFonts w:ascii="宋体" w:hAnsi="宋体" w:cs="宋体"/>
                <w:kern w:val="0"/>
                <w:sz w:val="24"/>
              </w:rPr>
            </w:pPr>
          </w:p>
        </w:tc>
      </w:tr>
    </w:tbl>
    <w:p w:rsidR="00317D57" w:rsidRPr="00317D57" w:rsidRDefault="00317D57" w:rsidP="00317D57">
      <w:pPr>
        <w:widowControl/>
        <w:jc w:val="left"/>
        <w:rPr>
          <w:rFonts w:ascii="宋体" w:hAnsi="宋体" w:cs="宋体"/>
          <w:kern w:val="0"/>
          <w:sz w:val="24"/>
        </w:rPr>
      </w:pPr>
    </w:p>
    <w:tbl>
      <w:tblPr>
        <w:tblW w:w="13950" w:type="dxa"/>
        <w:tblCellSpacing w:w="0" w:type="dxa"/>
        <w:tblCellMar>
          <w:left w:w="0" w:type="dxa"/>
          <w:right w:w="0" w:type="dxa"/>
        </w:tblCellMar>
        <w:tblLook w:val="04A0" w:firstRow="1" w:lastRow="0" w:firstColumn="1" w:lastColumn="0" w:noHBand="0" w:noVBand="1"/>
      </w:tblPr>
      <w:tblGrid>
        <w:gridCol w:w="13950"/>
      </w:tblGrid>
      <w:tr w:rsidR="00317D57" w:rsidRPr="00317D57" w:rsidTr="00317D57">
        <w:trPr>
          <w:tblCellSpacing w:w="0" w:type="dxa"/>
        </w:trPr>
        <w:tc>
          <w:tcPr>
            <w:tcW w:w="10125" w:type="dxa"/>
            <w:hideMark/>
          </w:tcPr>
          <w:tbl>
            <w:tblPr>
              <w:tblW w:w="10110" w:type="dxa"/>
              <w:tblCellSpacing w:w="0" w:type="dxa"/>
              <w:tblBorders>
                <w:right w:val="single" w:sz="6" w:space="0" w:color="CACACA"/>
              </w:tblBorders>
              <w:tblCellMar>
                <w:left w:w="0" w:type="dxa"/>
                <w:right w:w="0" w:type="dxa"/>
              </w:tblCellMar>
              <w:tblLook w:val="04A0" w:firstRow="1" w:lastRow="0" w:firstColumn="1" w:lastColumn="0" w:noHBand="0" w:noVBand="1"/>
            </w:tblPr>
            <w:tblGrid>
              <w:gridCol w:w="10110"/>
            </w:tblGrid>
            <w:tr w:rsidR="00317D57" w:rsidRPr="00317D57">
              <w:trPr>
                <w:tblCellSpacing w:w="0" w:type="dxa"/>
              </w:trPr>
              <w:tc>
                <w:tcPr>
                  <w:tcW w:w="0" w:type="auto"/>
                  <w:vAlign w:val="center"/>
                  <w:hideMark/>
                </w:tcPr>
                <w:p w:rsidR="00317D57" w:rsidRPr="00317D57" w:rsidRDefault="00317D57" w:rsidP="00317D57">
                  <w:pPr>
                    <w:widowControl/>
                    <w:jc w:val="left"/>
                    <w:rPr>
                      <w:rFonts w:ascii="宋体" w:hAnsi="宋体" w:cs="宋体"/>
                      <w:kern w:val="0"/>
                      <w:sz w:val="24"/>
                    </w:rPr>
                  </w:pPr>
                  <w:r w:rsidRPr="00317D57">
                    <w:rPr>
                      <w:rFonts w:ascii="宋体" w:hAnsi="宋体" w:cs="宋体"/>
                      <w:kern w:val="0"/>
                      <w:sz w:val="24"/>
                    </w:rPr>
                    <w:br/>
                  </w:r>
                </w:p>
                <w:tbl>
                  <w:tblPr>
                    <w:tblW w:w="9750" w:type="dxa"/>
                    <w:tblCellSpacing w:w="0" w:type="dxa"/>
                    <w:tblCellMar>
                      <w:left w:w="0" w:type="dxa"/>
                      <w:right w:w="0" w:type="dxa"/>
                    </w:tblCellMar>
                    <w:tblLook w:val="04A0" w:firstRow="1" w:lastRow="0" w:firstColumn="1" w:lastColumn="0" w:noHBand="0" w:noVBand="1"/>
                  </w:tblPr>
                  <w:tblGrid>
                    <w:gridCol w:w="9750"/>
                  </w:tblGrid>
                  <w:tr w:rsidR="00317D57" w:rsidRPr="00317D57">
                    <w:trPr>
                      <w:tblCellSpacing w:w="0" w:type="dxa"/>
                    </w:trPr>
                    <w:tc>
                      <w:tcPr>
                        <w:tcW w:w="0" w:type="auto"/>
                        <w:vAlign w:val="center"/>
                        <w:hideMark/>
                      </w:tcPr>
                      <w:p w:rsidR="00317D57" w:rsidRPr="00317D57" w:rsidRDefault="00317D57" w:rsidP="00317D57">
                        <w:pPr>
                          <w:widowControl/>
                          <w:spacing w:before="100" w:beforeAutospacing="1" w:after="180" w:line="432" w:lineRule="auto"/>
                          <w:jc w:val="center"/>
                          <w:rPr>
                            <w:rFonts w:ascii="宋体" w:hAnsi="宋体" w:cs="宋体"/>
                            <w:kern w:val="0"/>
                            <w:sz w:val="24"/>
                          </w:rPr>
                        </w:pPr>
                        <w:r w:rsidRPr="00317D57">
                          <w:rPr>
                            <w:rFonts w:ascii="宋体" w:hAnsi="宋体" w:cs="宋体"/>
                            <w:b/>
                            <w:bCs/>
                            <w:kern w:val="0"/>
                            <w:sz w:val="36"/>
                            <w:szCs w:val="36"/>
                          </w:rPr>
                          <w:t>国务院关于机关事业单位工作人员</w:t>
                        </w:r>
                        <w:r w:rsidRPr="00317D57">
                          <w:rPr>
                            <w:rFonts w:ascii="宋体" w:hAnsi="宋体" w:cs="宋体"/>
                            <w:b/>
                            <w:bCs/>
                            <w:kern w:val="0"/>
                            <w:sz w:val="36"/>
                            <w:szCs w:val="36"/>
                          </w:rPr>
                          <w:br/>
                          <w:t>养老保险制度改革的决定</w:t>
                        </w:r>
                        <w:r w:rsidRPr="00317D57">
                          <w:rPr>
                            <w:rFonts w:ascii="宋体" w:hAnsi="宋体" w:cs="宋体"/>
                            <w:b/>
                            <w:bCs/>
                            <w:kern w:val="0"/>
                            <w:sz w:val="36"/>
                            <w:szCs w:val="36"/>
                          </w:rPr>
                          <w:br/>
                        </w:r>
                        <w:r w:rsidRPr="00317D57">
                          <w:rPr>
                            <w:rFonts w:ascii="楷体_GB2312" w:eastAsia="楷体_GB2312" w:hAnsi="宋体" w:cs="宋体"/>
                            <w:kern w:val="0"/>
                            <w:sz w:val="24"/>
                          </w:rPr>
                          <w:t>国发〔2015〕2号</w:t>
                        </w:r>
                      </w:p>
                      <w:p w:rsidR="00317D57" w:rsidRPr="00317D57" w:rsidRDefault="00317D57" w:rsidP="00317D57">
                        <w:pPr>
                          <w:widowControl/>
                          <w:spacing w:before="100" w:beforeAutospacing="1" w:after="180" w:line="432" w:lineRule="auto"/>
                          <w:jc w:val="left"/>
                          <w:rPr>
                            <w:rFonts w:ascii="宋体" w:hAnsi="宋体" w:cs="宋体"/>
                            <w:kern w:val="0"/>
                            <w:sz w:val="24"/>
                          </w:rPr>
                        </w:pPr>
                        <w:r w:rsidRPr="00317D57">
                          <w:rPr>
                            <w:rFonts w:ascii="宋体" w:hAnsi="宋体" w:cs="宋体"/>
                            <w:kern w:val="0"/>
                            <w:sz w:val="24"/>
                          </w:rPr>
                          <w:t>各省、自治区、直辖市人民政府，国务院各部委、各直属机构：</w:t>
                        </w:r>
                        <w:r w:rsidRPr="00317D57">
                          <w:rPr>
                            <w:rFonts w:ascii="宋体" w:hAnsi="宋体" w:cs="宋体"/>
                            <w:kern w:val="0"/>
                            <w:sz w:val="24"/>
                          </w:rPr>
                          <w:br/>
                          <w:t xml:space="preserve">　　按照党的十八大和十八届三中、四中全会精神，根据《中华人民共和国社会保险法》等相关规定，为统筹城乡社会保障体系建设，建立更加公平、可持续的养老保险制度，国务院决定改革机关事业单位工作人员养老保险制度。</w:t>
                        </w:r>
                        <w:r w:rsidRPr="00317D57">
                          <w:rPr>
                            <w:rFonts w:ascii="宋体" w:hAnsi="宋体" w:cs="宋体"/>
                            <w:kern w:val="0"/>
                            <w:sz w:val="24"/>
                          </w:rPr>
                          <w:br/>
                          <w:t xml:space="preserve">　　</w:t>
                        </w:r>
                        <w:r w:rsidRPr="00317D57">
                          <w:rPr>
                            <w:rFonts w:ascii="宋体" w:hAnsi="宋体" w:cs="宋体"/>
                            <w:b/>
                            <w:bCs/>
                            <w:kern w:val="0"/>
                            <w:sz w:val="24"/>
                          </w:rPr>
                          <w:t>一、改革的目标和基本原则。</w:t>
                        </w:r>
                        <w:r w:rsidRPr="00317D57">
                          <w:rPr>
                            <w:rFonts w:ascii="宋体" w:hAnsi="宋体" w:cs="宋体"/>
                            <w:kern w:val="0"/>
                            <w:sz w:val="24"/>
                          </w:rPr>
                          <w:t>以邓小平理论、“三个代表”重要思想、科学发展观为指导，深入贯彻党的十八大、十八届三中、四中全会精神和党中央、国务院决策部署，坚持全覆盖、保基本、多层次、可持续方针，以增强公平性、适应流动性、保证可持续性为重点，改革现行机关事业单位工作人员退休保障制度，逐步建立独立于机关事业单位之外、资金来源多渠道、保障方式多层次、管理服务社会化的养老保险体系。改革应遵循以下基本原则：</w:t>
                        </w:r>
                        <w:r w:rsidRPr="00317D57">
                          <w:rPr>
                            <w:rFonts w:ascii="宋体" w:hAnsi="宋体" w:cs="宋体"/>
                            <w:kern w:val="0"/>
                            <w:sz w:val="24"/>
                          </w:rPr>
                          <w:br/>
                          <w:t xml:space="preserve">　　（一）公平与效率相结合。既体现国民收入再分配更加注重公平的要求，又体现工作人员之间贡献大小差别，建立待遇与缴费挂钩机制，多缴多得、</w:t>
                        </w:r>
                        <w:proofErr w:type="gramStart"/>
                        <w:r w:rsidRPr="00317D57">
                          <w:rPr>
                            <w:rFonts w:ascii="宋体" w:hAnsi="宋体" w:cs="宋体"/>
                            <w:kern w:val="0"/>
                            <w:sz w:val="24"/>
                          </w:rPr>
                          <w:t>长缴多得</w:t>
                        </w:r>
                        <w:proofErr w:type="gramEnd"/>
                        <w:r w:rsidRPr="00317D57">
                          <w:rPr>
                            <w:rFonts w:ascii="宋体" w:hAnsi="宋体" w:cs="宋体"/>
                            <w:kern w:val="0"/>
                            <w:sz w:val="24"/>
                          </w:rPr>
                          <w:t>，提高单位和职工参保缴费的积极性。</w:t>
                        </w:r>
                        <w:r w:rsidRPr="00317D57">
                          <w:rPr>
                            <w:rFonts w:ascii="宋体" w:hAnsi="宋体" w:cs="宋体"/>
                            <w:kern w:val="0"/>
                            <w:sz w:val="24"/>
                          </w:rPr>
                          <w:br/>
                          <w:t xml:space="preserve">　　（二）权利与义务相对应。机关事业单位工作人员要按照国家规定切实履行缴费义务，享受相应的养老保险待遇，形成责任共担、统筹互济的养老保险筹资和分配机制。</w:t>
                        </w:r>
                        <w:r w:rsidRPr="00317D57">
                          <w:rPr>
                            <w:rFonts w:ascii="宋体" w:hAnsi="宋体" w:cs="宋体"/>
                            <w:kern w:val="0"/>
                            <w:sz w:val="24"/>
                          </w:rPr>
                          <w:br/>
                        </w:r>
                        <w:r w:rsidRPr="00317D57">
                          <w:rPr>
                            <w:rFonts w:ascii="宋体" w:hAnsi="宋体" w:cs="宋体"/>
                            <w:kern w:val="0"/>
                            <w:sz w:val="24"/>
                          </w:rPr>
                          <w:lastRenderedPageBreak/>
                          <w:t xml:space="preserve">　　（三）保障水平与经济发展水平相适应。立足社会主义初级阶段基本国情，合理确定基本养老保险筹资和待遇水平，切实保障退休人员基本生活，促进基本养老保险制度可持续发展。</w:t>
                        </w:r>
                        <w:r w:rsidRPr="00317D57">
                          <w:rPr>
                            <w:rFonts w:ascii="宋体" w:hAnsi="宋体" w:cs="宋体"/>
                            <w:kern w:val="0"/>
                            <w:sz w:val="24"/>
                          </w:rPr>
                          <w:br/>
                          <w:t xml:space="preserve">　　（四）改革前与改革后待遇水平相衔接。立足增量改革，实现平稳过渡。对改革前已退休人员，保持现有待遇并参加今后的待遇调整；对改革后参加工作的人员，通过建立新机制，实现待遇的合理衔接；对改革前参加工作、改革后退休的人员，通过实行过渡性措施，保持待遇水平不降低。</w:t>
                        </w:r>
                        <w:r w:rsidRPr="00317D57">
                          <w:rPr>
                            <w:rFonts w:ascii="宋体" w:hAnsi="宋体" w:cs="宋体"/>
                            <w:kern w:val="0"/>
                            <w:sz w:val="24"/>
                          </w:rPr>
                          <w:br/>
                          <w:t xml:space="preserve">　　（五）解决突出矛盾与保证可持续发展相促进。统筹规划、合理安排、量力而行，准确把握改革的节奏和力度，先行解决目前城镇职工基本养老保险制度不统一的突出矛盾，再结合养老保险顶层设计，坚持精算平衡，逐步完善相关制度和政策。</w:t>
                        </w:r>
                        <w:r w:rsidRPr="00317D57">
                          <w:rPr>
                            <w:rFonts w:ascii="宋体" w:hAnsi="宋体" w:cs="宋体"/>
                            <w:kern w:val="0"/>
                            <w:sz w:val="24"/>
                          </w:rPr>
                          <w:br/>
                          <w:t xml:space="preserve">　　</w:t>
                        </w:r>
                        <w:r w:rsidRPr="00317D57">
                          <w:rPr>
                            <w:rFonts w:ascii="宋体" w:hAnsi="宋体" w:cs="宋体"/>
                            <w:b/>
                            <w:bCs/>
                            <w:kern w:val="0"/>
                            <w:sz w:val="24"/>
                          </w:rPr>
                          <w:t>二、改革的范围。</w:t>
                        </w:r>
                        <w:r w:rsidRPr="00317D57">
                          <w:rPr>
                            <w:rFonts w:ascii="宋体" w:hAnsi="宋体" w:cs="宋体"/>
                            <w:kern w:val="0"/>
                            <w:sz w:val="24"/>
                          </w:rPr>
                          <w:t>本决定适用于按照公务员法管理的单位、参照公务员法管理的机关（单位）、事业单位及其编制内的工作人员。</w:t>
                        </w:r>
                        <w:r w:rsidRPr="00317D57">
                          <w:rPr>
                            <w:rFonts w:ascii="宋体" w:hAnsi="宋体" w:cs="宋体"/>
                            <w:kern w:val="0"/>
                            <w:sz w:val="24"/>
                          </w:rPr>
                          <w:br/>
                          <w:t xml:space="preserve">　　</w:t>
                        </w:r>
                        <w:r w:rsidRPr="00317D57">
                          <w:rPr>
                            <w:rFonts w:ascii="宋体" w:hAnsi="宋体" w:cs="宋体"/>
                            <w:b/>
                            <w:bCs/>
                            <w:kern w:val="0"/>
                            <w:sz w:val="24"/>
                          </w:rPr>
                          <w:t>三、实行社会统筹与个人账户相结合的基本养老保险制度。</w:t>
                        </w:r>
                        <w:r w:rsidRPr="00317D57">
                          <w:rPr>
                            <w:rFonts w:ascii="宋体" w:hAnsi="宋体" w:cs="宋体"/>
                            <w:kern w:val="0"/>
                            <w:sz w:val="24"/>
                          </w:rPr>
                          <w:t>基本养老保险费由单位和个人共同负担。单位缴纳基本养老保险费（以下简称单位缴费）的比例为本单位工资总额的20%，个人缴纳基本养老保险费（以下简称个人缴费）的比例为本人缴费工资的8%，由单位代扣。按本人缴费工资8%的数额建立基本养老保险个人账户，全部由个人缴费形成。个人工资超过当地上年度在岗职工平均工资300%以上的部分，不计入个人缴费工资基数；低于当地上年度在岗职工平均工资60%的，按当地在岗职工平均工资的60%计算个人缴费工资基数。</w:t>
                        </w:r>
                        <w:r w:rsidRPr="00317D57">
                          <w:rPr>
                            <w:rFonts w:ascii="宋体" w:hAnsi="宋体" w:cs="宋体"/>
                            <w:kern w:val="0"/>
                            <w:sz w:val="24"/>
                          </w:rPr>
                          <w:br/>
                          <w:t xml:space="preserve">　　个人账户储存额只用于工作人员养老，不得提前支取，每年按照国家统一公布的记账利率计算利息，免征利息税。参保人员死亡的，个人账户余额可以依法继承。</w:t>
                        </w:r>
                        <w:r w:rsidRPr="00317D57">
                          <w:rPr>
                            <w:rFonts w:ascii="宋体" w:hAnsi="宋体" w:cs="宋体"/>
                            <w:kern w:val="0"/>
                            <w:sz w:val="24"/>
                          </w:rPr>
                          <w:br/>
                          <w:t xml:space="preserve">　　</w:t>
                        </w:r>
                        <w:r w:rsidRPr="00317D57">
                          <w:rPr>
                            <w:rFonts w:ascii="宋体" w:hAnsi="宋体" w:cs="宋体"/>
                            <w:b/>
                            <w:bCs/>
                            <w:kern w:val="0"/>
                            <w:sz w:val="24"/>
                          </w:rPr>
                          <w:t>四、改革基本养老金计发办法。</w:t>
                        </w:r>
                        <w:r w:rsidRPr="00317D57">
                          <w:rPr>
                            <w:rFonts w:ascii="宋体" w:hAnsi="宋体" w:cs="宋体"/>
                            <w:kern w:val="0"/>
                            <w:sz w:val="24"/>
                          </w:rPr>
                          <w:t>本决定实施后参加工作、个人缴费年限累计满15年的人员，退休后按月发给基本养老金。基本养老金由基础养老金和个人账户养老金组成。退休时的基础养老金月标准以当地上年度在岗职工月平均工资和本人指数化月平均缴费工资的平均值为基数，缴费每满1年发给1%。个人账户养老金月标准为个人账户储存额除以计发月数，计发月数根据本人退休时城镇人口平均预期寿命、本人退休年龄、利息等因素确定（详见附件）。</w:t>
                        </w:r>
                        <w:r w:rsidRPr="00317D57">
                          <w:rPr>
                            <w:rFonts w:ascii="宋体" w:hAnsi="宋体" w:cs="宋体"/>
                            <w:kern w:val="0"/>
                            <w:sz w:val="24"/>
                          </w:rPr>
                          <w:br/>
                        </w:r>
                        <w:r w:rsidRPr="00317D57">
                          <w:rPr>
                            <w:rFonts w:ascii="宋体" w:hAnsi="宋体" w:cs="宋体"/>
                            <w:kern w:val="0"/>
                            <w:sz w:val="24"/>
                          </w:rPr>
                          <w:lastRenderedPageBreak/>
                          <w:t xml:space="preserve">　　本决定实施前参加工作、实施后退休且缴费年限（含视同缴费年限，下同）累计满15年的人员，按照合理衔接、平稳过渡的原则，在发给基础养老金和个人账户养老金的基础上，再依据视同缴费年限长短发给过渡性养老金。具体办法由人力资源社会保障部会同有关部门制定并指导实施。</w:t>
                        </w:r>
                        <w:r w:rsidRPr="00317D57">
                          <w:rPr>
                            <w:rFonts w:ascii="宋体" w:hAnsi="宋体" w:cs="宋体"/>
                            <w:kern w:val="0"/>
                            <w:sz w:val="24"/>
                          </w:rPr>
                          <w:br/>
                          <w:t xml:space="preserve">　　本决定实施后达到退休年龄但个人缴费年限累计不满15年的人员，其基本养老保险关系处理和基本养老金计发比照《实施〈中华人民共和国社会保险法〉若干规定》（人力资源社会保障部令第13号）执行。</w:t>
                        </w:r>
                        <w:r w:rsidRPr="00317D57">
                          <w:rPr>
                            <w:rFonts w:ascii="宋体" w:hAnsi="宋体" w:cs="宋体"/>
                            <w:kern w:val="0"/>
                            <w:sz w:val="24"/>
                          </w:rPr>
                          <w:br/>
                          <w:t xml:space="preserve">　　本决定实施前已经退休的人员，继续按照国家规定的原待遇标准发放基本养老金，同时执行基本养老金调整办法。</w:t>
                        </w:r>
                        <w:r w:rsidRPr="00317D57">
                          <w:rPr>
                            <w:rFonts w:ascii="宋体" w:hAnsi="宋体" w:cs="宋体"/>
                            <w:kern w:val="0"/>
                            <w:sz w:val="24"/>
                          </w:rPr>
                          <w:br/>
                          <w:t xml:space="preserve">　　机关事业单位离休人员仍按照国家统一规定发给离休费，并调整相关待遇。</w:t>
                        </w:r>
                        <w:r w:rsidRPr="00317D57">
                          <w:rPr>
                            <w:rFonts w:ascii="宋体" w:hAnsi="宋体" w:cs="宋体"/>
                            <w:kern w:val="0"/>
                            <w:sz w:val="24"/>
                          </w:rPr>
                          <w:br/>
                          <w:t xml:space="preserve">　　</w:t>
                        </w:r>
                        <w:r w:rsidRPr="00317D57">
                          <w:rPr>
                            <w:rFonts w:ascii="宋体" w:hAnsi="宋体" w:cs="宋体"/>
                            <w:b/>
                            <w:bCs/>
                            <w:kern w:val="0"/>
                            <w:sz w:val="24"/>
                          </w:rPr>
                          <w:t>五、建立基本养老金正常调整机制。</w:t>
                        </w:r>
                        <w:r w:rsidRPr="00317D57">
                          <w:rPr>
                            <w:rFonts w:ascii="宋体" w:hAnsi="宋体" w:cs="宋体"/>
                            <w:kern w:val="0"/>
                            <w:sz w:val="24"/>
                          </w:rPr>
                          <w:t>根据职工工资增长和物价变动等情况，统筹安排机关事业单位和企业退休人员的基本养老金调整，逐步建立兼顾各类人员的养老保险待遇正常调整机制，分享经济社会发展成果，保障退休人员基本生活。</w:t>
                        </w:r>
                        <w:r w:rsidRPr="00317D57">
                          <w:rPr>
                            <w:rFonts w:ascii="宋体" w:hAnsi="宋体" w:cs="宋体"/>
                            <w:kern w:val="0"/>
                            <w:sz w:val="24"/>
                          </w:rPr>
                          <w:br/>
                          <w:t xml:space="preserve">　　</w:t>
                        </w:r>
                        <w:r w:rsidRPr="00317D57">
                          <w:rPr>
                            <w:rFonts w:ascii="宋体" w:hAnsi="宋体" w:cs="宋体"/>
                            <w:b/>
                            <w:bCs/>
                            <w:kern w:val="0"/>
                            <w:sz w:val="24"/>
                          </w:rPr>
                          <w:t>六、加强基金管理和监督。</w:t>
                        </w:r>
                        <w:r w:rsidRPr="00317D57">
                          <w:rPr>
                            <w:rFonts w:ascii="宋体" w:hAnsi="宋体" w:cs="宋体"/>
                            <w:kern w:val="0"/>
                            <w:sz w:val="24"/>
                          </w:rPr>
                          <w:t>建立健全基本养老保险基金省级统筹；暂不具备条件的，可先实行省级基金调剂制度，明确各级人民政府征收、管理和支付的责任。机关事业单位基本养老保险基金单独建账，与企业职工基本养老保险基金分别管理使用。基金实行严格的预算管理，纳入社会保障基金财政专户，实行收支两条线管理，专款专用。依法加强基金监管，确保基金安全。</w:t>
                        </w:r>
                        <w:r w:rsidRPr="00317D57">
                          <w:rPr>
                            <w:rFonts w:ascii="宋体" w:hAnsi="宋体" w:cs="宋体"/>
                            <w:kern w:val="0"/>
                            <w:sz w:val="24"/>
                          </w:rPr>
                          <w:br/>
                          <w:t xml:space="preserve">　　</w:t>
                        </w:r>
                        <w:r w:rsidRPr="00317D57">
                          <w:rPr>
                            <w:rFonts w:ascii="宋体" w:hAnsi="宋体" w:cs="宋体"/>
                            <w:b/>
                            <w:bCs/>
                            <w:kern w:val="0"/>
                            <w:sz w:val="24"/>
                          </w:rPr>
                          <w:t>七、做好养老保险关系</w:t>
                        </w:r>
                        <w:bookmarkStart w:id="0" w:name="_GoBack"/>
                        <w:r w:rsidRPr="00317D57">
                          <w:rPr>
                            <w:rFonts w:ascii="宋体" w:hAnsi="宋体" w:cs="宋体"/>
                            <w:b/>
                            <w:bCs/>
                            <w:kern w:val="0"/>
                            <w:sz w:val="24"/>
                          </w:rPr>
                          <w:t>转移</w:t>
                        </w:r>
                        <w:bookmarkEnd w:id="0"/>
                        <w:r w:rsidRPr="00317D57">
                          <w:rPr>
                            <w:rFonts w:ascii="宋体" w:hAnsi="宋体" w:cs="宋体"/>
                            <w:b/>
                            <w:bCs/>
                            <w:kern w:val="0"/>
                            <w:sz w:val="24"/>
                          </w:rPr>
                          <w:t>接续工作。</w:t>
                        </w:r>
                        <w:r w:rsidRPr="00317D57">
                          <w:rPr>
                            <w:rFonts w:ascii="宋体" w:hAnsi="宋体" w:cs="宋体"/>
                            <w:kern w:val="0"/>
                            <w:sz w:val="24"/>
                          </w:rPr>
                          <w:t>参保人员在同一统筹范围内的机关事业单位之间流动，只转移养老保险关系，不转移基金。参</w:t>
                        </w:r>
                        <w:proofErr w:type="gramStart"/>
                        <w:r w:rsidRPr="00317D57">
                          <w:rPr>
                            <w:rFonts w:ascii="宋体" w:hAnsi="宋体" w:cs="宋体"/>
                            <w:kern w:val="0"/>
                            <w:sz w:val="24"/>
                          </w:rPr>
                          <w:t>保人员跨统筹</w:t>
                        </w:r>
                        <w:proofErr w:type="gramEnd"/>
                        <w:r w:rsidRPr="00317D57">
                          <w:rPr>
                            <w:rFonts w:ascii="宋体" w:hAnsi="宋体" w:cs="宋体"/>
                            <w:kern w:val="0"/>
                            <w:sz w:val="24"/>
                          </w:rPr>
                          <w:t>范围流动或在机关事业单位与企业之间流动，在转移养老保险关系的同时，基本养老保险个人账户储存额随同转移，并以本人改革后各年度实际缴费工资为基数，按12%的总和转移基金，参保缴费不足1年的，按实际缴费月数计算转移基金。转移后基本养老保险缴费年限（含视同缴费年限）、个人账户储存额累计计算。</w:t>
                        </w:r>
                        <w:r w:rsidRPr="00317D57">
                          <w:rPr>
                            <w:rFonts w:ascii="宋体" w:hAnsi="宋体" w:cs="宋体"/>
                            <w:kern w:val="0"/>
                            <w:sz w:val="24"/>
                          </w:rPr>
                          <w:br/>
                        </w:r>
                        <w:r w:rsidRPr="00317D57">
                          <w:rPr>
                            <w:rFonts w:ascii="宋体" w:hAnsi="宋体" w:cs="宋体"/>
                            <w:kern w:val="0"/>
                            <w:sz w:val="24"/>
                          </w:rPr>
                          <w:lastRenderedPageBreak/>
                          <w:t xml:space="preserve">　　</w:t>
                        </w:r>
                        <w:r w:rsidRPr="00317D57">
                          <w:rPr>
                            <w:rFonts w:ascii="宋体" w:hAnsi="宋体" w:cs="宋体"/>
                            <w:b/>
                            <w:bCs/>
                            <w:kern w:val="0"/>
                            <w:sz w:val="24"/>
                          </w:rPr>
                          <w:t>八、建立职业年金制度。</w:t>
                        </w:r>
                        <w:r w:rsidRPr="00317D57">
                          <w:rPr>
                            <w:rFonts w:ascii="宋体" w:hAnsi="宋体" w:cs="宋体"/>
                            <w:kern w:val="0"/>
                            <w:sz w:val="24"/>
                          </w:rPr>
                          <w:t>机关事业单位在参加基本养老保险的基础上，应当为其工作人员建立职业年金。单位按本单位工资总额的8%缴费，个人按本人缴费工资的4%缴费。工作人员退休后，按月领取职业年金待遇。职业年金的具体办法由人力资源社会保障部、财政部制定。</w:t>
                        </w:r>
                        <w:r w:rsidRPr="00317D57">
                          <w:rPr>
                            <w:rFonts w:ascii="宋体" w:hAnsi="宋体" w:cs="宋体"/>
                            <w:kern w:val="0"/>
                            <w:sz w:val="24"/>
                          </w:rPr>
                          <w:br/>
                          <w:t xml:space="preserve">　　</w:t>
                        </w:r>
                        <w:r w:rsidRPr="00317D57">
                          <w:rPr>
                            <w:rFonts w:ascii="宋体" w:hAnsi="宋体" w:cs="宋体"/>
                            <w:b/>
                            <w:bCs/>
                            <w:kern w:val="0"/>
                            <w:sz w:val="24"/>
                          </w:rPr>
                          <w:t>九、建立健全确保养老金发放的筹资机制。</w:t>
                        </w:r>
                        <w:r w:rsidRPr="00317D57">
                          <w:rPr>
                            <w:rFonts w:ascii="宋体" w:hAnsi="宋体" w:cs="宋体"/>
                            <w:kern w:val="0"/>
                            <w:sz w:val="24"/>
                          </w:rPr>
                          <w:t>机关事业单位及其工作人员应按规定及时足额缴纳养老保险费。各级社会保险征缴机构应切实加强基金征缴，做到应收尽收。各级政府应积极调整和优化财政支出结构，加大社会保障资金投入，确保基本养老金按时足额发放，同时为建立职业年金制度提供相应的经费保障，确保机关事业单位养老保险制度改革平稳推进。</w:t>
                        </w:r>
                        <w:r w:rsidRPr="00317D57">
                          <w:rPr>
                            <w:rFonts w:ascii="宋体" w:hAnsi="宋体" w:cs="宋体"/>
                            <w:kern w:val="0"/>
                            <w:sz w:val="24"/>
                          </w:rPr>
                          <w:br/>
                          <w:t xml:space="preserve">　　</w:t>
                        </w:r>
                        <w:r w:rsidRPr="00317D57">
                          <w:rPr>
                            <w:rFonts w:ascii="宋体" w:hAnsi="宋体" w:cs="宋体"/>
                            <w:b/>
                            <w:bCs/>
                            <w:kern w:val="0"/>
                            <w:sz w:val="24"/>
                          </w:rPr>
                          <w:t>十、逐步实行社会化管理服务。</w:t>
                        </w:r>
                        <w:r w:rsidRPr="00317D57">
                          <w:rPr>
                            <w:rFonts w:ascii="宋体" w:hAnsi="宋体" w:cs="宋体"/>
                            <w:kern w:val="0"/>
                            <w:sz w:val="24"/>
                          </w:rPr>
                          <w:t>提高机关事业单位社会保险社会化管理服务水平，普遍发放全国统一的社会保障卡，实行基本养老金社会化发放。加强街道、社区人力资源社会保障工作平台建设，加快老年服务设施和服务网络建设，为退休人员提供方便快捷的服务。</w:t>
                        </w:r>
                        <w:r w:rsidRPr="00317D57">
                          <w:rPr>
                            <w:rFonts w:ascii="宋体" w:hAnsi="宋体" w:cs="宋体"/>
                            <w:kern w:val="0"/>
                            <w:sz w:val="24"/>
                          </w:rPr>
                          <w:br/>
                          <w:t xml:space="preserve">　　</w:t>
                        </w:r>
                        <w:r w:rsidRPr="00317D57">
                          <w:rPr>
                            <w:rFonts w:ascii="宋体" w:hAnsi="宋体" w:cs="宋体"/>
                            <w:b/>
                            <w:bCs/>
                            <w:kern w:val="0"/>
                            <w:sz w:val="24"/>
                          </w:rPr>
                          <w:t>十一、提高社会保险经办管理水平。</w:t>
                        </w:r>
                        <w:r w:rsidRPr="00317D57">
                          <w:rPr>
                            <w:rFonts w:ascii="宋体" w:hAnsi="宋体" w:cs="宋体"/>
                            <w:kern w:val="0"/>
                            <w:sz w:val="24"/>
                          </w:rPr>
                          <w:t>各地要根据机关事业单位工作人员养老保险制度改革的实际需要，加强社会保险经办机构能力建设，适当充实工作人员，提供必要的经费和服务设施。人力资源社会保障部负责在京中央国家机关及所属事业单位基本养老保险的管理工作，同时集中受托管理其职业年金基金。中央国家机关所属京外单位的基本养老保险实行属地化管理。社会保险经办机构应做好机关事业单位养老保险参保登记、缴费申报、关系转移、待遇核定和支付等工作。要按照国家统一制定的业务经办流程和信息管理系统建设要求，建立健全管理制度，由省级统一集中管理数据资源，实现规范化、信息化和专业化管理，不断提高工作效率和服务质量。</w:t>
                        </w:r>
                        <w:r w:rsidRPr="00317D57">
                          <w:rPr>
                            <w:rFonts w:ascii="宋体" w:hAnsi="宋体" w:cs="宋体"/>
                            <w:kern w:val="0"/>
                            <w:sz w:val="24"/>
                          </w:rPr>
                          <w:br/>
                          <w:t xml:space="preserve">　　</w:t>
                        </w:r>
                        <w:r w:rsidRPr="00317D57">
                          <w:rPr>
                            <w:rFonts w:ascii="宋体" w:hAnsi="宋体" w:cs="宋体"/>
                            <w:b/>
                            <w:bCs/>
                            <w:kern w:val="0"/>
                            <w:sz w:val="24"/>
                          </w:rPr>
                          <w:t>十二、加强组织领导。</w:t>
                        </w:r>
                        <w:r w:rsidRPr="00317D57">
                          <w:rPr>
                            <w:rFonts w:ascii="宋体" w:hAnsi="宋体" w:cs="宋体"/>
                            <w:kern w:val="0"/>
                            <w:sz w:val="24"/>
                          </w:rPr>
                          <w:t>改革机关事业单位工作人员养老保险制度，直接关系广大机关事业单位工作人员的切身利益，是一项涉及面广、政策性强的工作。各地区、各部门要充分认识改革工作的重大意义，切实加强领导，精心组织实施，向机关事业单位工作人员和社会各界准确解读改革的目标和政策，正确引导舆论，确保此项改革顺利进行。各地区、各部门要按照本决定制定具体的实施意见和办法，报人力资源社会保障部、财政部备案后实施。人力资源社会保障部要会同有关部门制定贯彻本决定的实施意见，加强对改革工作的协调和指导，及时研究解</w:t>
                        </w:r>
                        <w:r w:rsidRPr="00317D57">
                          <w:rPr>
                            <w:rFonts w:ascii="宋体" w:hAnsi="宋体" w:cs="宋体"/>
                            <w:kern w:val="0"/>
                            <w:sz w:val="24"/>
                          </w:rPr>
                          <w:lastRenderedPageBreak/>
                          <w:t>决改革中遇到的问题，确保本决定的贯彻实施。</w:t>
                        </w:r>
                        <w:r w:rsidRPr="00317D57">
                          <w:rPr>
                            <w:rFonts w:ascii="宋体" w:hAnsi="宋体" w:cs="宋体"/>
                            <w:kern w:val="0"/>
                            <w:sz w:val="24"/>
                          </w:rPr>
                          <w:br/>
                          <w:t xml:space="preserve">　　本决定自2014年10月1日起实施，已有规定与本决定不一致的，按照本决定执行。</w:t>
                        </w:r>
                      </w:p>
                      <w:p w:rsidR="00317D57" w:rsidRPr="00317D57" w:rsidRDefault="00317D57" w:rsidP="00317D57">
                        <w:pPr>
                          <w:widowControl/>
                          <w:spacing w:before="100" w:beforeAutospacing="1" w:after="180" w:line="432" w:lineRule="auto"/>
                          <w:jc w:val="left"/>
                          <w:rPr>
                            <w:rFonts w:ascii="宋体" w:hAnsi="宋体" w:cs="宋体"/>
                            <w:kern w:val="0"/>
                            <w:sz w:val="24"/>
                          </w:rPr>
                        </w:pPr>
                        <w:r w:rsidRPr="00317D57">
                          <w:rPr>
                            <w:rFonts w:ascii="宋体" w:hAnsi="宋体" w:cs="宋体"/>
                            <w:kern w:val="0"/>
                            <w:sz w:val="24"/>
                          </w:rPr>
                          <w:t xml:space="preserve">　　附件：个人账户养老金计发月数表</w:t>
                        </w:r>
                      </w:p>
                      <w:p w:rsidR="00317D57" w:rsidRPr="00317D57" w:rsidRDefault="00317D57" w:rsidP="00317D57">
                        <w:pPr>
                          <w:widowControl/>
                          <w:spacing w:before="100" w:beforeAutospacing="1" w:after="180" w:line="432" w:lineRule="auto"/>
                          <w:jc w:val="left"/>
                          <w:rPr>
                            <w:rFonts w:ascii="宋体" w:hAnsi="宋体" w:cs="宋体"/>
                            <w:kern w:val="0"/>
                            <w:sz w:val="24"/>
                          </w:rPr>
                        </w:pPr>
                        <w:r w:rsidRPr="00317D57">
                          <w:rPr>
                            <w:rFonts w:ascii="宋体" w:hAnsi="宋体" w:cs="宋体"/>
                            <w:kern w:val="0"/>
                            <w:sz w:val="24"/>
                          </w:rPr>
                          <w:t xml:space="preserve">　　　　　　　　　　　　　　　　　　　　　　　　　　　　　　 国务院</w:t>
                        </w:r>
                        <w:r w:rsidRPr="00317D57">
                          <w:rPr>
                            <w:rFonts w:ascii="宋体" w:hAnsi="宋体" w:cs="宋体"/>
                            <w:kern w:val="0"/>
                            <w:sz w:val="24"/>
                          </w:rPr>
                          <w:br/>
                        </w:r>
                        <w:proofErr w:type="gramStart"/>
                        <w:r w:rsidRPr="00317D57">
                          <w:rPr>
                            <w:rFonts w:ascii="宋体" w:hAnsi="宋体" w:cs="宋体"/>
                            <w:kern w:val="0"/>
                            <w:sz w:val="24"/>
                          </w:rPr>
                          <w:t xml:space="preserve">　　　　　　　　　　　　　　　　　　　　　　　　　　　</w:t>
                        </w:r>
                        <w:proofErr w:type="gramEnd"/>
                        <w:r w:rsidRPr="00317D57">
                          <w:rPr>
                            <w:rFonts w:ascii="宋体" w:hAnsi="宋体" w:cs="宋体"/>
                            <w:kern w:val="0"/>
                            <w:sz w:val="24"/>
                          </w:rPr>
                          <w:t xml:space="preserve"> 　 2015年1月3日</w:t>
                        </w:r>
                      </w:p>
                      <w:p w:rsidR="00317D57" w:rsidRPr="00317D57" w:rsidRDefault="00317D57" w:rsidP="00317D57">
                        <w:pPr>
                          <w:widowControl/>
                          <w:spacing w:before="100" w:beforeAutospacing="1" w:after="180" w:line="432" w:lineRule="auto"/>
                          <w:jc w:val="left"/>
                          <w:rPr>
                            <w:rFonts w:ascii="宋体" w:hAnsi="宋体" w:cs="宋体"/>
                            <w:kern w:val="0"/>
                            <w:sz w:val="24"/>
                          </w:rPr>
                        </w:pPr>
                        <w:r w:rsidRPr="00317D57">
                          <w:rPr>
                            <w:rFonts w:ascii="宋体" w:hAnsi="宋体" w:cs="宋体"/>
                            <w:kern w:val="0"/>
                            <w:sz w:val="24"/>
                          </w:rPr>
                          <w:t xml:space="preserve">　　（此件公开发布）</w:t>
                        </w:r>
                      </w:p>
                      <w:p w:rsidR="00317D57" w:rsidRPr="00317D57" w:rsidRDefault="00317D57" w:rsidP="00317D57">
                        <w:pPr>
                          <w:widowControl/>
                          <w:spacing w:before="100" w:beforeAutospacing="1" w:after="180" w:line="432" w:lineRule="auto"/>
                          <w:jc w:val="left"/>
                          <w:rPr>
                            <w:rFonts w:ascii="宋体" w:hAnsi="宋体" w:cs="宋体"/>
                            <w:kern w:val="0"/>
                            <w:sz w:val="24"/>
                          </w:rPr>
                        </w:pPr>
                        <w:r w:rsidRPr="00317D57">
                          <w:rPr>
                            <w:rFonts w:ascii="宋体" w:hAnsi="宋体" w:cs="宋体"/>
                            <w:kern w:val="0"/>
                            <w:sz w:val="24"/>
                          </w:rPr>
                          <w:t> </w:t>
                        </w:r>
                      </w:p>
                      <w:p w:rsidR="00317D57" w:rsidRPr="00317D57" w:rsidRDefault="00317D57" w:rsidP="00317D57">
                        <w:pPr>
                          <w:widowControl/>
                          <w:spacing w:before="100" w:beforeAutospacing="1" w:after="180" w:line="432" w:lineRule="auto"/>
                          <w:jc w:val="left"/>
                          <w:rPr>
                            <w:rFonts w:ascii="宋体" w:hAnsi="宋体" w:cs="宋体"/>
                            <w:kern w:val="0"/>
                            <w:sz w:val="24"/>
                          </w:rPr>
                        </w:pPr>
                        <w:r w:rsidRPr="00317D57">
                          <w:rPr>
                            <w:rFonts w:ascii="宋体" w:hAnsi="宋体" w:cs="宋体"/>
                            <w:b/>
                            <w:bCs/>
                            <w:kern w:val="0"/>
                            <w:sz w:val="24"/>
                          </w:rPr>
                          <w:t>附件</w:t>
                        </w:r>
                      </w:p>
                      <w:p w:rsidR="00317D57" w:rsidRPr="00317D57" w:rsidRDefault="00317D57" w:rsidP="00317D57">
                        <w:pPr>
                          <w:widowControl/>
                          <w:spacing w:before="100" w:beforeAutospacing="1" w:after="180" w:line="432" w:lineRule="auto"/>
                          <w:jc w:val="center"/>
                          <w:rPr>
                            <w:rFonts w:ascii="宋体" w:hAnsi="宋体" w:cs="宋体"/>
                            <w:kern w:val="0"/>
                            <w:sz w:val="24"/>
                          </w:rPr>
                        </w:pPr>
                        <w:r w:rsidRPr="00317D57">
                          <w:rPr>
                            <w:rFonts w:ascii="宋体" w:hAnsi="宋体" w:cs="宋体"/>
                            <w:b/>
                            <w:bCs/>
                            <w:kern w:val="0"/>
                            <w:sz w:val="36"/>
                            <w:szCs w:val="36"/>
                          </w:rPr>
                          <w:t>个人账户养老金计发月数表</w:t>
                        </w:r>
                      </w:p>
                      <w:tbl>
                        <w:tblPr>
                          <w:tblW w:w="6750" w:type="dxa"/>
                          <w:jc w:val="center"/>
                          <w:tblBorders>
                            <w:top w:val="single" w:sz="6" w:space="0" w:color="0A0A0A"/>
                            <w:left w:val="single" w:sz="6" w:space="0" w:color="0A0A0A"/>
                            <w:bottom w:val="single" w:sz="6" w:space="0" w:color="0A0A0A"/>
                            <w:right w:val="single" w:sz="6" w:space="0" w:color="0A0A0A"/>
                          </w:tblBorders>
                          <w:shd w:val="clear" w:color="auto" w:fill="FFFFFF"/>
                          <w:tblCellMar>
                            <w:top w:w="30" w:type="dxa"/>
                            <w:left w:w="30" w:type="dxa"/>
                            <w:bottom w:w="30" w:type="dxa"/>
                            <w:right w:w="30" w:type="dxa"/>
                          </w:tblCellMar>
                          <w:tblLook w:val="04A0" w:firstRow="1" w:lastRow="0" w:firstColumn="1" w:lastColumn="0" w:noHBand="0" w:noVBand="1"/>
                        </w:tblPr>
                        <w:tblGrid>
                          <w:gridCol w:w="1687"/>
                          <w:gridCol w:w="1687"/>
                          <w:gridCol w:w="1688"/>
                          <w:gridCol w:w="1688"/>
                        </w:tblGrid>
                        <w:tr w:rsidR="00317D57" w:rsidRPr="00317D57">
                          <w:trPr>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317D57" w:rsidRPr="00317D57" w:rsidRDefault="00317D57" w:rsidP="00317D57">
                              <w:pPr>
                                <w:widowControl/>
                                <w:spacing w:before="100" w:beforeAutospacing="1" w:after="180"/>
                                <w:jc w:val="center"/>
                                <w:rPr>
                                  <w:rFonts w:ascii="宋体" w:hAnsi="宋体" w:cs="宋体"/>
                                  <w:kern w:val="0"/>
                                  <w:sz w:val="24"/>
                                </w:rPr>
                              </w:pPr>
                              <w:r w:rsidRPr="00317D57">
                                <w:rPr>
                                  <w:rFonts w:ascii="宋体" w:hAnsi="宋体" w:cs="宋体"/>
                                  <w:b/>
                                  <w:bCs/>
                                  <w:kern w:val="0"/>
                                  <w:sz w:val="20"/>
                                  <w:szCs w:val="20"/>
                                </w:rPr>
                                <w:t>退休年龄</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317D57" w:rsidRPr="00317D57" w:rsidRDefault="00317D57" w:rsidP="00317D57">
                              <w:pPr>
                                <w:widowControl/>
                                <w:spacing w:before="100" w:beforeAutospacing="1" w:after="180"/>
                                <w:jc w:val="center"/>
                                <w:rPr>
                                  <w:rFonts w:ascii="宋体" w:hAnsi="宋体" w:cs="宋体"/>
                                  <w:kern w:val="0"/>
                                  <w:sz w:val="24"/>
                                </w:rPr>
                              </w:pPr>
                              <w:r w:rsidRPr="00317D57">
                                <w:rPr>
                                  <w:rFonts w:ascii="宋体" w:hAnsi="宋体" w:cs="宋体"/>
                                  <w:b/>
                                  <w:bCs/>
                                  <w:kern w:val="0"/>
                                  <w:sz w:val="20"/>
                                  <w:szCs w:val="20"/>
                                </w:rPr>
                                <w:t>计发月数</w:t>
                              </w:r>
                              <w:r w:rsidRPr="00317D57">
                                <w:rPr>
                                  <w:rFonts w:ascii="宋体" w:hAnsi="宋体" w:cs="宋体"/>
                                  <w:b/>
                                  <w:bCs/>
                                  <w:kern w:val="0"/>
                                  <w:sz w:val="24"/>
                                </w:rPr>
                                <w:t xml:space="preserve">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317D57" w:rsidRPr="00317D57" w:rsidRDefault="00317D57" w:rsidP="00317D57">
                              <w:pPr>
                                <w:widowControl/>
                                <w:spacing w:before="100" w:beforeAutospacing="1" w:after="180"/>
                                <w:jc w:val="center"/>
                                <w:rPr>
                                  <w:rFonts w:ascii="宋体" w:hAnsi="宋体" w:cs="宋体"/>
                                  <w:kern w:val="0"/>
                                  <w:sz w:val="24"/>
                                </w:rPr>
                              </w:pPr>
                              <w:r w:rsidRPr="00317D57">
                                <w:rPr>
                                  <w:rFonts w:ascii="宋体" w:hAnsi="宋体" w:cs="宋体"/>
                                  <w:b/>
                                  <w:bCs/>
                                  <w:kern w:val="0"/>
                                  <w:sz w:val="20"/>
                                  <w:szCs w:val="20"/>
                                </w:rPr>
                                <w:t>退休年龄</w:t>
                              </w:r>
                              <w:r w:rsidRPr="00317D57">
                                <w:rPr>
                                  <w:rFonts w:ascii="宋体" w:hAnsi="宋体" w:cs="宋体"/>
                                  <w:b/>
                                  <w:bCs/>
                                  <w:kern w:val="0"/>
                                  <w:sz w:val="24"/>
                                </w:rPr>
                                <w:t xml:space="preserve">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317D57" w:rsidRPr="00317D57" w:rsidRDefault="00317D57" w:rsidP="00317D57">
                              <w:pPr>
                                <w:widowControl/>
                                <w:spacing w:before="100" w:beforeAutospacing="1" w:after="180"/>
                                <w:jc w:val="center"/>
                                <w:rPr>
                                  <w:rFonts w:ascii="宋体" w:hAnsi="宋体" w:cs="宋体"/>
                                  <w:kern w:val="0"/>
                                  <w:sz w:val="24"/>
                                </w:rPr>
                              </w:pPr>
                              <w:r w:rsidRPr="00317D57">
                                <w:rPr>
                                  <w:rFonts w:ascii="宋体" w:hAnsi="宋体" w:cs="宋体"/>
                                  <w:b/>
                                  <w:bCs/>
                                  <w:kern w:val="0"/>
                                  <w:sz w:val="20"/>
                                  <w:szCs w:val="20"/>
                                </w:rPr>
                                <w:t>计发月数</w:t>
                              </w:r>
                            </w:p>
                          </w:tc>
                        </w:tr>
                        <w:tr w:rsidR="00317D57" w:rsidRPr="00317D57">
                          <w:trPr>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317D57" w:rsidRPr="00317D57" w:rsidRDefault="00317D57" w:rsidP="00317D57">
                              <w:pPr>
                                <w:widowControl/>
                                <w:spacing w:before="100" w:beforeAutospacing="1" w:after="180"/>
                                <w:jc w:val="center"/>
                                <w:rPr>
                                  <w:rFonts w:ascii="宋体" w:hAnsi="宋体" w:cs="宋体"/>
                                  <w:kern w:val="0"/>
                                  <w:sz w:val="24"/>
                                </w:rPr>
                              </w:pPr>
                              <w:r w:rsidRPr="00317D57">
                                <w:rPr>
                                  <w:rFonts w:ascii="宋体" w:hAnsi="宋体" w:cs="宋体"/>
                                  <w:kern w:val="0"/>
                                  <w:sz w:val="20"/>
                                  <w:szCs w:val="20"/>
                                </w:rPr>
                                <w:t>40</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317D57" w:rsidRPr="00317D57" w:rsidRDefault="00317D57" w:rsidP="00317D57">
                              <w:pPr>
                                <w:widowControl/>
                                <w:spacing w:before="100" w:beforeAutospacing="1" w:after="180"/>
                                <w:jc w:val="center"/>
                                <w:rPr>
                                  <w:rFonts w:ascii="宋体" w:hAnsi="宋体" w:cs="宋体"/>
                                  <w:kern w:val="0"/>
                                  <w:sz w:val="24"/>
                                </w:rPr>
                              </w:pPr>
                              <w:r w:rsidRPr="00317D57">
                                <w:rPr>
                                  <w:rFonts w:ascii="宋体" w:hAnsi="宋体" w:cs="宋体"/>
                                  <w:kern w:val="0"/>
                                  <w:sz w:val="20"/>
                                  <w:szCs w:val="20"/>
                                </w:rPr>
                                <w:t>233</w:t>
                              </w:r>
                              <w:r w:rsidRPr="00317D57">
                                <w:rPr>
                                  <w:rFonts w:ascii="宋体" w:hAnsi="宋体" w:cs="宋体"/>
                                  <w:kern w:val="0"/>
                                  <w:sz w:val="24"/>
                                </w:rPr>
                                <w:t xml:space="preserve">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317D57" w:rsidRPr="00317D57" w:rsidRDefault="00317D57" w:rsidP="00317D57">
                              <w:pPr>
                                <w:widowControl/>
                                <w:spacing w:before="100" w:beforeAutospacing="1" w:after="180"/>
                                <w:jc w:val="center"/>
                                <w:rPr>
                                  <w:rFonts w:ascii="宋体" w:hAnsi="宋体" w:cs="宋体"/>
                                  <w:kern w:val="0"/>
                                  <w:sz w:val="24"/>
                                </w:rPr>
                              </w:pPr>
                              <w:r w:rsidRPr="00317D57">
                                <w:rPr>
                                  <w:rFonts w:ascii="宋体" w:hAnsi="宋体" w:cs="宋体"/>
                                  <w:kern w:val="0"/>
                                  <w:sz w:val="20"/>
                                  <w:szCs w:val="20"/>
                                </w:rPr>
                                <w:t>56</w:t>
                              </w:r>
                              <w:r w:rsidRPr="00317D57">
                                <w:rPr>
                                  <w:rFonts w:ascii="宋体" w:hAnsi="宋体" w:cs="宋体"/>
                                  <w:kern w:val="0"/>
                                  <w:sz w:val="24"/>
                                </w:rPr>
                                <w:t xml:space="preserve">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317D57" w:rsidRPr="00317D57" w:rsidRDefault="00317D57" w:rsidP="00317D57">
                              <w:pPr>
                                <w:widowControl/>
                                <w:spacing w:before="100" w:beforeAutospacing="1" w:after="180"/>
                                <w:jc w:val="center"/>
                                <w:rPr>
                                  <w:rFonts w:ascii="宋体" w:hAnsi="宋体" w:cs="宋体"/>
                                  <w:kern w:val="0"/>
                                  <w:sz w:val="24"/>
                                </w:rPr>
                              </w:pPr>
                              <w:r w:rsidRPr="00317D57">
                                <w:rPr>
                                  <w:rFonts w:ascii="宋体" w:hAnsi="宋体" w:cs="宋体"/>
                                  <w:kern w:val="0"/>
                                  <w:sz w:val="20"/>
                                  <w:szCs w:val="20"/>
                                </w:rPr>
                                <w:t>164</w:t>
                              </w:r>
                            </w:p>
                          </w:tc>
                        </w:tr>
                        <w:tr w:rsidR="00317D57" w:rsidRPr="00317D57">
                          <w:trPr>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317D57" w:rsidRPr="00317D57" w:rsidRDefault="00317D57" w:rsidP="00317D57">
                              <w:pPr>
                                <w:widowControl/>
                                <w:spacing w:before="100" w:beforeAutospacing="1" w:after="180"/>
                                <w:jc w:val="center"/>
                                <w:rPr>
                                  <w:rFonts w:ascii="宋体" w:hAnsi="宋体" w:cs="宋体"/>
                                  <w:kern w:val="0"/>
                                  <w:sz w:val="24"/>
                                </w:rPr>
                              </w:pPr>
                              <w:r w:rsidRPr="00317D57">
                                <w:rPr>
                                  <w:rFonts w:ascii="宋体" w:hAnsi="宋体" w:cs="宋体"/>
                                  <w:kern w:val="0"/>
                                  <w:sz w:val="20"/>
                                  <w:szCs w:val="20"/>
                                </w:rPr>
                                <w:t>41</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317D57" w:rsidRPr="00317D57" w:rsidRDefault="00317D57" w:rsidP="00317D57">
                              <w:pPr>
                                <w:widowControl/>
                                <w:spacing w:before="100" w:beforeAutospacing="1" w:after="180"/>
                                <w:jc w:val="center"/>
                                <w:rPr>
                                  <w:rFonts w:ascii="宋体" w:hAnsi="宋体" w:cs="宋体"/>
                                  <w:kern w:val="0"/>
                                  <w:sz w:val="24"/>
                                </w:rPr>
                              </w:pPr>
                              <w:r w:rsidRPr="00317D57">
                                <w:rPr>
                                  <w:rFonts w:ascii="宋体" w:hAnsi="宋体" w:cs="宋体"/>
                                  <w:kern w:val="0"/>
                                  <w:sz w:val="20"/>
                                  <w:szCs w:val="20"/>
                                </w:rPr>
                                <w:t>230</w:t>
                              </w:r>
                              <w:r w:rsidRPr="00317D57">
                                <w:rPr>
                                  <w:rFonts w:ascii="宋体" w:hAnsi="宋体" w:cs="宋体"/>
                                  <w:kern w:val="0"/>
                                  <w:sz w:val="24"/>
                                </w:rPr>
                                <w:t xml:space="preserve">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317D57" w:rsidRPr="00317D57" w:rsidRDefault="00317D57" w:rsidP="00317D57">
                              <w:pPr>
                                <w:widowControl/>
                                <w:spacing w:before="100" w:beforeAutospacing="1" w:after="180"/>
                                <w:jc w:val="center"/>
                                <w:rPr>
                                  <w:rFonts w:ascii="宋体" w:hAnsi="宋体" w:cs="宋体"/>
                                  <w:kern w:val="0"/>
                                  <w:sz w:val="24"/>
                                </w:rPr>
                              </w:pPr>
                              <w:r w:rsidRPr="00317D57">
                                <w:rPr>
                                  <w:rFonts w:ascii="宋体" w:hAnsi="宋体" w:cs="宋体"/>
                                  <w:kern w:val="0"/>
                                  <w:sz w:val="20"/>
                                  <w:szCs w:val="20"/>
                                </w:rPr>
                                <w:t>57</w:t>
                              </w:r>
                              <w:r w:rsidRPr="00317D57">
                                <w:rPr>
                                  <w:rFonts w:ascii="宋体" w:hAnsi="宋体" w:cs="宋体"/>
                                  <w:kern w:val="0"/>
                                  <w:sz w:val="24"/>
                                </w:rPr>
                                <w:t xml:space="preserve">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317D57" w:rsidRPr="00317D57" w:rsidRDefault="00317D57" w:rsidP="00317D57">
                              <w:pPr>
                                <w:widowControl/>
                                <w:spacing w:before="100" w:beforeAutospacing="1" w:after="180"/>
                                <w:jc w:val="center"/>
                                <w:rPr>
                                  <w:rFonts w:ascii="宋体" w:hAnsi="宋体" w:cs="宋体"/>
                                  <w:kern w:val="0"/>
                                  <w:sz w:val="24"/>
                                </w:rPr>
                              </w:pPr>
                              <w:r w:rsidRPr="00317D57">
                                <w:rPr>
                                  <w:rFonts w:ascii="宋体" w:hAnsi="宋体" w:cs="宋体"/>
                                  <w:kern w:val="0"/>
                                  <w:sz w:val="20"/>
                                  <w:szCs w:val="20"/>
                                </w:rPr>
                                <w:t>158</w:t>
                              </w:r>
                            </w:p>
                          </w:tc>
                        </w:tr>
                        <w:tr w:rsidR="00317D57" w:rsidRPr="00317D57">
                          <w:trPr>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317D57" w:rsidRPr="00317D57" w:rsidRDefault="00317D57" w:rsidP="00317D57">
                              <w:pPr>
                                <w:widowControl/>
                                <w:spacing w:before="100" w:beforeAutospacing="1" w:after="180"/>
                                <w:jc w:val="center"/>
                                <w:rPr>
                                  <w:rFonts w:ascii="宋体" w:hAnsi="宋体" w:cs="宋体"/>
                                  <w:kern w:val="0"/>
                                  <w:sz w:val="24"/>
                                </w:rPr>
                              </w:pPr>
                              <w:r w:rsidRPr="00317D57">
                                <w:rPr>
                                  <w:rFonts w:ascii="宋体" w:hAnsi="宋体" w:cs="宋体"/>
                                  <w:kern w:val="0"/>
                                  <w:sz w:val="20"/>
                                  <w:szCs w:val="20"/>
                                </w:rPr>
                                <w:t>42</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317D57" w:rsidRPr="00317D57" w:rsidRDefault="00317D57" w:rsidP="00317D57">
                              <w:pPr>
                                <w:widowControl/>
                                <w:spacing w:before="100" w:beforeAutospacing="1" w:after="180"/>
                                <w:jc w:val="center"/>
                                <w:rPr>
                                  <w:rFonts w:ascii="宋体" w:hAnsi="宋体" w:cs="宋体"/>
                                  <w:kern w:val="0"/>
                                  <w:sz w:val="24"/>
                                </w:rPr>
                              </w:pPr>
                              <w:r w:rsidRPr="00317D57">
                                <w:rPr>
                                  <w:rFonts w:ascii="宋体" w:hAnsi="宋体" w:cs="宋体"/>
                                  <w:kern w:val="0"/>
                                  <w:sz w:val="20"/>
                                  <w:szCs w:val="20"/>
                                </w:rPr>
                                <w:t>226</w:t>
                              </w:r>
                              <w:r w:rsidRPr="00317D57">
                                <w:rPr>
                                  <w:rFonts w:ascii="宋体" w:hAnsi="宋体" w:cs="宋体"/>
                                  <w:kern w:val="0"/>
                                  <w:sz w:val="24"/>
                                </w:rPr>
                                <w:t xml:space="preserve">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317D57" w:rsidRPr="00317D57" w:rsidRDefault="00317D57" w:rsidP="00317D57">
                              <w:pPr>
                                <w:widowControl/>
                                <w:spacing w:before="100" w:beforeAutospacing="1" w:after="180"/>
                                <w:jc w:val="center"/>
                                <w:rPr>
                                  <w:rFonts w:ascii="宋体" w:hAnsi="宋体" w:cs="宋体"/>
                                  <w:kern w:val="0"/>
                                  <w:sz w:val="24"/>
                                </w:rPr>
                              </w:pPr>
                              <w:r w:rsidRPr="00317D57">
                                <w:rPr>
                                  <w:rFonts w:ascii="宋体" w:hAnsi="宋体" w:cs="宋体"/>
                                  <w:kern w:val="0"/>
                                  <w:sz w:val="20"/>
                                  <w:szCs w:val="20"/>
                                </w:rPr>
                                <w:t>58</w:t>
                              </w:r>
                              <w:r w:rsidRPr="00317D57">
                                <w:rPr>
                                  <w:rFonts w:ascii="宋体" w:hAnsi="宋体" w:cs="宋体"/>
                                  <w:kern w:val="0"/>
                                  <w:sz w:val="24"/>
                                </w:rPr>
                                <w:t xml:space="preserve">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317D57" w:rsidRPr="00317D57" w:rsidRDefault="00317D57" w:rsidP="00317D57">
                              <w:pPr>
                                <w:widowControl/>
                                <w:spacing w:before="100" w:beforeAutospacing="1" w:after="180"/>
                                <w:jc w:val="center"/>
                                <w:rPr>
                                  <w:rFonts w:ascii="宋体" w:hAnsi="宋体" w:cs="宋体"/>
                                  <w:kern w:val="0"/>
                                  <w:sz w:val="24"/>
                                </w:rPr>
                              </w:pPr>
                              <w:r w:rsidRPr="00317D57">
                                <w:rPr>
                                  <w:rFonts w:ascii="宋体" w:hAnsi="宋体" w:cs="宋体"/>
                                  <w:kern w:val="0"/>
                                  <w:sz w:val="20"/>
                                  <w:szCs w:val="20"/>
                                </w:rPr>
                                <w:t>152</w:t>
                              </w:r>
                            </w:p>
                          </w:tc>
                        </w:tr>
                        <w:tr w:rsidR="00317D57" w:rsidRPr="00317D57">
                          <w:trPr>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317D57" w:rsidRPr="00317D57" w:rsidRDefault="00317D57" w:rsidP="00317D57">
                              <w:pPr>
                                <w:widowControl/>
                                <w:spacing w:before="100" w:beforeAutospacing="1" w:after="180"/>
                                <w:jc w:val="center"/>
                                <w:rPr>
                                  <w:rFonts w:ascii="宋体" w:hAnsi="宋体" w:cs="宋体"/>
                                  <w:kern w:val="0"/>
                                  <w:sz w:val="24"/>
                                </w:rPr>
                              </w:pPr>
                              <w:r w:rsidRPr="00317D57">
                                <w:rPr>
                                  <w:rFonts w:ascii="宋体" w:hAnsi="宋体" w:cs="宋体"/>
                                  <w:kern w:val="0"/>
                                  <w:sz w:val="20"/>
                                  <w:szCs w:val="20"/>
                                </w:rPr>
                                <w:t>43</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317D57" w:rsidRPr="00317D57" w:rsidRDefault="00317D57" w:rsidP="00317D57">
                              <w:pPr>
                                <w:widowControl/>
                                <w:spacing w:before="100" w:beforeAutospacing="1" w:after="180"/>
                                <w:jc w:val="center"/>
                                <w:rPr>
                                  <w:rFonts w:ascii="宋体" w:hAnsi="宋体" w:cs="宋体"/>
                                  <w:kern w:val="0"/>
                                  <w:sz w:val="24"/>
                                </w:rPr>
                              </w:pPr>
                              <w:r w:rsidRPr="00317D57">
                                <w:rPr>
                                  <w:rFonts w:ascii="宋体" w:hAnsi="宋体" w:cs="宋体"/>
                                  <w:kern w:val="0"/>
                                  <w:sz w:val="20"/>
                                  <w:szCs w:val="20"/>
                                </w:rPr>
                                <w:t>223</w:t>
                              </w:r>
                              <w:r w:rsidRPr="00317D57">
                                <w:rPr>
                                  <w:rFonts w:ascii="宋体" w:hAnsi="宋体" w:cs="宋体"/>
                                  <w:kern w:val="0"/>
                                  <w:sz w:val="24"/>
                                </w:rPr>
                                <w:t xml:space="preserve">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317D57" w:rsidRPr="00317D57" w:rsidRDefault="00317D57" w:rsidP="00317D57">
                              <w:pPr>
                                <w:widowControl/>
                                <w:spacing w:before="100" w:beforeAutospacing="1" w:after="180"/>
                                <w:jc w:val="center"/>
                                <w:rPr>
                                  <w:rFonts w:ascii="宋体" w:hAnsi="宋体" w:cs="宋体"/>
                                  <w:kern w:val="0"/>
                                  <w:sz w:val="24"/>
                                </w:rPr>
                              </w:pPr>
                              <w:r w:rsidRPr="00317D57">
                                <w:rPr>
                                  <w:rFonts w:ascii="宋体" w:hAnsi="宋体" w:cs="宋体"/>
                                  <w:kern w:val="0"/>
                                  <w:sz w:val="20"/>
                                  <w:szCs w:val="20"/>
                                </w:rPr>
                                <w:t>59</w:t>
                              </w:r>
                              <w:r w:rsidRPr="00317D57">
                                <w:rPr>
                                  <w:rFonts w:ascii="宋体" w:hAnsi="宋体" w:cs="宋体"/>
                                  <w:kern w:val="0"/>
                                  <w:sz w:val="24"/>
                                </w:rPr>
                                <w:t xml:space="preserve">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317D57" w:rsidRPr="00317D57" w:rsidRDefault="00317D57" w:rsidP="00317D57">
                              <w:pPr>
                                <w:widowControl/>
                                <w:spacing w:before="100" w:beforeAutospacing="1" w:after="180"/>
                                <w:jc w:val="center"/>
                                <w:rPr>
                                  <w:rFonts w:ascii="宋体" w:hAnsi="宋体" w:cs="宋体"/>
                                  <w:kern w:val="0"/>
                                  <w:sz w:val="24"/>
                                </w:rPr>
                              </w:pPr>
                              <w:r w:rsidRPr="00317D57">
                                <w:rPr>
                                  <w:rFonts w:ascii="宋体" w:hAnsi="宋体" w:cs="宋体"/>
                                  <w:kern w:val="0"/>
                                  <w:sz w:val="20"/>
                                  <w:szCs w:val="20"/>
                                </w:rPr>
                                <w:t>145</w:t>
                              </w:r>
                            </w:p>
                          </w:tc>
                        </w:tr>
                        <w:tr w:rsidR="00317D57" w:rsidRPr="00317D57">
                          <w:trPr>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317D57" w:rsidRPr="00317D57" w:rsidRDefault="00317D57" w:rsidP="00317D57">
                              <w:pPr>
                                <w:widowControl/>
                                <w:spacing w:before="100" w:beforeAutospacing="1" w:after="180"/>
                                <w:jc w:val="center"/>
                                <w:rPr>
                                  <w:rFonts w:ascii="宋体" w:hAnsi="宋体" w:cs="宋体"/>
                                  <w:kern w:val="0"/>
                                  <w:sz w:val="24"/>
                                </w:rPr>
                              </w:pPr>
                              <w:r w:rsidRPr="00317D57">
                                <w:rPr>
                                  <w:rFonts w:ascii="宋体" w:hAnsi="宋体" w:cs="宋体"/>
                                  <w:kern w:val="0"/>
                                  <w:sz w:val="20"/>
                                  <w:szCs w:val="20"/>
                                </w:rPr>
                                <w:t>44</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317D57" w:rsidRPr="00317D57" w:rsidRDefault="00317D57" w:rsidP="00317D57">
                              <w:pPr>
                                <w:widowControl/>
                                <w:spacing w:before="100" w:beforeAutospacing="1" w:after="180"/>
                                <w:jc w:val="center"/>
                                <w:rPr>
                                  <w:rFonts w:ascii="宋体" w:hAnsi="宋体" w:cs="宋体"/>
                                  <w:kern w:val="0"/>
                                  <w:sz w:val="24"/>
                                </w:rPr>
                              </w:pPr>
                              <w:r w:rsidRPr="00317D57">
                                <w:rPr>
                                  <w:rFonts w:ascii="宋体" w:hAnsi="宋体" w:cs="宋体"/>
                                  <w:kern w:val="0"/>
                                  <w:sz w:val="20"/>
                                  <w:szCs w:val="20"/>
                                </w:rPr>
                                <w:t>220</w:t>
                              </w:r>
                              <w:r w:rsidRPr="00317D57">
                                <w:rPr>
                                  <w:rFonts w:ascii="宋体" w:hAnsi="宋体" w:cs="宋体"/>
                                  <w:kern w:val="0"/>
                                  <w:sz w:val="24"/>
                                </w:rPr>
                                <w:t xml:space="preserve">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317D57" w:rsidRPr="00317D57" w:rsidRDefault="00317D57" w:rsidP="00317D57">
                              <w:pPr>
                                <w:widowControl/>
                                <w:spacing w:before="100" w:beforeAutospacing="1" w:after="180"/>
                                <w:jc w:val="center"/>
                                <w:rPr>
                                  <w:rFonts w:ascii="宋体" w:hAnsi="宋体" w:cs="宋体"/>
                                  <w:kern w:val="0"/>
                                  <w:sz w:val="24"/>
                                </w:rPr>
                              </w:pPr>
                              <w:r w:rsidRPr="00317D57">
                                <w:rPr>
                                  <w:rFonts w:ascii="宋体" w:hAnsi="宋体" w:cs="宋体"/>
                                  <w:kern w:val="0"/>
                                  <w:sz w:val="20"/>
                                  <w:szCs w:val="20"/>
                                </w:rPr>
                                <w:t>60</w:t>
                              </w:r>
                              <w:r w:rsidRPr="00317D57">
                                <w:rPr>
                                  <w:rFonts w:ascii="宋体" w:hAnsi="宋体" w:cs="宋体"/>
                                  <w:kern w:val="0"/>
                                  <w:sz w:val="24"/>
                                </w:rPr>
                                <w:t xml:space="preserve">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317D57" w:rsidRPr="00317D57" w:rsidRDefault="00317D57" w:rsidP="00317D57">
                              <w:pPr>
                                <w:widowControl/>
                                <w:spacing w:before="100" w:beforeAutospacing="1" w:after="180"/>
                                <w:jc w:val="center"/>
                                <w:rPr>
                                  <w:rFonts w:ascii="宋体" w:hAnsi="宋体" w:cs="宋体"/>
                                  <w:kern w:val="0"/>
                                  <w:sz w:val="24"/>
                                </w:rPr>
                              </w:pPr>
                              <w:r w:rsidRPr="00317D57">
                                <w:rPr>
                                  <w:rFonts w:ascii="宋体" w:hAnsi="宋体" w:cs="宋体"/>
                                  <w:kern w:val="0"/>
                                  <w:sz w:val="20"/>
                                  <w:szCs w:val="20"/>
                                </w:rPr>
                                <w:t>139</w:t>
                              </w:r>
                            </w:p>
                          </w:tc>
                        </w:tr>
                        <w:tr w:rsidR="00317D57" w:rsidRPr="00317D57">
                          <w:trPr>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317D57" w:rsidRPr="00317D57" w:rsidRDefault="00317D57" w:rsidP="00317D57">
                              <w:pPr>
                                <w:widowControl/>
                                <w:spacing w:before="100" w:beforeAutospacing="1" w:after="180"/>
                                <w:jc w:val="center"/>
                                <w:rPr>
                                  <w:rFonts w:ascii="宋体" w:hAnsi="宋体" w:cs="宋体"/>
                                  <w:kern w:val="0"/>
                                  <w:sz w:val="24"/>
                                </w:rPr>
                              </w:pPr>
                              <w:r w:rsidRPr="00317D57">
                                <w:rPr>
                                  <w:rFonts w:ascii="宋体" w:hAnsi="宋体" w:cs="宋体"/>
                                  <w:kern w:val="0"/>
                                  <w:sz w:val="20"/>
                                  <w:szCs w:val="20"/>
                                </w:rPr>
                                <w:t>45</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317D57" w:rsidRPr="00317D57" w:rsidRDefault="00317D57" w:rsidP="00317D57">
                              <w:pPr>
                                <w:widowControl/>
                                <w:spacing w:before="100" w:beforeAutospacing="1" w:after="180"/>
                                <w:jc w:val="center"/>
                                <w:rPr>
                                  <w:rFonts w:ascii="宋体" w:hAnsi="宋体" w:cs="宋体"/>
                                  <w:kern w:val="0"/>
                                  <w:sz w:val="24"/>
                                </w:rPr>
                              </w:pPr>
                              <w:r w:rsidRPr="00317D57">
                                <w:rPr>
                                  <w:rFonts w:ascii="宋体" w:hAnsi="宋体" w:cs="宋体"/>
                                  <w:kern w:val="0"/>
                                  <w:sz w:val="20"/>
                                  <w:szCs w:val="20"/>
                                </w:rPr>
                                <w:t>216</w:t>
                              </w:r>
                              <w:r w:rsidRPr="00317D57">
                                <w:rPr>
                                  <w:rFonts w:ascii="宋体" w:hAnsi="宋体" w:cs="宋体"/>
                                  <w:kern w:val="0"/>
                                  <w:sz w:val="24"/>
                                </w:rPr>
                                <w:t xml:space="preserve">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317D57" w:rsidRPr="00317D57" w:rsidRDefault="00317D57" w:rsidP="00317D57">
                              <w:pPr>
                                <w:widowControl/>
                                <w:spacing w:before="100" w:beforeAutospacing="1" w:after="180"/>
                                <w:jc w:val="center"/>
                                <w:rPr>
                                  <w:rFonts w:ascii="宋体" w:hAnsi="宋体" w:cs="宋体"/>
                                  <w:kern w:val="0"/>
                                  <w:sz w:val="24"/>
                                </w:rPr>
                              </w:pPr>
                              <w:r w:rsidRPr="00317D57">
                                <w:rPr>
                                  <w:rFonts w:ascii="宋体" w:hAnsi="宋体" w:cs="宋体"/>
                                  <w:kern w:val="0"/>
                                  <w:sz w:val="20"/>
                                  <w:szCs w:val="20"/>
                                </w:rPr>
                                <w:t>61</w:t>
                              </w:r>
                              <w:r w:rsidRPr="00317D57">
                                <w:rPr>
                                  <w:rFonts w:ascii="宋体" w:hAnsi="宋体" w:cs="宋体"/>
                                  <w:kern w:val="0"/>
                                  <w:sz w:val="24"/>
                                </w:rPr>
                                <w:t xml:space="preserve">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317D57" w:rsidRPr="00317D57" w:rsidRDefault="00317D57" w:rsidP="00317D57">
                              <w:pPr>
                                <w:widowControl/>
                                <w:spacing w:before="100" w:beforeAutospacing="1" w:after="180"/>
                                <w:jc w:val="center"/>
                                <w:rPr>
                                  <w:rFonts w:ascii="宋体" w:hAnsi="宋体" w:cs="宋体"/>
                                  <w:kern w:val="0"/>
                                  <w:sz w:val="24"/>
                                </w:rPr>
                              </w:pPr>
                              <w:r w:rsidRPr="00317D57">
                                <w:rPr>
                                  <w:rFonts w:ascii="宋体" w:hAnsi="宋体" w:cs="宋体"/>
                                  <w:kern w:val="0"/>
                                  <w:sz w:val="20"/>
                                  <w:szCs w:val="20"/>
                                </w:rPr>
                                <w:t>132</w:t>
                              </w:r>
                            </w:p>
                          </w:tc>
                        </w:tr>
                        <w:tr w:rsidR="00317D57" w:rsidRPr="00317D57">
                          <w:trPr>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317D57" w:rsidRPr="00317D57" w:rsidRDefault="00317D57" w:rsidP="00317D57">
                              <w:pPr>
                                <w:widowControl/>
                                <w:spacing w:before="100" w:beforeAutospacing="1" w:after="180"/>
                                <w:jc w:val="center"/>
                                <w:rPr>
                                  <w:rFonts w:ascii="宋体" w:hAnsi="宋体" w:cs="宋体"/>
                                  <w:kern w:val="0"/>
                                  <w:sz w:val="24"/>
                                </w:rPr>
                              </w:pPr>
                              <w:r w:rsidRPr="00317D57">
                                <w:rPr>
                                  <w:rFonts w:ascii="宋体" w:hAnsi="宋体" w:cs="宋体"/>
                                  <w:kern w:val="0"/>
                                  <w:sz w:val="20"/>
                                  <w:szCs w:val="20"/>
                                </w:rPr>
                                <w:t>46</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317D57" w:rsidRPr="00317D57" w:rsidRDefault="00317D57" w:rsidP="00317D57">
                              <w:pPr>
                                <w:widowControl/>
                                <w:spacing w:before="100" w:beforeAutospacing="1" w:after="180"/>
                                <w:jc w:val="center"/>
                                <w:rPr>
                                  <w:rFonts w:ascii="宋体" w:hAnsi="宋体" w:cs="宋体"/>
                                  <w:kern w:val="0"/>
                                  <w:sz w:val="24"/>
                                </w:rPr>
                              </w:pPr>
                              <w:r w:rsidRPr="00317D57">
                                <w:rPr>
                                  <w:rFonts w:ascii="宋体" w:hAnsi="宋体" w:cs="宋体"/>
                                  <w:kern w:val="0"/>
                                  <w:sz w:val="20"/>
                                  <w:szCs w:val="20"/>
                                </w:rPr>
                                <w:t>212</w:t>
                              </w:r>
                              <w:r w:rsidRPr="00317D57">
                                <w:rPr>
                                  <w:rFonts w:ascii="宋体" w:hAnsi="宋体" w:cs="宋体"/>
                                  <w:kern w:val="0"/>
                                  <w:sz w:val="24"/>
                                </w:rPr>
                                <w:t xml:space="preserve">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317D57" w:rsidRPr="00317D57" w:rsidRDefault="00317D57" w:rsidP="00317D57">
                              <w:pPr>
                                <w:widowControl/>
                                <w:spacing w:before="100" w:beforeAutospacing="1" w:after="180"/>
                                <w:jc w:val="center"/>
                                <w:rPr>
                                  <w:rFonts w:ascii="宋体" w:hAnsi="宋体" w:cs="宋体"/>
                                  <w:kern w:val="0"/>
                                  <w:sz w:val="24"/>
                                </w:rPr>
                              </w:pPr>
                              <w:r w:rsidRPr="00317D57">
                                <w:rPr>
                                  <w:rFonts w:ascii="宋体" w:hAnsi="宋体" w:cs="宋体"/>
                                  <w:kern w:val="0"/>
                                  <w:sz w:val="20"/>
                                  <w:szCs w:val="20"/>
                                </w:rPr>
                                <w:t>62</w:t>
                              </w:r>
                              <w:r w:rsidRPr="00317D57">
                                <w:rPr>
                                  <w:rFonts w:ascii="宋体" w:hAnsi="宋体" w:cs="宋体"/>
                                  <w:kern w:val="0"/>
                                  <w:sz w:val="24"/>
                                </w:rPr>
                                <w:t xml:space="preserve">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317D57" w:rsidRPr="00317D57" w:rsidRDefault="00317D57" w:rsidP="00317D57">
                              <w:pPr>
                                <w:widowControl/>
                                <w:spacing w:before="100" w:beforeAutospacing="1" w:after="180"/>
                                <w:jc w:val="center"/>
                                <w:rPr>
                                  <w:rFonts w:ascii="宋体" w:hAnsi="宋体" w:cs="宋体"/>
                                  <w:kern w:val="0"/>
                                  <w:sz w:val="24"/>
                                </w:rPr>
                              </w:pPr>
                              <w:r w:rsidRPr="00317D57">
                                <w:rPr>
                                  <w:rFonts w:ascii="宋体" w:hAnsi="宋体" w:cs="宋体"/>
                                  <w:kern w:val="0"/>
                                  <w:sz w:val="20"/>
                                  <w:szCs w:val="20"/>
                                </w:rPr>
                                <w:t>125</w:t>
                              </w:r>
                            </w:p>
                          </w:tc>
                        </w:tr>
                        <w:tr w:rsidR="00317D57" w:rsidRPr="00317D57">
                          <w:trPr>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317D57" w:rsidRPr="00317D57" w:rsidRDefault="00317D57" w:rsidP="00317D57">
                              <w:pPr>
                                <w:widowControl/>
                                <w:spacing w:before="100" w:beforeAutospacing="1" w:after="180"/>
                                <w:jc w:val="center"/>
                                <w:rPr>
                                  <w:rFonts w:ascii="宋体" w:hAnsi="宋体" w:cs="宋体"/>
                                  <w:kern w:val="0"/>
                                  <w:sz w:val="24"/>
                                </w:rPr>
                              </w:pPr>
                              <w:r w:rsidRPr="00317D57">
                                <w:rPr>
                                  <w:rFonts w:ascii="宋体" w:hAnsi="宋体" w:cs="宋体"/>
                                  <w:kern w:val="0"/>
                                  <w:sz w:val="20"/>
                                  <w:szCs w:val="20"/>
                                </w:rPr>
                                <w:t>47</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317D57" w:rsidRPr="00317D57" w:rsidRDefault="00317D57" w:rsidP="00317D57">
                              <w:pPr>
                                <w:widowControl/>
                                <w:spacing w:before="100" w:beforeAutospacing="1" w:after="180"/>
                                <w:jc w:val="center"/>
                                <w:rPr>
                                  <w:rFonts w:ascii="宋体" w:hAnsi="宋体" w:cs="宋体"/>
                                  <w:kern w:val="0"/>
                                  <w:sz w:val="24"/>
                                </w:rPr>
                              </w:pPr>
                              <w:r w:rsidRPr="00317D57">
                                <w:rPr>
                                  <w:rFonts w:ascii="宋体" w:hAnsi="宋体" w:cs="宋体"/>
                                  <w:kern w:val="0"/>
                                  <w:sz w:val="20"/>
                                  <w:szCs w:val="20"/>
                                </w:rPr>
                                <w:t>207</w:t>
                              </w:r>
                              <w:r w:rsidRPr="00317D57">
                                <w:rPr>
                                  <w:rFonts w:ascii="宋体" w:hAnsi="宋体" w:cs="宋体"/>
                                  <w:kern w:val="0"/>
                                  <w:sz w:val="24"/>
                                </w:rPr>
                                <w:t xml:space="preserve">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317D57" w:rsidRPr="00317D57" w:rsidRDefault="00317D57" w:rsidP="00317D57">
                              <w:pPr>
                                <w:widowControl/>
                                <w:spacing w:before="100" w:beforeAutospacing="1" w:after="180"/>
                                <w:jc w:val="center"/>
                                <w:rPr>
                                  <w:rFonts w:ascii="宋体" w:hAnsi="宋体" w:cs="宋体"/>
                                  <w:kern w:val="0"/>
                                  <w:sz w:val="24"/>
                                </w:rPr>
                              </w:pPr>
                              <w:r w:rsidRPr="00317D57">
                                <w:rPr>
                                  <w:rFonts w:ascii="宋体" w:hAnsi="宋体" w:cs="宋体"/>
                                  <w:kern w:val="0"/>
                                  <w:sz w:val="20"/>
                                  <w:szCs w:val="20"/>
                                </w:rPr>
                                <w:t>63</w:t>
                              </w:r>
                              <w:r w:rsidRPr="00317D57">
                                <w:rPr>
                                  <w:rFonts w:ascii="宋体" w:hAnsi="宋体" w:cs="宋体"/>
                                  <w:kern w:val="0"/>
                                  <w:sz w:val="24"/>
                                </w:rPr>
                                <w:t xml:space="preserve">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317D57" w:rsidRPr="00317D57" w:rsidRDefault="00317D57" w:rsidP="00317D57">
                              <w:pPr>
                                <w:widowControl/>
                                <w:spacing w:before="100" w:beforeAutospacing="1" w:after="180"/>
                                <w:jc w:val="center"/>
                                <w:rPr>
                                  <w:rFonts w:ascii="宋体" w:hAnsi="宋体" w:cs="宋体"/>
                                  <w:kern w:val="0"/>
                                  <w:sz w:val="24"/>
                                </w:rPr>
                              </w:pPr>
                              <w:r w:rsidRPr="00317D57">
                                <w:rPr>
                                  <w:rFonts w:ascii="宋体" w:hAnsi="宋体" w:cs="宋体"/>
                                  <w:kern w:val="0"/>
                                  <w:sz w:val="20"/>
                                  <w:szCs w:val="20"/>
                                </w:rPr>
                                <w:t>117</w:t>
                              </w:r>
                            </w:p>
                          </w:tc>
                        </w:tr>
                        <w:tr w:rsidR="00317D57" w:rsidRPr="00317D57">
                          <w:trPr>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317D57" w:rsidRPr="00317D57" w:rsidRDefault="00317D57" w:rsidP="00317D57">
                              <w:pPr>
                                <w:widowControl/>
                                <w:spacing w:before="100" w:beforeAutospacing="1" w:after="180"/>
                                <w:jc w:val="center"/>
                                <w:rPr>
                                  <w:rFonts w:ascii="宋体" w:hAnsi="宋体" w:cs="宋体"/>
                                  <w:kern w:val="0"/>
                                  <w:sz w:val="24"/>
                                </w:rPr>
                              </w:pPr>
                              <w:r w:rsidRPr="00317D57">
                                <w:rPr>
                                  <w:rFonts w:ascii="宋体" w:hAnsi="宋体" w:cs="宋体"/>
                                  <w:kern w:val="0"/>
                                  <w:sz w:val="20"/>
                                  <w:szCs w:val="20"/>
                                </w:rPr>
                                <w:t>48</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317D57" w:rsidRPr="00317D57" w:rsidRDefault="00317D57" w:rsidP="00317D57">
                              <w:pPr>
                                <w:widowControl/>
                                <w:spacing w:before="100" w:beforeAutospacing="1" w:after="180"/>
                                <w:jc w:val="center"/>
                                <w:rPr>
                                  <w:rFonts w:ascii="宋体" w:hAnsi="宋体" w:cs="宋体"/>
                                  <w:kern w:val="0"/>
                                  <w:sz w:val="24"/>
                                </w:rPr>
                              </w:pPr>
                              <w:r w:rsidRPr="00317D57">
                                <w:rPr>
                                  <w:rFonts w:ascii="宋体" w:hAnsi="宋体" w:cs="宋体"/>
                                  <w:kern w:val="0"/>
                                  <w:sz w:val="20"/>
                                  <w:szCs w:val="20"/>
                                </w:rPr>
                                <w:t>204</w:t>
                              </w:r>
                              <w:r w:rsidRPr="00317D57">
                                <w:rPr>
                                  <w:rFonts w:ascii="宋体" w:hAnsi="宋体" w:cs="宋体"/>
                                  <w:kern w:val="0"/>
                                  <w:sz w:val="24"/>
                                </w:rPr>
                                <w:t xml:space="preserve">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317D57" w:rsidRPr="00317D57" w:rsidRDefault="00317D57" w:rsidP="00317D57">
                              <w:pPr>
                                <w:widowControl/>
                                <w:spacing w:before="100" w:beforeAutospacing="1" w:after="180"/>
                                <w:jc w:val="center"/>
                                <w:rPr>
                                  <w:rFonts w:ascii="宋体" w:hAnsi="宋体" w:cs="宋体"/>
                                  <w:kern w:val="0"/>
                                  <w:sz w:val="24"/>
                                </w:rPr>
                              </w:pPr>
                              <w:r w:rsidRPr="00317D57">
                                <w:rPr>
                                  <w:rFonts w:ascii="宋体" w:hAnsi="宋体" w:cs="宋体"/>
                                  <w:kern w:val="0"/>
                                  <w:sz w:val="20"/>
                                  <w:szCs w:val="20"/>
                                </w:rPr>
                                <w:t>64</w:t>
                              </w:r>
                              <w:r w:rsidRPr="00317D57">
                                <w:rPr>
                                  <w:rFonts w:ascii="宋体" w:hAnsi="宋体" w:cs="宋体"/>
                                  <w:kern w:val="0"/>
                                  <w:sz w:val="24"/>
                                </w:rPr>
                                <w:t xml:space="preserve">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317D57" w:rsidRPr="00317D57" w:rsidRDefault="00317D57" w:rsidP="00317D57">
                              <w:pPr>
                                <w:widowControl/>
                                <w:spacing w:before="100" w:beforeAutospacing="1" w:after="180"/>
                                <w:jc w:val="center"/>
                                <w:rPr>
                                  <w:rFonts w:ascii="宋体" w:hAnsi="宋体" w:cs="宋体"/>
                                  <w:kern w:val="0"/>
                                  <w:sz w:val="24"/>
                                </w:rPr>
                              </w:pPr>
                              <w:r w:rsidRPr="00317D57">
                                <w:rPr>
                                  <w:rFonts w:ascii="宋体" w:hAnsi="宋体" w:cs="宋体"/>
                                  <w:kern w:val="0"/>
                                  <w:sz w:val="20"/>
                                  <w:szCs w:val="20"/>
                                </w:rPr>
                                <w:t>109</w:t>
                              </w:r>
                            </w:p>
                          </w:tc>
                        </w:tr>
                        <w:tr w:rsidR="00317D57" w:rsidRPr="00317D57">
                          <w:trPr>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317D57" w:rsidRPr="00317D57" w:rsidRDefault="00317D57" w:rsidP="00317D57">
                              <w:pPr>
                                <w:widowControl/>
                                <w:spacing w:before="100" w:beforeAutospacing="1" w:after="180"/>
                                <w:jc w:val="center"/>
                                <w:rPr>
                                  <w:rFonts w:ascii="宋体" w:hAnsi="宋体" w:cs="宋体"/>
                                  <w:kern w:val="0"/>
                                  <w:sz w:val="24"/>
                                </w:rPr>
                              </w:pPr>
                              <w:r w:rsidRPr="00317D57">
                                <w:rPr>
                                  <w:rFonts w:ascii="宋体" w:hAnsi="宋体" w:cs="宋体"/>
                                  <w:kern w:val="0"/>
                                  <w:sz w:val="20"/>
                                  <w:szCs w:val="20"/>
                                </w:rPr>
                                <w:t>49</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317D57" w:rsidRPr="00317D57" w:rsidRDefault="00317D57" w:rsidP="00317D57">
                              <w:pPr>
                                <w:widowControl/>
                                <w:spacing w:before="100" w:beforeAutospacing="1" w:after="180"/>
                                <w:jc w:val="center"/>
                                <w:rPr>
                                  <w:rFonts w:ascii="宋体" w:hAnsi="宋体" w:cs="宋体"/>
                                  <w:kern w:val="0"/>
                                  <w:sz w:val="24"/>
                                </w:rPr>
                              </w:pPr>
                              <w:r w:rsidRPr="00317D57">
                                <w:rPr>
                                  <w:rFonts w:ascii="宋体" w:hAnsi="宋体" w:cs="宋体"/>
                                  <w:kern w:val="0"/>
                                  <w:sz w:val="20"/>
                                  <w:szCs w:val="20"/>
                                </w:rPr>
                                <w:t>199</w:t>
                              </w:r>
                              <w:r w:rsidRPr="00317D57">
                                <w:rPr>
                                  <w:rFonts w:ascii="宋体" w:hAnsi="宋体" w:cs="宋体"/>
                                  <w:kern w:val="0"/>
                                  <w:sz w:val="24"/>
                                </w:rPr>
                                <w:t xml:space="preserve">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317D57" w:rsidRPr="00317D57" w:rsidRDefault="00317D57" w:rsidP="00317D57">
                              <w:pPr>
                                <w:widowControl/>
                                <w:spacing w:before="100" w:beforeAutospacing="1" w:after="180"/>
                                <w:jc w:val="center"/>
                                <w:rPr>
                                  <w:rFonts w:ascii="宋体" w:hAnsi="宋体" w:cs="宋体"/>
                                  <w:kern w:val="0"/>
                                  <w:sz w:val="24"/>
                                </w:rPr>
                              </w:pPr>
                              <w:r w:rsidRPr="00317D57">
                                <w:rPr>
                                  <w:rFonts w:ascii="宋体" w:hAnsi="宋体" w:cs="宋体"/>
                                  <w:kern w:val="0"/>
                                  <w:sz w:val="20"/>
                                  <w:szCs w:val="20"/>
                                </w:rPr>
                                <w:t>65</w:t>
                              </w:r>
                              <w:r w:rsidRPr="00317D57">
                                <w:rPr>
                                  <w:rFonts w:ascii="宋体" w:hAnsi="宋体" w:cs="宋体"/>
                                  <w:kern w:val="0"/>
                                  <w:sz w:val="24"/>
                                </w:rPr>
                                <w:t xml:space="preserve">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317D57" w:rsidRPr="00317D57" w:rsidRDefault="00317D57" w:rsidP="00317D57">
                              <w:pPr>
                                <w:widowControl/>
                                <w:spacing w:before="100" w:beforeAutospacing="1" w:after="180"/>
                                <w:jc w:val="center"/>
                                <w:rPr>
                                  <w:rFonts w:ascii="宋体" w:hAnsi="宋体" w:cs="宋体"/>
                                  <w:kern w:val="0"/>
                                  <w:sz w:val="24"/>
                                </w:rPr>
                              </w:pPr>
                              <w:r w:rsidRPr="00317D57">
                                <w:rPr>
                                  <w:rFonts w:ascii="宋体" w:hAnsi="宋体" w:cs="宋体"/>
                                  <w:kern w:val="0"/>
                                  <w:sz w:val="20"/>
                                  <w:szCs w:val="20"/>
                                </w:rPr>
                                <w:t>101</w:t>
                              </w:r>
                            </w:p>
                          </w:tc>
                        </w:tr>
                        <w:tr w:rsidR="00317D57" w:rsidRPr="00317D57">
                          <w:trPr>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317D57" w:rsidRPr="00317D57" w:rsidRDefault="00317D57" w:rsidP="00317D57">
                              <w:pPr>
                                <w:widowControl/>
                                <w:spacing w:before="100" w:beforeAutospacing="1" w:after="180"/>
                                <w:jc w:val="center"/>
                                <w:rPr>
                                  <w:rFonts w:ascii="宋体" w:hAnsi="宋体" w:cs="宋体"/>
                                  <w:kern w:val="0"/>
                                  <w:sz w:val="24"/>
                                </w:rPr>
                              </w:pPr>
                              <w:r w:rsidRPr="00317D57">
                                <w:rPr>
                                  <w:rFonts w:ascii="宋体" w:hAnsi="宋体" w:cs="宋体"/>
                                  <w:kern w:val="0"/>
                                  <w:sz w:val="20"/>
                                  <w:szCs w:val="20"/>
                                </w:rPr>
                                <w:t>50</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317D57" w:rsidRPr="00317D57" w:rsidRDefault="00317D57" w:rsidP="00317D57">
                              <w:pPr>
                                <w:widowControl/>
                                <w:spacing w:before="100" w:beforeAutospacing="1" w:after="180"/>
                                <w:jc w:val="center"/>
                                <w:rPr>
                                  <w:rFonts w:ascii="宋体" w:hAnsi="宋体" w:cs="宋体"/>
                                  <w:kern w:val="0"/>
                                  <w:sz w:val="24"/>
                                </w:rPr>
                              </w:pPr>
                              <w:r w:rsidRPr="00317D57">
                                <w:rPr>
                                  <w:rFonts w:ascii="宋体" w:hAnsi="宋体" w:cs="宋体"/>
                                  <w:kern w:val="0"/>
                                  <w:sz w:val="20"/>
                                  <w:szCs w:val="20"/>
                                </w:rPr>
                                <w:t>195</w:t>
                              </w:r>
                              <w:r w:rsidRPr="00317D57">
                                <w:rPr>
                                  <w:rFonts w:ascii="宋体" w:hAnsi="宋体" w:cs="宋体"/>
                                  <w:kern w:val="0"/>
                                  <w:sz w:val="24"/>
                                </w:rPr>
                                <w:t xml:space="preserve">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317D57" w:rsidRPr="00317D57" w:rsidRDefault="00317D57" w:rsidP="00317D57">
                              <w:pPr>
                                <w:widowControl/>
                                <w:spacing w:before="100" w:beforeAutospacing="1" w:after="180"/>
                                <w:jc w:val="center"/>
                                <w:rPr>
                                  <w:rFonts w:ascii="宋体" w:hAnsi="宋体" w:cs="宋体"/>
                                  <w:kern w:val="0"/>
                                  <w:sz w:val="24"/>
                                </w:rPr>
                              </w:pPr>
                              <w:r w:rsidRPr="00317D57">
                                <w:rPr>
                                  <w:rFonts w:ascii="宋体" w:hAnsi="宋体" w:cs="宋体"/>
                                  <w:kern w:val="0"/>
                                  <w:sz w:val="20"/>
                                  <w:szCs w:val="20"/>
                                </w:rPr>
                                <w:t>66</w:t>
                              </w:r>
                              <w:r w:rsidRPr="00317D57">
                                <w:rPr>
                                  <w:rFonts w:ascii="宋体" w:hAnsi="宋体" w:cs="宋体"/>
                                  <w:kern w:val="0"/>
                                  <w:sz w:val="24"/>
                                </w:rPr>
                                <w:t xml:space="preserve">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317D57" w:rsidRPr="00317D57" w:rsidRDefault="00317D57" w:rsidP="00317D57">
                              <w:pPr>
                                <w:widowControl/>
                                <w:spacing w:before="100" w:beforeAutospacing="1" w:after="180"/>
                                <w:jc w:val="center"/>
                                <w:rPr>
                                  <w:rFonts w:ascii="宋体" w:hAnsi="宋体" w:cs="宋体"/>
                                  <w:kern w:val="0"/>
                                  <w:sz w:val="24"/>
                                </w:rPr>
                              </w:pPr>
                              <w:r w:rsidRPr="00317D57">
                                <w:rPr>
                                  <w:rFonts w:ascii="宋体" w:hAnsi="宋体" w:cs="宋体"/>
                                  <w:kern w:val="0"/>
                                  <w:sz w:val="20"/>
                                  <w:szCs w:val="20"/>
                                </w:rPr>
                                <w:t>93</w:t>
                              </w:r>
                            </w:p>
                          </w:tc>
                        </w:tr>
                        <w:tr w:rsidR="00317D57" w:rsidRPr="00317D57">
                          <w:trPr>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317D57" w:rsidRPr="00317D57" w:rsidRDefault="00317D57" w:rsidP="00317D57">
                              <w:pPr>
                                <w:widowControl/>
                                <w:spacing w:before="100" w:beforeAutospacing="1" w:after="180"/>
                                <w:jc w:val="center"/>
                                <w:rPr>
                                  <w:rFonts w:ascii="宋体" w:hAnsi="宋体" w:cs="宋体"/>
                                  <w:kern w:val="0"/>
                                  <w:sz w:val="24"/>
                                </w:rPr>
                              </w:pPr>
                              <w:r w:rsidRPr="00317D57">
                                <w:rPr>
                                  <w:rFonts w:ascii="宋体" w:hAnsi="宋体" w:cs="宋体"/>
                                  <w:kern w:val="0"/>
                                  <w:sz w:val="20"/>
                                  <w:szCs w:val="20"/>
                                </w:rPr>
                                <w:lastRenderedPageBreak/>
                                <w:t>51</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317D57" w:rsidRPr="00317D57" w:rsidRDefault="00317D57" w:rsidP="00317D57">
                              <w:pPr>
                                <w:widowControl/>
                                <w:spacing w:before="100" w:beforeAutospacing="1" w:after="180"/>
                                <w:jc w:val="center"/>
                                <w:rPr>
                                  <w:rFonts w:ascii="宋体" w:hAnsi="宋体" w:cs="宋体"/>
                                  <w:kern w:val="0"/>
                                  <w:sz w:val="24"/>
                                </w:rPr>
                              </w:pPr>
                              <w:r w:rsidRPr="00317D57">
                                <w:rPr>
                                  <w:rFonts w:ascii="宋体" w:hAnsi="宋体" w:cs="宋体"/>
                                  <w:kern w:val="0"/>
                                  <w:sz w:val="20"/>
                                  <w:szCs w:val="20"/>
                                </w:rPr>
                                <w:t>190</w:t>
                              </w:r>
                              <w:r w:rsidRPr="00317D57">
                                <w:rPr>
                                  <w:rFonts w:ascii="宋体" w:hAnsi="宋体" w:cs="宋体"/>
                                  <w:kern w:val="0"/>
                                  <w:sz w:val="24"/>
                                </w:rPr>
                                <w:t xml:space="preserve">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317D57" w:rsidRPr="00317D57" w:rsidRDefault="00317D57" w:rsidP="00317D57">
                              <w:pPr>
                                <w:widowControl/>
                                <w:spacing w:before="100" w:beforeAutospacing="1" w:after="180"/>
                                <w:jc w:val="center"/>
                                <w:rPr>
                                  <w:rFonts w:ascii="宋体" w:hAnsi="宋体" w:cs="宋体"/>
                                  <w:kern w:val="0"/>
                                  <w:sz w:val="24"/>
                                </w:rPr>
                              </w:pPr>
                              <w:r w:rsidRPr="00317D57">
                                <w:rPr>
                                  <w:rFonts w:ascii="宋体" w:hAnsi="宋体" w:cs="宋体"/>
                                  <w:kern w:val="0"/>
                                  <w:sz w:val="20"/>
                                  <w:szCs w:val="20"/>
                                </w:rPr>
                                <w:t>67</w:t>
                              </w:r>
                              <w:r w:rsidRPr="00317D57">
                                <w:rPr>
                                  <w:rFonts w:ascii="宋体" w:hAnsi="宋体" w:cs="宋体"/>
                                  <w:kern w:val="0"/>
                                  <w:sz w:val="24"/>
                                </w:rPr>
                                <w:t xml:space="preserve">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317D57" w:rsidRPr="00317D57" w:rsidRDefault="00317D57" w:rsidP="00317D57">
                              <w:pPr>
                                <w:widowControl/>
                                <w:spacing w:before="100" w:beforeAutospacing="1" w:after="180"/>
                                <w:jc w:val="center"/>
                                <w:rPr>
                                  <w:rFonts w:ascii="宋体" w:hAnsi="宋体" w:cs="宋体"/>
                                  <w:kern w:val="0"/>
                                  <w:sz w:val="24"/>
                                </w:rPr>
                              </w:pPr>
                              <w:r w:rsidRPr="00317D57">
                                <w:rPr>
                                  <w:rFonts w:ascii="宋体" w:hAnsi="宋体" w:cs="宋体"/>
                                  <w:kern w:val="0"/>
                                  <w:sz w:val="20"/>
                                  <w:szCs w:val="20"/>
                                </w:rPr>
                                <w:t>84</w:t>
                              </w:r>
                            </w:p>
                          </w:tc>
                        </w:tr>
                        <w:tr w:rsidR="00317D57" w:rsidRPr="00317D57">
                          <w:trPr>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317D57" w:rsidRPr="00317D57" w:rsidRDefault="00317D57" w:rsidP="00317D57">
                              <w:pPr>
                                <w:widowControl/>
                                <w:spacing w:before="100" w:beforeAutospacing="1" w:after="180"/>
                                <w:jc w:val="center"/>
                                <w:rPr>
                                  <w:rFonts w:ascii="宋体" w:hAnsi="宋体" w:cs="宋体"/>
                                  <w:kern w:val="0"/>
                                  <w:sz w:val="24"/>
                                </w:rPr>
                              </w:pPr>
                              <w:r w:rsidRPr="00317D57">
                                <w:rPr>
                                  <w:rFonts w:ascii="宋体" w:hAnsi="宋体" w:cs="宋体"/>
                                  <w:kern w:val="0"/>
                                  <w:sz w:val="20"/>
                                  <w:szCs w:val="20"/>
                                </w:rPr>
                                <w:t>52</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317D57" w:rsidRPr="00317D57" w:rsidRDefault="00317D57" w:rsidP="00317D57">
                              <w:pPr>
                                <w:widowControl/>
                                <w:spacing w:before="100" w:beforeAutospacing="1" w:after="180"/>
                                <w:jc w:val="center"/>
                                <w:rPr>
                                  <w:rFonts w:ascii="宋体" w:hAnsi="宋体" w:cs="宋体"/>
                                  <w:kern w:val="0"/>
                                  <w:sz w:val="24"/>
                                </w:rPr>
                              </w:pPr>
                              <w:r w:rsidRPr="00317D57">
                                <w:rPr>
                                  <w:rFonts w:ascii="宋体" w:hAnsi="宋体" w:cs="宋体"/>
                                  <w:kern w:val="0"/>
                                  <w:sz w:val="20"/>
                                  <w:szCs w:val="20"/>
                                </w:rPr>
                                <w:t>185</w:t>
                              </w:r>
                              <w:r w:rsidRPr="00317D57">
                                <w:rPr>
                                  <w:rFonts w:ascii="宋体" w:hAnsi="宋体" w:cs="宋体"/>
                                  <w:kern w:val="0"/>
                                  <w:sz w:val="24"/>
                                </w:rPr>
                                <w:t xml:space="preserve">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317D57" w:rsidRPr="00317D57" w:rsidRDefault="00317D57" w:rsidP="00317D57">
                              <w:pPr>
                                <w:widowControl/>
                                <w:spacing w:before="100" w:beforeAutospacing="1" w:after="180"/>
                                <w:jc w:val="center"/>
                                <w:rPr>
                                  <w:rFonts w:ascii="宋体" w:hAnsi="宋体" w:cs="宋体"/>
                                  <w:kern w:val="0"/>
                                  <w:sz w:val="24"/>
                                </w:rPr>
                              </w:pPr>
                              <w:r w:rsidRPr="00317D57">
                                <w:rPr>
                                  <w:rFonts w:ascii="宋体" w:hAnsi="宋体" w:cs="宋体"/>
                                  <w:kern w:val="0"/>
                                  <w:sz w:val="20"/>
                                  <w:szCs w:val="20"/>
                                </w:rPr>
                                <w:t>68</w:t>
                              </w:r>
                              <w:r w:rsidRPr="00317D57">
                                <w:rPr>
                                  <w:rFonts w:ascii="宋体" w:hAnsi="宋体" w:cs="宋体"/>
                                  <w:kern w:val="0"/>
                                  <w:sz w:val="24"/>
                                </w:rPr>
                                <w:t xml:space="preserve">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317D57" w:rsidRPr="00317D57" w:rsidRDefault="00317D57" w:rsidP="00317D57">
                              <w:pPr>
                                <w:widowControl/>
                                <w:spacing w:before="100" w:beforeAutospacing="1" w:after="180"/>
                                <w:jc w:val="center"/>
                                <w:rPr>
                                  <w:rFonts w:ascii="宋体" w:hAnsi="宋体" w:cs="宋体"/>
                                  <w:kern w:val="0"/>
                                  <w:sz w:val="24"/>
                                </w:rPr>
                              </w:pPr>
                              <w:r w:rsidRPr="00317D57">
                                <w:rPr>
                                  <w:rFonts w:ascii="宋体" w:hAnsi="宋体" w:cs="宋体"/>
                                  <w:kern w:val="0"/>
                                  <w:sz w:val="20"/>
                                  <w:szCs w:val="20"/>
                                </w:rPr>
                                <w:t>75</w:t>
                              </w:r>
                            </w:p>
                          </w:tc>
                        </w:tr>
                        <w:tr w:rsidR="00317D57" w:rsidRPr="00317D57">
                          <w:trPr>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317D57" w:rsidRPr="00317D57" w:rsidRDefault="00317D57" w:rsidP="00317D57">
                              <w:pPr>
                                <w:widowControl/>
                                <w:spacing w:before="100" w:beforeAutospacing="1" w:after="180"/>
                                <w:jc w:val="center"/>
                                <w:rPr>
                                  <w:rFonts w:ascii="宋体" w:hAnsi="宋体" w:cs="宋体"/>
                                  <w:kern w:val="0"/>
                                  <w:sz w:val="24"/>
                                </w:rPr>
                              </w:pPr>
                              <w:r w:rsidRPr="00317D57">
                                <w:rPr>
                                  <w:rFonts w:ascii="宋体" w:hAnsi="宋体" w:cs="宋体"/>
                                  <w:kern w:val="0"/>
                                  <w:sz w:val="20"/>
                                  <w:szCs w:val="20"/>
                                </w:rPr>
                                <w:t>53</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317D57" w:rsidRPr="00317D57" w:rsidRDefault="00317D57" w:rsidP="00317D57">
                              <w:pPr>
                                <w:widowControl/>
                                <w:spacing w:before="100" w:beforeAutospacing="1" w:after="180"/>
                                <w:jc w:val="center"/>
                                <w:rPr>
                                  <w:rFonts w:ascii="宋体" w:hAnsi="宋体" w:cs="宋体"/>
                                  <w:kern w:val="0"/>
                                  <w:sz w:val="24"/>
                                </w:rPr>
                              </w:pPr>
                              <w:r w:rsidRPr="00317D57">
                                <w:rPr>
                                  <w:rFonts w:ascii="宋体" w:hAnsi="宋体" w:cs="宋体"/>
                                  <w:kern w:val="0"/>
                                  <w:sz w:val="20"/>
                                  <w:szCs w:val="20"/>
                                </w:rPr>
                                <w:t>180</w:t>
                              </w:r>
                              <w:r w:rsidRPr="00317D57">
                                <w:rPr>
                                  <w:rFonts w:ascii="宋体" w:hAnsi="宋体" w:cs="宋体"/>
                                  <w:kern w:val="0"/>
                                  <w:sz w:val="24"/>
                                </w:rPr>
                                <w:t xml:space="preserve">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317D57" w:rsidRPr="00317D57" w:rsidRDefault="00317D57" w:rsidP="00317D57">
                              <w:pPr>
                                <w:widowControl/>
                                <w:spacing w:before="100" w:beforeAutospacing="1" w:after="180"/>
                                <w:jc w:val="center"/>
                                <w:rPr>
                                  <w:rFonts w:ascii="宋体" w:hAnsi="宋体" w:cs="宋体"/>
                                  <w:kern w:val="0"/>
                                  <w:sz w:val="24"/>
                                </w:rPr>
                              </w:pPr>
                              <w:r w:rsidRPr="00317D57">
                                <w:rPr>
                                  <w:rFonts w:ascii="宋体" w:hAnsi="宋体" w:cs="宋体"/>
                                  <w:kern w:val="0"/>
                                  <w:sz w:val="20"/>
                                  <w:szCs w:val="20"/>
                                </w:rPr>
                                <w:t>69</w:t>
                              </w:r>
                              <w:r w:rsidRPr="00317D57">
                                <w:rPr>
                                  <w:rFonts w:ascii="宋体" w:hAnsi="宋体" w:cs="宋体"/>
                                  <w:kern w:val="0"/>
                                  <w:sz w:val="24"/>
                                </w:rPr>
                                <w:t xml:space="preserve">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317D57" w:rsidRPr="00317D57" w:rsidRDefault="00317D57" w:rsidP="00317D57">
                              <w:pPr>
                                <w:widowControl/>
                                <w:spacing w:before="100" w:beforeAutospacing="1" w:after="180"/>
                                <w:jc w:val="center"/>
                                <w:rPr>
                                  <w:rFonts w:ascii="宋体" w:hAnsi="宋体" w:cs="宋体"/>
                                  <w:kern w:val="0"/>
                                  <w:sz w:val="24"/>
                                </w:rPr>
                              </w:pPr>
                              <w:r w:rsidRPr="00317D57">
                                <w:rPr>
                                  <w:rFonts w:ascii="宋体" w:hAnsi="宋体" w:cs="宋体"/>
                                  <w:kern w:val="0"/>
                                  <w:sz w:val="20"/>
                                  <w:szCs w:val="20"/>
                                </w:rPr>
                                <w:t>65</w:t>
                              </w:r>
                            </w:p>
                          </w:tc>
                        </w:tr>
                        <w:tr w:rsidR="00317D57" w:rsidRPr="00317D57">
                          <w:trPr>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317D57" w:rsidRPr="00317D57" w:rsidRDefault="00317D57" w:rsidP="00317D57">
                              <w:pPr>
                                <w:widowControl/>
                                <w:spacing w:before="100" w:beforeAutospacing="1" w:after="180"/>
                                <w:jc w:val="center"/>
                                <w:rPr>
                                  <w:rFonts w:ascii="宋体" w:hAnsi="宋体" w:cs="宋体"/>
                                  <w:kern w:val="0"/>
                                  <w:sz w:val="24"/>
                                </w:rPr>
                              </w:pPr>
                              <w:r w:rsidRPr="00317D57">
                                <w:rPr>
                                  <w:rFonts w:ascii="宋体" w:hAnsi="宋体" w:cs="宋体"/>
                                  <w:kern w:val="0"/>
                                  <w:sz w:val="20"/>
                                  <w:szCs w:val="20"/>
                                </w:rPr>
                                <w:t>54</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317D57" w:rsidRPr="00317D57" w:rsidRDefault="00317D57" w:rsidP="00317D57">
                              <w:pPr>
                                <w:widowControl/>
                                <w:spacing w:before="100" w:beforeAutospacing="1" w:after="180"/>
                                <w:jc w:val="center"/>
                                <w:rPr>
                                  <w:rFonts w:ascii="宋体" w:hAnsi="宋体" w:cs="宋体"/>
                                  <w:kern w:val="0"/>
                                  <w:sz w:val="24"/>
                                </w:rPr>
                              </w:pPr>
                              <w:r w:rsidRPr="00317D57">
                                <w:rPr>
                                  <w:rFonts w:ascii="宋体" w:hAnsi="宋体" w:cs="宋体"/>
                                  <w:kern w:val="0"/>
                                  <w:sz w:val="20"/>
                                  <w:szCs w:val="20"/>
                                </w:rPr>
                                <w:t>175</w:t>
                              </w:r>
                              <w:r w:rsidRPr="00317D57">
                                <w:rPr>
                                  <w:rFonts w:ascii="宋体" w:hAnsi="宋体" w:cs="宋体"/>
                                  <w:kern w:val="0"/>
                                  <w:sz w:val="24"/>
                                </w:rPr>
                                <w:t xml:space="preserve">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317D57" w:rsidRPr="00317D57" w:rsidRDefault="00317D57" w:rsidP="00317D57">
                              <w:pPr>
                                <w:widowControl/>
                                <w:spacing w:before="100" w:beforeAutospacing="1" w:after="180"/>
                                <w:jc w:val="center"/>
                                <w:rPr>
                                  <w:rFonts w:ascii="宋体" w:hAnsi="宋体" w:cs="宋体"/>
                                  <w:kern w:val="0"/>
                                  <w:sz w:val="24"/>
                                </w:rPr>
                              </w:pPr>
                              <w:r w:rsidRPr="00317D57">
                                <w:rPr>
                                  <w:rFonts w:ascii="宋体" w:hAnsi="宋体" w:cs="宋体"/>
                                  <w:kern w:val="0"/>
                                  <w:sz w:val="20"/>
                                  <w:szCs w:val="20"/>
                                </w:rPr>
                                <w:t>70</w:t>
                              </w:r>
                              <w:r w:rsidRPr="00317D57">
                                <w:rPr>
                                  <w:rFonts w:ascii="宋体" w:hAnsi="宋体" w:cs="宋体"/>
                                  <w:kern w:val="0"/>
                                  <w:sz w:val="24"/>
                                </w:rPr>
                                <w:t xml:space="preserve">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317D57" w:rsidRPr="00317D57" w:rsidRDefault="00317D57" w:rsidP="00317D57">
                              <w:pPr>
                                <w:widowControl/>
                                <w:spacing w:before="100" w:beforeAutospacing="1" w:after="180"/>
                                <w:jc w:val="center"/>
                                <w:rPr>
                                  <w:rFonts w:ascii="宋体" w:hAnsi="宋体" w:cs="宋体"/>
                                  <w:kern w:val="0"/>
                                  <w:sz w:val="24"/>
                                </w:rPr>
                              </w:pPr>
                              <w:r w:rsidRPr="00317D57">
                                <w:rPr>
                                  <w:rFonts w:ascii="宋体" w:hAnsi="宋体" w:cs="宋体"/>
                                  <w:kern w:val="0"/>
                                  <w:sz w:val="20"/>
                                  <w:szCs w:val="20"/>
                                </w:rPr>
                                <w:t>56</w:t>
                              </w:r>
                            </w:p>
                          </w:tc>
                        </w:tr>
                        <w:tr w:rsidR="00317D57" w:rsidRPr="00317D57">
                          <w:trPr>
                            <w:jc w:val="center"/>
                          </w:trPr>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317D57" w:rsidRPr="00317D57" w:rsidRDefault="00317D57" w:rsidP="00317D57">
                              <w:pPr>
                                <w:widowControl/>
                                <w:spacing w:before="100" w:beforeAutospacing="1" w:after="180"/>
                                <w:jc w:val="center"/>
                                <w:rPr>
                                  <w:rFonts w:ascii="宋体" w:hAnsi="宋体" w:cs="宋体"/>
                                  <w:kern w:val="0"/>
                                  <w:sz w:val="24"/>
                                </w:rPr>
                              </w:pPr>
                              <w:r w:rsidRPr="00317D57">
                                <w:rPr>
                                  <w:rFonts w:ascii="宋体" w:hAnsi="宋体" w:cs="宋体"/>
                                  <w:kern w:val="0"/>
                                  <w:sz w:val="20"/>
                                  <w:szCs w:val="20"/>
                                </w:rPr>
                                <w:t>55</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317D57" w:rsidRPr="00317D57" w:rsidRDefault="00317D57" w:rsidP="00317D57">
                              <w:pPr>
                                <w:widowControl/>
                                <w:spacing w:before="100" w:beforeAutospacing="1" w:after="180"/>
                                <w:jc w:val="center"/>
                                <w:rPr>
                                  <w:rFonts w:ascii="宋体" w:hAnsi="宋体" w:cs="宋体"/>
                                  <w:kern w:val="0"/>
                                  <w:sz w:val="24"/>
                                </w:rPr>
                              </w:pPr>
                              <w:r w:rsidRPr="00317D57">
                                <w:rPr>
                                  <w:rFonts w:ascii="宋体" w:hAnsi="宋体" w:cs="宋体"/>
                                  <w:kern w:val="0"/>
                                  <w:sz w:val="20"/>
                                  <w:szCs w:val="20"/>
                                </w:rPr>
                                <w:t>170</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317D57" w:rsidRPr="00317D57" w:rsidRDefault="00317D57" w:rsidP="00317D57">
                              <w:pPr>
                                <w:widowControl/>
                                <w:spacing w:before="100" w:beforeAutospacing="1" w:after="180"/>
                                <w:jc w:val="center"/>
                                <w:rPr>
                                  <w:rFonts w:ascii="宋体" w:hAnsi="宋体" w:cs="宋体"/>
                                  <w:kern w:val="0"/>
                                  <w:sz w:val="24"/>
                                </w:rPr>
                              </w:pPr>
                              <w:r w:rsidRPr="00317D57">
                                <w:rPr>
                                  <w:rFonts w:ascii="宋体" w:hAnsi="宋体" w:cs="宋体"/>
                                  <w:kern w:val="0"/>
                                  <w:sz w:val="20"/>
                                  <w:szCs w:val="20"/>
                                </w:rPr>
                                <w:t> </w:t>
                              </w:r>
                              <w:r w:rsidRPr="00317D57">
                                <w:rPr>
                                  <w:rFonts w:ascii="宋体" w:hAnsi="宋体" w:cs="宋体"/>
                                  <w:kern w:val="0"/>
                                  <w:sz w:val="24"/>
                                </w:rPr>
                                <w:t xml:space="preserve"> </w:t>
                              </w:r>
                            </w:p>
                          </w:tc>
                          <w:tc>
                            <w:tcPr>
                              <w:tcW w:w="0" w:type="auto"/>
                              <w:tcBorders>
                                <w:top w:val="outset" w:sz="6" w:space="0" w:color="000000"/>
                                <w:left w:val="outset" w:sz="6" w:space="0" w:color="000000"/>
                                <w:bottom w:val="outset" w:sz="6" w:space="0" w:color="000000"/>
                                <w:right w:val="outset" w:sz="6" w:space="0" w:color="000000"/>
                              </w:tcBorders>
                              <w:shd w:val="clear" w:color="auto" w:fill="FFFFFF"/>
                              <w:vAlign w:val="center"/>
                              <w:hideMark/>
                            </w:tcPr>
                            <w:p w:rsidR="00317D57" w:rsidRPr="00317D57" w:rsidRDefault="00317D57" w:rsidP="00317D57">
                              <w:pPr>
                                <w:widowControl/>
                                <w:spacing w:before="100" w:beforeAutospacing="1" w:after="180"/>
                                <w:jc w:val="center"/>
                                <w:rPr>
                                  <w:rFonts w:ascii="宋体" w:hAnsi="宋体" w:cs="宋体"/>
                                  <w:kern w:val="0"/>
                                  <w:sz w:val="24"/>
                                </w:rPr>
                              </w:pPr>
                              <w:r w:rsidRPr="00317D57">
                                <w:rPr>
                                  <w:rFonts w:ascii="宋体" w:hAnsi="宋体" w:cs="宋体"/>
                                  <w:kern w:val="0"/>
                                  <w:sz w:val="24"/>
                                </w:rPr>
                                <w:t> </w:t>
                              </w:r>
                            </w:p>
                          </w:tc>
                        </w:tr>
                      </w:tbl>
                      <w:p w:rsidR="00317D57" w:rsidRPr="00317D57" w:rsidRDefault="00317D57" w:rsidP="00317D57">
                        <w:pPr>
                          <w:widowControl/>
                          <w:spacing w:line="432" w:lineRule="auto"/>
                          <w:jc w:val="left"/>
                          <w:rPr>
                            <w:rFonts w:ascii="宋体" w:hAnsi="宋体" w:cs="宋体"/>
                            <w:kern w:val="0"/>
                            <w:sz w:val="24"/>
                          </w:rPr>
                        </w:pPr>
                      </w:p>
                    </w:tc>
                  </w:tr>
                  <w:tr w:rsidR="00317D57" w:rsidRPr="00317D57">
                    <w:trPr>
                      <w:tblCellSpacing w:w="0" w:type="dxa"/>
                    </w:trPr>
                    <w:tc>
                      <w:tcPr>
                        <w:tcW w:w="0" w:type="auto"/>
                        <w:vAlign w:val="center"/>
                        <w:hideMark/>
                      </w:tcPr>
                      <w:p w:rsidR="00317D57" w:rsidRPr="00317D57" w:rsidRDefault="00317D57" w:rsidP="00317D57">
                        <w:pPr>
                          <w:widowControl/>
                          <w:jc w:val="left"/>
                          <w:rPr>
                            <w:rFonts w:ascii="宋体" w:hAnsi="宋体" w:cs="宋体"/>
                            <w:kern w:val="0"/>
                            <w:sz w:val="24"/>
                          </w:rPr>
                        </w:pPr>
                      </w:p>
                    </w:tc>
                  </w:tr>
                </w:tbl>
                <w:p w:rsidR="00317D57" w:rsidRPr="00317D57" w:rsidRDefault="00317D57" w:rsidP="00317D57">
                  <w:pPr>
                    <w:widowControl/>
                    <w:jc w:val="left"/>
                    <w:rPr>
                      <w:rFonts w:ascii="宋体" w:hAnsi="宋体" w:cs="宋体"/>
                      <w:kern w:val="0"/>
                      <w:sz w:val="24"/>
                    </w:rPr>
                  </w:pPr>
                </w:p>
              </w:tc>
            </w:tr>
          </w:tbl>
          <w:p w:rsidR="00317D57" w:rsidRPr="00317D57" w:rsidRDefault="00317D57" w:rsidP="00317D57">
            <w:pPr>
              <w:widowControl/>
              <w:jc w:val="left"/>
              <w:rPr>
                <w:rFonts w:ascii="宋体" w:hAnsi="宋体" w:cs="宋体"/>
                <w:kern w:val="0"/>
                <w:sz w:val="24"/>
              </w:rPr>
            </w:pPr>
          </w:p>
        </w:tc>
      </w:tr>
    </w:tbl>
    <w:p w:rsidR="008F3CD1" w:rsidRDefault="008F3CD1">
      <w:pPr>
        <w:rPr>
          <w:rFonts w:hint="eastAsia"/>
        </w:rPr>
      </w:pPr>
    </w:p>
    <w:sectPr w:rsidR="008F3CD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AD6"/>
    <w:rsid w:val="002F3837"/>
    <w:rsid w:val="00317D57"/>
    <w:rsid w:val="008F3CD1"/>
    <w:rsid w:val="00B77A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317D5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317D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1651666">
      <w:bodyDiv w:val="1"/>
      <w:marLeft w:val="0"/>
      <w:marRight w:val="0"/>
      <w:marTop w:val="0"/>
      <w:marBottom w:val="0"/>
      <w:divBdr>
        <w:top w:val="none" w:sz="0" w:space="0" w:color="auto"/>
        <w:left w:val="none" w:sz="0" w:space="0" w:color="auto"/>
        <w:bottom w:val="none" w:sz="0" w:space="0" w:color="auto"/>
        <w:right w:val="none" w:sz="0" w:space="0" w:color="auto"/>
      </w:divBdr>
      <w:divsChild>
        <w:div w:id="1718966527">
          <w:marLeft w:val="0"/>
          <w:marRight w:val="0"/>
          <w:marTop w:val="0"/>
          <w:marBottom w:val="300"/>
          <w:divBdr>
            <w:top w:val="single" w:sz="6" w:space="15" w:color="9F9F9F"/>
            <w:left w:val="none" w:sz="0" w:space="0" w:color="auto"/>
            <w:bottom w:val="single" w:sz="6" w:space="15" w:color="9F9F9F"/>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573</Words>
  <Characters>3267</Characters>
  <Application>Microsoft Office Word</Application>
  <DocSecurity>0</DocSecurity>
  <Lines>27</Lines>
  <Paragraphs>7</Paragraphs>
  <ScaleCrop>false</ScaleCrop>
  <Company>MOHRSS\XXZX</Company>
  <LinksUpToDate>false</LinksUpToDate>
  <CharactersWithSpaces>3833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毛学舜</dc:creator>
  <cp:keywords/>
  <dc:description/>
  <cp:lastModifiedBy>毛学舜</cp:lastModifiedBy>
  <cp:revision>3</cp:revision>
  <dcterms:created xsi:type="dcterms:W3CDTF">2015-02-03T12:50:00Z</dcterms:created>
  <dcterms:modified xsi:type="dcterms:W3CDTF">2015-02-03T12:57:00Z</dcterms:modified>
</cp:coreProperties>
</file>