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sz w:val="44"/>
        </w:rPr>
        <w:t>GMSC 金融风控评分卡建模总结报告</w:t>
      </w:r>
    </w:p>
    <w:p>
      <w:pPr>
        <w:spacing w:after="100"/>
      </w:pPr>
      <w:r>
        <w:rPr>
          <w:rFonts w:ascii="Microsoft YaHei" w:hAnsi="Microsoft YaHei" w:eastAsia="Microsoft YaHei"/>
        </w:rPr>
        <w:t>基于真实 Give Me Some Credit 数据的教学研究成果</w:t>
      </w:r>
    </w:p>
    <w:p>
      <w:pPr>
        <w:spacing w:after="100"/>
      </w:pPr>
      <w:r>
        <w:rPr>
          <w:rFonts w:ascii="Microsoft YaHei" w:hAnsi="Microsoft YaHei" w:eastAsia="Microsoft YaHei"/>
        </w:rPr>
        <w:t>项目阶段：第七阶段最终交付｜口径：预测未来两年严重逾期概率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sz w:val="32"/>
        </w:rPr>
        <w:t>摘要</w:t>
      </w:r>
    </w:p>
    <w:p>
      <w:pPr>
        <w:spacing w:after="100"/>
      </w:pPr>
      <w:r>
        <w:rPr>
          <w:rFonts w:ascii="Microsoft YaHei" w:hAnsi="Microsoft YaHei" w:eastAsia="Microsoft YaHei"/>
        </w:rPr>
        <w:t>项目在有标签样本上按目标变量分层划分训练集、验证集和测试集。WOE + Logistic Regression 构成主评分卡；Random Forest 与 XGBoost 用作对照。模型选择只依据训练过程和验证集；冻结后测试集仅用于一次性泛化审计。</w:t>
      </w:r>
    </w:p>
    <w:p>
      <w:pPr>
        <w:spacing w:after="100"/>
      </w:pPr>
      <w:r>
        <w:rPr>
          <w:rFonts w:ascii="Microsoft YaHei" w:hAnsi="Microsoft YaHei" w:eastAsia="Microsoft YaHei"/>
        </w:rPr>
        <w:t>验证集综合比较显示 XGBoost 是最佳树模型挑战者，主评分卡仍保留 Logistic 路线。这个选择同时考虑概率校准、可解释性、复杂度与教学目标。所有策略结果均为训练集样本内模拟，不构成审批建议。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sz w:val="32"/>
        </w:rPr>
        <w:t>1 任务与数据治理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86"/>
        <w:gridCol w:w="3286"/>
        <w:gridCol w:w="3286"/>
      </w:tblGrid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数据组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样本量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8"/>
              </w:rPr>
              <w:t>训练集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8"/>
              </w:rPr>
              <w:t>105,000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8"/>
              </w:rPr>
              <w:t>拟合清洗、分箱、特征筛选与调参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8"/>
              </w:rPr>
              <w:t>验证集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8"/>
              </w:rPr>
              <w:t>22,500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8"/>
              </w:rPr>
              <w:t>模型选择与稳定性检查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8"/>
              </w:rPr>
              <w:t>测试集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8"/>
              </w:rPr>
              <w:t>22,500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8"/>
              </w:rPr>
              <w:t>冻结后一次性审计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</w:rPr>
        <w:t>原始数据由用户本地提供；无标签 Kaggle 测试文件不用于最终评价。模型目标 SeriousDlqin2yrs=1 表示未来两年发生严重逾期。项目不预测损失金额、收益，也不代表真实授信决策。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sz w:val="32"/>
        </w:rPr>
        <w:t>2 数据清洗与特征工程</w:t>
      </w:r>
    </w:p>
    <w:p>
      <w:pPr>
        <w:spacing w:after="100"/>
      </w:pPr>
      <w:r>
        <w:rPr>
          <w:rFonts w:ascii="Microsoft YaHei" w:hAnsi="Microsoft YaHei" w:eastAsia="Microsoft YaHei"/>
        </w:rPr>
        <w:t>第二阶段在训练集检查缺失、特殊值和风险分组，再将训练集拟合的规则应用于三组数据。第三阶段保留原始变量并形成 20 个非 WOE 候选特征；分箱、WOE 和 IV 仅在训练集拟合。验证集 PSI 不使用标签。</w:t>
      </w:r>
    </w:p>
    <w:p>
      <w:pPr>
        <w:spacing w:after="100"/>
      </w:pPr>
      <w:r>
        <w:rPr>
          <w:rFonts w:ascii="Microsoft YaHei" w:hAnsi="Microsoft YaHei" w:eastAsia="Microsoft YaHei"/>
        </w:rPr>
        <w:t>训练集月收入缺失 20,723 条，占 19.74%。缺失模式可能反映记录方式，不能直接解释为因果风险。部分逾期变量具有较高 IV，项目在后续筛选时复核冗余和业务意义。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737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v_ran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737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图 1 训练集候选变量 IV 排名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sz w:val="32"/>
        </w:rPr>
        <w:t>3 Logistic 主评分卡</w:t>
      </w:r>
    </w:p>
    <w:p>
      <w:pPr>
        <w:spacing w:after="100"/>
      </w:pPr>
      <w:r>
        <w:rPr>
          <w:rFonts w:ascii="Microsoft YaHei" w:hAnsi="Microsoft YaHei" w:eastAsia="Microsoft YaHei"/>
        </w:rPr>
        <w:t>第四阶段综合 IV、相关性、VIF、系数方向、显著性、稳定性和业务意义，最终采用“原始比例”方案，保留 8 个变量。评分参数为基准分 600、好坏 Odds 20:1、PDO 20；A–E 等级边界仅由训练集评分分布确定。</w:t>
      </w:r>
    </w:p>
    <w:p>
      <w:pPr>
        <w:spacing w:after="100"/>
      </w:pPr>
      <w:r>
        <w:rPr>
          <w:rFonts w:ascii="Microsoft YaHei" w:hAnsi="Microsoft YaHei" w:eastAsia="Microsoft YaHei"/>
        </w:rPr>
        <w:t>客户页同时呈现严重逾期概率、信用分、等级和变量贡献。总分与贡献分经过一致性核对；RF 与 XGBoost 仅提供概率对照。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072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72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图 2 训练集评分分布</w:t>
      </w:r>
    </w:p>
    <w:p>
      <w:r>
        <w:br w:type="page"/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sz w:val="32"/>
        </w:rPr>
        <w:t>4 验证集模型比较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模型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AUC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KS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PR-AUC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F1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Brier</w:t>
            </w:r>
          </w:p>
        </w:tc>
      </w:tr>
      <w:tr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XGBoost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0.870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0.587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0.406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0.451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0.048</w:t>
            </w:r>
          </w:p>
        </w:tc>
      </w:tr>
      <w:tr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Random Forest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0.870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0.590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0.399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0.450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0.049</w:t>
            </w:r>
          </w:p>
        </w:tc>
      </w:tr>
      <w:tr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Logistic 评分卡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0.860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0.567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0.358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0.438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0.050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</w:rPr>
        <w:t>XGBoost 在验证集综合比较中领先，是最佳树模型挑战者；Logistic 主评分卡保留清晰的分箱、WOE 和积分贡献路径。Random Forest 的验证集校准截距略超项目设定门槛。模型结论不能只凭 AUC 得出。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0546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54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图 3 验证集三模型关键指标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sz w:val="32"/>
        </w:rPr>
        <w:t>5 冻结后测试审计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模型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AUC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KS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PR-AUC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F1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Brier</w:t>
            </w:r>
          </w:p>
        </w:tc>
      </w:tr>
      <w:tr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XGBoost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0.863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0.570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0.404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0.438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0.049</w:t>
            </w:r>
          </w:p>
        </w:tc>
      </w:tr>
      <w:tr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Random Forest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0.861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0.568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0.400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0.433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0.049</w:t>
            </w:r>
          </w:p>
        </w:tc>
      </w:tr>
      <w:tr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Logistic 评分卡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0.854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0.561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0.356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0.436</w:t>
            </w:r>
          </w:p>
        </w:tc>
        <w:tc>
          <w:tcPr>
            <w:tcW w:type="dxa" w:w="1643"/>
          </w:tcPr>
          <w:p>
            <w:r>
              <w:rPr>
                <w:rFonts w:ascii="Microsoft YaHei" w:hAnsi="Microsoft YaHei" w:eastAsia="Microsoft YaHei"/>
                <w:sz w:val="18"/>
              </w:rPr>
              <w:t>0.051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</w:rPr>
        <w:t>三模型、阈值和验证结论先写入 SHA-256 冻结清单，再读取测试标签开展一次审计。测试集表只报告泛化表现，不生成新的模型排名，不据此调参或改变主模型。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sz w:val="32"/>
        </w:rPr>
        <w:t>6 模型解释与策略模拟</w:t>
      </w:r>
    </w:p>
    <w:p>
      <w:pPr>
        <w:spacing w:after="100"/>
      </w:pPr>
      <w:r>
        <w:rPr>
          <w:rFonts w:ascii="Microsoft YaHei" w:hAnsi="Microsoft YaHei" w:eastAsia="Microsoft YaHei"/>
        </w:rPr>
        <w:t>树模型 SHAP 在严重逾期概率空间计算，RF 和 XGBoost 的最大加总误差分别为 1.70e-08 与 3.40e-07。局部解释仅展示第五阶段固定的代表客户，不对新输入客户重算 SHAP。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9218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gboost_shap_global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921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18"/>
        </w:rPr>
        <w:t>图 4 XGBoost 验证集 SHAP 全局重要性</w:t>
      </w:r>
    </w:p>
    <w:p>
      <w:pPr>
        <w:spacing w:after="100"/>
      </w:pPr>
      <w:r>
        <w:rPr>
          <w:rFonts w:ascii="Microsoft YaHei" w:hAnsi="Microsoft YaHei" w:eastAsia="Microsoft YaHei"/>
        </w:rPr>
        <w:t>以最低通过分 600 作教学示例，训练集样本内通过率为 69.80%，通过客户坏率为 1.73%，被拒坏客户捕获率为 81.89%。这些结果可能偏乐观，不能当作真实审批策略收益。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sz w:val="32"/>
        </w:rPr>
        <w:t>7 局限、复现与交付</w:t>
      </w:r>
    </w:p>
    <w:p>
      <w:pPr>
        <w:spacing w:after="100"/>
      </w:pPr>
      <w:r>
        <w:rPr>
          <w:rFonts w:ascii="Microsoft YaHei" w:hAnsi="Microsoft YaHei" w:eastAsia="Microsoft YaHei"/>
        </w:rPr>
        <w:t>数据来自公开竞赛，缺少真实授信规则、时间外样本和上线监控环境。分组风险、SHAP 与积分贡献描述统计或模型关联，不证明因果关系。冻结后的测试审计不得用于再选择模型。</w:t>
      </w:r>
    </w:p>
    <w:p>
      <w:pPr>
        <w:spacing w:after="100"/>
      </w:pPr>
      <w:r>
        <w:rPr>
          <w:rFonts w:ascii="Microsoft YaHei" w:hAnsi="Microsoft YaHei" w:eastAsia="Microsoft YaHei"/>
        </w:rPr>
        <w:t>项目使用 Python 3.11 和根目录 .venv；运行 `python -m pytest -q` 检查实现，双击 Windows 启动脚本打开本地八页面应用。原始数据、逐行数据、日志和序列化模型保持在本地，不进入版本库。</w:t>
      </w:r>
    </w:p>
    <w:p>
      <w:pPr>
        <w:spacing w:after="100"/>
      </w:pPr>
      <w:r>
        <w:rPr>
          <w:rFonts w:ascii="Microsoft YaHei" w:hAnsi="Microsoft YaHei" w:eastAsia="Microsoft YaHei"/>
        </w:rPr>
        <w:t>主要来源：reports/stage3_summary.json、reports/stage4_summary.json、reports/stage5_summary.json、models/stage5_frozen_manifest.json，以及四本阶段分析工作簿。冻结清单 SHA-256：9b879429bbcced4d683e055ec1ba3f08f5c4ddf1fa7f256e5517b7fdcab38429</w:t>
      </w:r>
    </w:p>
    <w:sectPr w:rsidR="00FC693F" w:rsidRPr="0006063C" w:rsidSect="00034616">
      <w:footerReference w:type="default" r:id="rId13"/>
      <w:pgSz w:w="12240" w:h="15840"/>
      <w:pgMar w:top="964" w:right="1191" w:bottom="79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>GMSC 教学研究项目｜仅供学习与展示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