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5D33" w:rsidRDefault="00975E3B">
      <w:pPr>
        <w:pStyle w:val="Ttulo"/>
      </w:pPr>
      <w:proofErr w:type="spellStart"/>
      <w:r>
        <w:t>E</w:t>
      </w:r>
      <w:r w:rsidR="005A333B">
        <w:t>xpresión</w:t>
      </w:r>
      <w:proofErr w:type="spellEnd"/>
      <w:r w:rsidR="005A333B">
        <w:t xml:space="preserve"> de </w:t>
      </w:r>
      <w:proofErr w:type="spellStart"/>
      <w:r w:rsidR="005A333B">
        <w:t>Proteínas</w:t>
      </w:r>
      <w:proofErr w:type="spellEnd"/>
      <w:r w:rsidR="005A333B">
        <w:t xml:space="preserve"> </w:t>
      </w:r>
      <w:proofErr w:type="spellStart"/>
      <w:r w:rsidR="005A333B">
        <w:t>en</w:t>
      </w:r>
      <w:proofErr w:type="spellEnd"/>
      <w:r w:rsidR="005A333B">
        <w:t xml:space="preserve"> Ratones</w:t>
      </w:r>
    </w:p>
    <w:p w:rsidR="003E5D33" w:rsidRDefault="005A333B">
      <w:pPr>
        <w:pStyle w:val="Ttulo1"/>
      </w:pPr>
      <w:r>
        <w:t>1. Introducción</w:t>
      </w:r>
    </w:p>
    <w:p w:rsidR="003E5D33" w:rsidRDefault="005A333B">
      <w:r>
        <w:t xml:space="preserve">El presente análisis se realizó utilizando el dataset Data_Cortex_Nuclear.xls, que contiene mediciones de expresión de múltiples proteínas en ratones sometidos a distintos </w:t>
      </w:r>
      <w:r>
        <w:t xml:space="preserve">tratamientos y genotipos. El objetivo fue aplicar tres enfoques complementarios para explorar la relación entre la expresión de la proteína DYRK1A_N y la regulación molecular global mediante: (1) un modelo estadístico (regresión de Poisson), (2) un modelo </w:t>
      </w:r>
      <w:r>
        <w:t>biológico de tipo logístico, y (3) un análisis dinámico mediante ecuaciones diferenciales. Cada modelo aporta una visión distinta del comportamiento molecular.</w:t>
      </w:r>
    </w:p>
    <w:p w:rsidR="003E5D33" w:rsidRDefault="005A333B">
      <w:pPr>
        <w:pStyle w:val="Ttulo1"/>
      </w:pPr>
      <w:r>
        <w:t>2. Paso 1 – Regresión de Poisson</w:t>
      </w:r>
    </w:p>
    <w:p w:rsidR="003E5D33" w:rsidRDefault="005A333B">
      <w:r>
        <w:t>La regresión de Poisson se utilizó porque la variable dependien</w:t>
      </w:r>
      <w:r>
        <w:t>te (high_protein_count) representa un conteo de proteínas altamente expresadas. Este modelo permitió evaluar cómo los niveles de la proteína DYRK1A_N y el genotipo afectan la activación molecular.</w:t>
      </w:r>
    </w:p>
    <w:p w:rsidR="00C652CC" w:rsidRDefault="005A333B">
      <w:r>
        <w:t>Ecuación utilizada:</w:t>
      </w:r>
      <w:r>
        <w:br/>
        <w:t>Y</w:t>
      </w:r>
      <w:r>
        <w:t>ᵢ</w:t>
      </w:r>
      <w:r>
        <w:t xml:space="preserve"> ~ Poisson(λ</w:t>
      </w:r>
      <w:r>
        <w:t>ᵢ</w:t>
      </w:r>
      <w:r>
        <w:t>), donde λ</w:t>
      </w:r>
      <w:r>
        <w:t>ᵢ</w:t>
      </w:r>
      <w:r>
        <w:t xml:space="preserve"> = </w:t>
      </w:r>
      <w:proofErr w:type="gramStart"/>
      <w:r>
        <w:t>exp(</w:t>
      </w:r>
      <w:proofErr w:type="gramEnd"/>
      <w:r>
        <w:t>β₀ + β</w:t>
      </w:r>
      <w:r>
        <w:t>₁X</w:t>
      </w:r>
      <w:r>
        <w:t>ᵢ</w:t>
      </w:r>
      <w:r>
        <w:t>)</w:t>
      </w:r>
    </w:p>
    <w:p w:rsidR="00C652CC" w:rsidRDefault="00C652CC">
      <w:proofErr w:type="spellStart"/>
      <w:r>
        <w:t>Mayores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expresión</w:t>
      </w:r>
      <w:proofErr w:type="spellEnd"/>
      <w:r>
        <w:t xml:space="preserve"> de DYRK1A_N </w:t>
      </w:r>
      <w:proofErr w:type="spellStart"/>
      <w:r>
        <w:t>tienden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asociarse</w:t>
      </w:r>
      <w:proofErr w:type="spellEnd"/>
      <w:r>
        <w:t xml:space="preserve"> con mayor </w:t>
      </w:r>
      <w:proofErr w:type="spellStart"/>
      <w:r>
        <w:t>activación</w:t>
      </w:r>
      <w:proofErr w:type="spellEnd"/>
      <w:r>
        <w:t xml:space="preserve"> molecular. El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varía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genotipo</w:t>
      </w:r>
      <w:proofErr w:type="spellEnd"/>
      <w:r>
        <w:t xml:space="preserve">, lo que </w:t>
      </w:r>
      <w:proofErr w:type="spellStart"/>
      <w:r>
        <w:t>indica</w:t>
      </w:r>
      <w:proofErr w:type="spellEnd"/>
      <w:r>
        <w:t xml:space="preserve"> </w:t>
      </w:r>
      <w:proofErr w:type="spellStart"/>
      <w:r>
        <w:t>modulación</w:t>
      </w:r>
      <w:proofErr w:type="spellEnd"/>
      <w:r>
        <w:t xml:space="preserve"> </w:t>
      </w:r>
      <w:proofErr w:type="spellStart"/>
      <w:r>
        <w:t>genética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proteico</w:t>
      </w:r>
      <w:proofErr w:type="spellEnd"/>
      <w:r>
        <w:t>.</w:t>
      </w:r>
    </w:p>
    <w:p w:rsidR="00C652CC" w:rsidRDefault="00C652CC" w:rsidP="00C652CC">
      <w:pPr>
        <w:rPr>
          <w:noProof/>
        </w:rPr>
      </w:pPr>
      <w:r w:rsidRPr="00C652CC">
        <w:rPr>
          <w:noProof/>
        </w:rPr>
        <w:t xml:space="preserve"> </w:t>
      </w:r>
      <w:r w:rsidRPr="00C652CC">
        <w:drawing>
          <wp:inline distT="0" distB="0" distL="0" distR="0" wp14:anchorId="4B395898" wp14:editId="75F7790B">
            <wp:extent cx="5200650" cy="3333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661" cy="34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2CC" w:rsidRDefault="00C652CC" w:rsidP="00C652CC">
      <w:r w:rsidRPr="00C652CC">
        <w:rPr>
          <w:noProof/>
        </w:rPr>
        <w:lastRenderedPageBreak/>
        <w:t xml:space="preserve"> </w:t>
      </w:r>
      <w:r>
        <w:t xml:space="preserve">Un </w:t>
      </w:r>
      <w:proofErr w:type="spellStart"/>
      <w:r>
        <w:t>aumento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DYRK1A_N se </w:t>
      </w:r>
      <w:proofErr w:type="spellStart"/>
      <w:r>
        <w:t>asocia</w:t>
      </w:r>
      <w:proofErr w:type="spellEnd"/>
      <w:r>
        <w:t xml:space="preserve"> con una mayor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proteica</w:t>
      </w:r>
      <w:proofErr w:type="spellEnd"/>
      <w:r>
        <w:t xml:space="preserve">, lo que </w:t>
      </w:r>
      <w:proofErr w:type="spellStart"/>
      <w:r>
        <w:t>sugiere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proteína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regulador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. Sin embargo,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ratones</w:t>
      </w:r>
      <w:proofErr w:type="spellEnd"/>
      <w:r>
        <w:t xml:space="preserve"> Ts65Dn,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una </w:t>
      </w:r>
      <w:proofErr w:type="spellStart"/>
      <w:r>
        <w:t>alteración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molecular </w:t>
      </w:r>
      <w:proofErr w:type="spellStart"/>
      <w:r>
        <w:t>posiblemente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el </w:t>
      </w:r>
      <w:proofErr w:type="spellStart"/>
      <w:r>
        <w:t>síndrome</w:t>
      </w:r>
      <w:proofErr w:type="spellEnd"/>
      <w:r>
        <w:t xml:space="preserve"> de Down.</w:t>
      </w:r>
    </w:p>
    <w:p w:rsidR="00C652CC" w:rsidRDefault="00C652CC">
      <w:pPr>
        <w:rPr>
          <w:noProof/>
        </w:rPr>
      </w:pPr>
    </w:p>
    <w:p w:rsidR="00C652CC" w:rsidRDefault="00C652CC">
      <w:r w:rsidRPr="00C652CC">
        <w:drawing>
          <wp:inline distT="0" distB="0" distL="0" distR="0" wp14:anchorId="548B9BEE" wp14:editId="6913FA68">
            <wp:extent cx="5304325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421" cy="296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D33" w:rsidRDefault="005A333B">
      <w:pPr>
        <w:pStyle w:val="Ttulo1"/>
      </w:pPr>
      <w:r>
        <w:t>3. Paso 2 – Ajuste de Modelo Biológico (Logí</w:t>
      </w:r>
      <w:r>
        <w:t>stico)</w:t>
      </w:r>
    </w:p>
    <w:p w:rsidR="003E5D33" w:rsidRDefault="005A333B">
      <w:r>
        <w:t>Se utilizó un modelo logístico para representar un comportamiento biológico donde la activación molecular aumenta inicialmente con la proteína DYRK1A_N pero luego se estabiliza debido a límites fisiológicos.</w:t>
      </w:r>
    </w:p>
    <w:p w:rsidR="003E5D33" w:rsidRDefault="005A333B">
      <w:r>
        <w:t>Ecuación logística utilizada:</w:t>
      </w:r>
      <w:r>
        <w:br/>
        <w:t xml:space="preserve">Y(x) = K / </w:t>
      </w:r>
      <w:r>
        <w:t>(1 + A * e^(-B * x))</w:t>
      </w:r>
    </w:p>
    <w:p w:rsidR="003E5D33" w:rsidRDefault="00C652CC">
      <w:r>
        <w:t>L</w:t>
      </w:r>
      <w:r w:rsidR="005A333B">
        <w:t xml:space="preserve">a </w:t>
      </w:r>
      <w:proofErr w:type="spellStart"/>
      <w:r w:rsidR="005A333B">
        <w:t>respuesta</w:t>
      </w:r>
      <w:proofErr w:type="spellEnd"/>
      <w:r w:rsidR="005A333B">
        <w:t xml:space="preserve"> molecular </w:t>
      </w:r>
      <w:proofErr w:type="spellStart"/>
      <w:r w:rsidR="005A333B">
        <w:t>tiene</w:t>
      </w:r>
      <w:proofErr w:type="spellEnd"/>
      <w:r w:rsidR="005A333B">
        <w:t xml:space="preserve"> un techo biológico. El modelo refleja procesos de </w:t>
      </w:r>
      <w:proofErr w:type="spellStart"/>
      <w:r w:rsidR="005A333B">
        <w:t>regulación</w:t>
      </w:r>
      <w:proofErr w:type="spellEnd"/>
      <w:r w:rsidR="005A333B">
        <w:t xml:space="preserve"> y control </w:t>
      </w:r>
      <w:proofErr w:type="spellStart"/>
      <w:r w:rsidR="005A333B">
        <w:t>celular</w:t>
      </w:r>
      <w:proofErr w:type="spellEnd"/>
      <w:r w:rsidR="005A333B">
        <w:t>.</w:t>
      </w:r>
    </w:p>
    <w:p w:rsidR="00C652CC" w:rsidRDefault="00C652CC">
      <w:pPr>
        <w:rPr>
          <w:noProof/>
        </w:rPr>
      </w:pPr>
      <w:r>
        <w:t xml:space="preserve">DYRK1A_N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activador</w:t>
      </w:r>
      <w:proofErr w:type="spellEnd"/>
      <w:r>
        <w:t xml:space="preserve"> molecular hasta un punto de </w:t>
      </w:r>
      <w:proofErr w:type="spellStart"/>
      <w:r>
        <w:t>saturación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,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potencia</w:t>
      </w:r>
      <w:proofErr w:type="spellEnd"/>
      <w:r>
        <w:t xml:space="preserve"> la </w:t>
      </w:r>
      <w:proofErr w:type="spellStart"/>
      <w:r>
        <w:t>activación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proteínas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, la </w:t>
      </w:r>
      <w:proofErr w:type="spellStart"/>
      <w:r>
        <w:t>célula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responder </w:t>
      </w:r>
      <w:proofErr w:type="spellStart"/>
      <w:r>
        <w:t>proporcionalmente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autorregulación</w:t>
      </w:r>
      <w:proofErr w:type="spellEnd"/>
      <w:r>
        <w:t xml:space="preserve"> o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fisiológicos</w:t>
      </w:r>
      <w:proofErr w:type="spellEnd"/>
      <w:r>
        <w:t>.</w:t>
      </w:r>
      <w:r w:rsidRPr="00C652CC">
        <w:rPr>
          <w:noProof/>
        </w:rPr>
        <w:t xml:space="preserve"> </w:t>
      </w:r>
    </w:p>
    <w:p w:rsidR="00C652CC" w:rsidRDefault="00C652CC">
      <w:r w:rsidRPr="00C652CC">
        <w:lastRenderedPageBreak/>
        <w:drawing>
          <wp:inline distT="0" distB="0" distL="0" distR="0" wp14:anchorId="0B76DBF3" wp14:editId="32EC6E91">
            <wp:extent cx="5619750" cy="3048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D33" w:rsidRDefault="005A333B">
      <w:pPr>
        <w:pStyle w:val="Ttulo1"/>
      </w:pPr>
      <w:r>
        <w:t>4. Paso 3 – Análisis Dinámico (Sistema X–Y–Z)</w:t>
      </w:r>
    </w:p>
    <w:p w:rsidR="003E5D33" w:rsidRDefault="005A333B">
      <w:r>
        <w:t>Se analizó la dinámica molecular mediante ecuaciones diferencial</w:t>
      </w:r>
      <w:r>
        <w:t>es que representan las interacciones entre una proteína reguladora (X), una proteína diana (Y) y un inhibidor (Z).</w:t>
      </w:r>
    </w:p>
    <w:p w:rsidR="003E5D33" w:rsidRPr="00975E3B" w:rsidRDefault="005A333B">
      <w:pPr>
        <w:rPr>
          <w:lang w:val="es-CO"/>
        </w:rPr>
      </w:pPr>
      <w:r>
        <w:t>Ecuaciones utilizadas:</w:t>
      </w:r>
      <w:r>
        <w:br/>
        <w:t>dX/dt = k₁/(1+αZ) - d₁X</w:t>
      </w:r>
      <w:r>
        <w:br/>
        <w:t>dY/dt = (k₂X)/(K+X) - d₂Y</w:t>
      </w:r>
      <w:r>
        <w:br/>
        <w:t xml:space="preserve">dZ/dt = </w:t>
      </w:r>
      <w:proofErr w:type="spellStart"/>
      <w:r>
        <w:t>k₃Y</w:t>
      </w:r>
      <w:proofErr w:type="spellEnd"/>
      <w:r>
        <w:t xml:space="preserve"> - </w:t>
      </w:r>
      <w:proofErr w:type="spellStart"/>
      <w:r>
        <w:t>d₃Z</w:t>
      </w:r>
      <w:proofErr w:type="spellEnd"/>
    </w:p>
    <w:p w:rsidR="003E5D33" w:rsidRDefault="005A333B">
      <w:r>
        <w:t>El</w:t>
      </w:r>
      <w:r>
        <w:t xml:space="preserve"> s</w:t>
      </w:r>
      <w:proofErr w:type="spellStart"/>
      <w:r>
        <w:t>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activación inic</w:t>
      </w:r>
      <w:r>
        <w:t xml:space="preserve">ial, pero entra en fase de regulación y estabilidad, coherente con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biológica</w:t>
      </w:r>
      <w:proofErr w:type="spellEnd"/>
      <w:r>
        <w:t>.</w:t>
      </w:r>
    </w:p>
    <w:p w:rsidR="005A333B" w:rsidRDefault="005A333B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una </w:t>
      </w:r>
      <w:proofErr w:type="spellStart"/>
      <w:r>
        <w:t>proteína</w:t>
      </w:r>
      <w:proofErr w:type="spellEnd"/>
      <w:r>
        <w:t xml:space="preserve"> </w:t>
      </w:r>
      <w:proofErr w:type="spellStart"/>
      <w:r>
        <w:t>reguladora</w:t>
      </w:r>
      <w:proofErr w:type="spellEnd"/>
      <w:r>
        <w:t xml:space="preserve"> (X)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(Y), la </w:t>
      </w:r>
      <w:proofErr w:type="spellStart"/>
      <w:r>
        <w:t>cual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induce un </w:t>
      </w:r>
      <w:proofErr w:type="spellStart"/>
      <w:r>
        <w:t>inhibidor</w:t>
      </w:r>
      <w:proofErr w:type="spellEnd"/>
      <w:r>
        <w:t xml:space="preserve"> (Z).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activa</w:t>
      </w:r>
      <w:proofErr w:type="spellEnd"/>
      <w:r>
        <w:t xml:space="preserve">, la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</w:t>
      </w:r>
      <w:proofErr w:type="spellStart"/>
      <w:r>
        <w:t>frena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y la </w:t>
      </w:r>
      <w:proofErr w:type="spellStart"/>
      <w:r>
        <w:t>estabiliza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una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.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mecanismo</w:t>
      </w:r>
      <w:proofErr w:type="spellEnd"/>
      <w:r>
        <w:t xml:space="preserve"> de control </w:t>
      </w:r>
      <w:proofErr w:type="spellStart"/>
      <w:r>
        <w:t>típico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moleculares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la homeostasis.</w:t>
      </w:r>
    </w:p>
    <w:p w:rsidR="005A333B" w:rsidRDefault="005A333B">
      <w:r w:rsidRPr="005A333B">
        <w:lastRenderedPageBreak/>
        <w:drawing>
          <wp:inline distT="0" distB="0" distL="0" distR="0" wp14:anchorId="4608DB74" wp14:editId="7A09B64A">
            <wp:extent cx="5743575" cy="31337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D33" w:rsidRDefault="005A333B">
      <w:pPr>
        <w:pStyle w:val="Ttulo1"/>
      </w:pPr>
      <w:r>
        <w:t>5. Conclusión General</w:t>
      </w:r>
      <w:bookmarkStart w:id="0" w:name="_GoBack"/>
      <w:bookmarkEnd w:id="0"/>
    </w:p>
    <w:p w:rsidR="003E5D33" w:rsidRDefault="005A333B">
      <w:r>
        <w:t>Los tres modelos aplicados convergen en un comportamiento fisiológico coherente: existe una fase inicial de activación molec</w:t>
      </w:r>
      <w:r>
        <w:t>ular impulsada por la expresión de DYRK1A_N, modulada por el genotipo, seguida de una fase de estabilización debido a mecanismos regulatorios. El enfoque estadístico evidencia la influencia del genotipo, el modelo logístico explica la saturación, y el anál</w:t>
      </w:r>
      <w:r>
        <w:t>isis dinámico representa la autorregulación.</w:t>
      </w:r>
    </w:p>
    <w:sectPr w:rsidR="003E5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D33"/>
    <w:rsid w:val="005A333B"/>
    <w:rsid w:val="00975E3B"/>
    <w:rsid w:val="00AA1D8D"/>
    <w:rsid w:val="00B47730"/>
    <w:rsid w:val="00C652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A0679"/>
  <w14:defaultImageDpi w14:val="300"/>
  <w15:docId w15:val="{69CFE1AD-7F1D-4509-82E1-14984F82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29610D-04CC-45BB-9F7B-01420085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544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Muñoz</cp:lastModifiedBy>
  <cp:revision>2</cp:revision>
  <dcterms:created xsi:type="dcterms:W3CDTF">2025-12-01T16:43:00Z</dcterms:created>
  <dcterms:modified xsi:type="dcterms:W3CDTF">2025-12-01T16:43:00Z</dcterms:modified>
  <cp:category/>
</cp:coreProperties>
</file>