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9A" w:rsidRPr="0097199A" w:rsidRDefault="0097199A" w:rsidP="0097199A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2E17FF" w:rsidRPr="0097199A" w:rsidRDefault="0097199A">
      <w:pPr>
        <w:rPr>
          <w:rStyle w:val="apple-converted-space"/>
          <w:rFonts w:ascii="Times New Roman" w:hAnsi="Times New Roman" w:cs="Times New Roman"/>
          <w:color w:val="000000"/>
          <w:szCs w:val="29"/>
          <w:lang w:val="uk-UA"/>
        </w:rPr>
      </w:pPr>
      <w:r w:rsidRPr="0097199A">
        <w:rPr>
          <w:rFonts w:ascii="Times New Roman" w:hAnsi="Times New Roman" w:cs="Times New Roman"/>
          <w:color w:val="000000"/>
          <w:szCs w:val="29"/>
        </w:rPr>
        <w:t>Чіткого і загальноприйнятого визначення</w:t>
      </w:r>
      <w:r>
        <w:rPr>
          <w:rFonts w:ascii="Times New Roman" w:hAnsi="Times New Roman" w:cs="Times New Roman"/>
          <w:color w:val="000000"/>
          <w:szCs w:val="29"/>
        </w:rPr>
        <w:t xml:space="preserve"> поняття «дискурс», </w:t>
      </w:r>
      <w:r w:rsidRPr="0097199A">
        <w:rPr>
          <w:rFonts w:ascii="Times New Roman" w:hAnsi="Times New Roman" w:cs="Times New Roman"/>
          <w:color w:val="000000"/>
          <w:szCs w:val="29"/>
          <w:lang w:val="uk-UA"/>
        </w:rPr>
        <w:t>що охоплює в</w:t>
      </w:r>
      <w:r w:rsidRPr="0097199A">
        <w:rPr>
          <w:rFonts w:ascii="Times New Roman" w:hAnsi="Times New Roman" w:cs="Times New Roman"/>
          <w:color w:val="000000"/>
          <w:szCs w:val="29"/>
          <w:lang w:val="uk-UA"/>
        </w:rPr>
        <w:t>сі випадки його вживання, не існує.</w:t>
      </w:r>
      <w:r w:rsidRPr="0097199A">
        <w:rPr>
          <w:rStyle w:val="apple-converted-space"/>
          <w:rFonts w:ascii="Times New Roman" w:hAnsi="Times New Roman" w:cs="Times New Roman"/>
          <w:color w:val="000000"/>
          <w:szCs w:val="29"/>
          <w:lang w:val="uk-UA"/>
        </w:rPr>
        <w:t> </w:t>
      </w:r>
    </w:p>
    <w:p w:rsidR="0097199A" w:rsidRPr="0097199A" w:rsidRDefault="0097199A" w:rsidP="0097199A">
      <w:pPr>
        <w:spacing w:line="360" w:lineRule="atLeast"/>
        <w:ind w:firstLine="567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Так само немає однозначності і в трактуванні самого поняття дискурсу у сучасній лінгвістиці. Для визначення нашого розуміння дискурсу всі існуючі пі</w:t>
      </w:r>
      <w:r w:rsidR="00F757FF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дходи можна звести до наступних</w:t>
      </w:r>
      <w:r w:rsidR="00F757FF" w:rsidRPr="00F757FF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: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визначається через текст або текст через дискурс</w:t>
      </w:r>
      <w:r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 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[1]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розуміють як когнітивний процес, пов’язаний із творенням мовленнєвої поведінки.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розглядається як послідовність взаємозв’язаних висловлювань, об`єднаних спільністю цільового завдання.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розуміється як складна комунікативна подія.</w:t>
      </w:r>
      <w:r w:rsidR="001E410D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[2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eastAsia="uk-UA"/>
        </w:rPr>
        <w:t>]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Дискурс - це комунікативна </w:t>
      </w:r>
      <w:proofErr w:type="spellStart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інтеракція</w:t>
      </w:r>
      <w:proofErr w:type="spellEnd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 адресанта та адресата, яка </w:t>
      </w:r>
      <w:proofErr w:type="spellStart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вибувається</w:t>
      </w:r>
      <w:proofErr w:type="spellEnd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 xml:space="preserve"> в конкретній ситуації і спрямована на здійснення когнітивного, емоційного, фізичного та пра</w:t>
      </w:r>
      <w:r w:rsidR="001E410D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гматичного впливу на адресата [3</w:t>
      </w:r>
      <w:bookmarkStart w:id="0" w:name="_GoBack"/>
      <w:bookmarkEnd w:id="0"/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].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визначається як зв’язний текст у сукупності з екстралінгвістичними, соціальними, прагматичними, психічними та іншими факторами.</w:t>
      </w:r>
    </w:p>
    <w:p w:rsidR="0097199A" w:rsidRPr="0097199A" w:rsidRDefault="0097199A" w:rsidP="0097199A">
      <w:pPr>
        <w:spacing w:line="360" w:lineRule="atLeast"/>
        <w:ind w:left="851" w:hanging="360"/>
        <w:rPr>
          <w:rFonts w:ascii="Times New Roman" w:eastAsia="Times New Roman" w:hAnsi="Times New Roman" w:cs="Times New Roman"/>
          <w:color w:val="000000"/>
          <w:szCs w:val="27"/>
          <w:lang w:val="uk-UA" w:eastAsia="uk-UA"/>
        </w:rPr>
      </w:pP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·</w:t>
      </w:r>
      <w:r w:rsidRPr="0097199A">
        <w:rPr>
          <w:rFonts w:ascii="Times New Roman" w:eastAsia="Times New Roman" w:hAnsi="Times New Roman" w:cs="Times New Roman"/>
          <w:color w:val="000000"/>
          <w:sz w:val="10"/>
          <w:szCs w:val="14"/>
          <w:lang w:val="uk-UA" w:eastAsia="uk-UA"/>
        </w:rPr>
        <w:t>   </w:t>
      </w:r>
      <w:r w:rsidRPr="0097199A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Дискурс розуміється як текст - взятий в аспекті подій, як соціально направлена дія.</w:t>
      </w:r>
    </w:p>
    <w:p w:rsidR="00F757FF" w:rsidRPr="00F757FF" w:rsidRDefault="0097199A">
      <w:pPr>
        <w:rPr>
          <w:rFonts w:ascii="Times New Roman" w:hAnsi="Times New Roman" w:cs="Times New Roman"/>
          <w:color w:val="000000"/>
          <w:szCs w:val="29"/>
        </w:rPr>
      </w:pPr>
      <w:r w:rsidRPr="0097199A">
        <w:rPr>
          <w:rFonts w:ascii="Times New Roman" w:hAnsi="Times New Roman" w:cs="Times New Roman"/>
          <w:color w:val="000000"/>
          <w:szCs w:val="29"/>
          <w:lang w:val="uk-UA"/>
        </w:rPr>
        <w:t>О</w:t>
      </w:r>
      <w:r w:rsidR="00F757FF">
        <w:rPr>
          <w:rFonts w:ascii="Times New Roman" w:hAnsi="Times New Roman" w:cs="Times New Roman"/>
          <w:color w:val="000000"/>
          <w:szCs w:val="29"/>
          <w:lang w:val="uk-UA"/>
        </w:rPr>
        <w:t>тже, якщо проаналізувати все вищесказане та провести паралелі із відібраними відгуками можна зробити висновки</w:t>
      </w:r>
      <w:r w:rsidR="00F757FF" w:rsidRPr="00F757FF">
        <w:rPr>
          <w:rFonts w:ascii="Times New Roman" w:hAnsi="Times New Roman" w:cs="Times New Roman"/>
          <w:color w:val="000000"/>
          <w:szCs w:val="29"/>
        </w:rPr>
        <w:t>:</w:t>
      </w:r>
    </w:p>
    <w:p w:rsidR="00F757FF" w:rsidRPr="00F757FF" w:rsidRDefault="00F757FF" w:rsidP="00F75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0"/>
          <w:lang w:val="uk-UA"/>
        </w:rPr>
      </w:pPr>
      <w:r>
        <w:rPr>
          <w:rFonts w:ascii="Times New Roman" w:hAnsi="Times New Roman" w:cs="Times New Roman"/>
          <w:color w:val="000000"/>
          <w:szCs w:val="29"/>
          <w:lang w:val="uk-UA"/>
        </w:rPr>
        <w:t>Усі відгуки відбуваються в конкретній</w:t>
      </w:r>
      <w:r w:rsidR="001E410D">
        <w:rPr>
          <w:rFonts w:ascii="Times New Roman" w:hAnsi="Times New Roman" w:cs="Times New Roman"/>
          <w:color w:val="000000"/>
          <w:szCs w:val="29"/>
          <w:lang w:val="uk-UA"/>
        </w:rPr>
        <w:t xml:space="preserve"> комунікативній</w:t>
      </w:r>
      <w:r>
        <w:rPr>
          <w:rFonts w:ascii="Times New Roman" w:hAnsi="Times New Roman" w:cs="Times New Roman"/>
          <w:color w:val="000000"/>
          <w:szCs w:val="29"/>
          <w:lang w:val="uk-UA"/>
        </w:rPr>
        <w:t xml:space="preserve"> ситуації.</w:t>
      </w:r>
    </w:p>
    <w:p w:rsidR="001E410D" w:rsidRPr="001E410D" w:rsidRDefault="00F757FF" w:rsidP="001E4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0"/>
          <w:lang w:val="uk-UA"/>
        </w:rPr>
      </w:pPr>
      <w:r>
        <w:rPr>
          <w:rFonts w:ascii="Times New Roman" w:hAnsi="Times New Roman" w:cs="Times New Roman"/>
          <w:color w:val="000000"/>
          <w:szCs w:val="29"/>
          <w:lang w:val="uk-UA"/>
        </w:rPr>
        <w:t>Відгуки написані у формі діалогу з метою здійснення впливу на адресата.</w:t>
      </w:r>
    </w:p>
    <w:p w:rsidR="00F757FF" w:rsidRPr="001E410D" w:rsidRDefault="00F757FF" w:rsidP="001E41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0"/>
          <w:lang w:val="uk-UA"/>
        </w:rPr>
      </w:pPr>
      <w:r w:rsidRPr="001E410D">
        <w:rPr>
          <w:rFonts w:ascii="Times New Roman" w:hAnsi="Times New Roman" w:cs="Times New Roman"/>
          <w:color w:val="000000"/>
          <w:szCs w:val="29"/>
          <w:lang w:val="uk-UA"/>
        </w:rPr>
        <w:t xml:space="preserve">Відібрані відгуки – це послідовність </w:t>
      </w:r>
      <w:r w:rsidRPr="001E410D">
        <w:rPr>
          <w:rFonts w:ascii="Times New Roman" w:eastAsia="Times New Roman" w:hAnsi="Times New Roman" w:cs="Times New Roman"/>
          <w:color w:val="000000"/>
          <w:szCs w:val="28"/>
          <w:lang w:val="uk-UA" w:eastAsia="uk-UA"/>
        </w:rPr>
        <w:t>взаємозв’язаних висловлювань, об`єднаних спільністю цільового завдання.</w:t>
      </w:r>
    </w:p>
    <w:p w:rsidR="001E410D" w:rsidRDefault="001E410D" w:rsidP="001E410D">
      <w:pPr>
        <w:ind w:firstLine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Це все дає підстави вважати відібрані відгуки – дискурсом відгуків.</w:t>
      </w:r>
    </w:p>
    <w:p w:rsidR="001E410D" w:rsidRPr="001E410D" w:rsidRDefault="001E410D" w:rsidP="001E410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Звегенцев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, В.А. О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цельнооформленности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 единиц текста / В.А. Звегинцев // Известия АН СССР. Сер. литературы и языка. – 1980. – Т. 39. - № 1. – С. 13-21. </w:t>
      </w:r>
    </w:p>
    <w:p w:rsidR="001E410D" w:rsidRPr="001E410D" w:rsidRDefault="001E410D" w:rsidP="001E41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lang w:val="uk-UA"/>
        </w:rPr>
      </w:pPr>
      <w:r w:rsidRPr="001E410D">
        <w:rPr>
          <w:rFonts w:ascii="Times New Roman" w:hAnsi="Times New Roman" w:cs="Times New Roman"/>
          <w:color w:val="000000"/>
          <w:sz w:val="10"/>
          <w:szCs w:val="14"/>
        </w:rPr>
        <w:t> </w:t>
      </w:r>
      <w:r w:rsidRPr="001E410D">
        <w:rPr>
          <w:rStyle w:val="apple-converted-space"/>
          <w:rFonts w:ascii="Times New Roman" w:hAnsi="Times New Roman" w:cs="Times New Roman"/>
          <w:color w:val="000000"/>
          <w:sz w:val="10"/>
          <w:szCs w:val="14"/>
        </w:rPr>
        <w:t> 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Дайк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 Т.А.,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ван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. Язык. Познания. Коммуникация / Пер. с </w:t>
      </w:r>
      <w:proofErr w:type="gramStart"/>
      <w:r w:rsidRPr="001E410D">
        <w:rPr>
          <w:rFonts w:ascii="Times New Roman" w:hAnsi="Times New Roman" w:cs="Times New Roman"/>
          <w:color w:val="000000"/>
          <w:szCs w:val="28"/>
        </w:rPr>
        <w:t>англ. :</w:t>
      </w:r>
      <w:proofErr w:type="gramEnd"/>
      <w:r w:rsidRPr="001E410D">
        <w:rPr>
          <w:rFonts w:ascii="Times New Roman" w:hAnsi="Times New Roman" w:cs="Times New Roman"/>
          <w:color w:val="000000"/>
          <w:szCs w:val="28"/>
        </w:rPr>
        <w:t xml:space="preserve"> Сб. работ / сост. В.В. Петров под ред. В.И. Герасимова; Вступ. ст. Ю.Н.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</w:rPr>
        <w:t>Караулова</w:t>
      </w:r>
      <w:proofErr w:type="spellEnd"/>
      <w:r w:rsidRPr="001E410D">
        <w:rPr>
          <w:rFonts w:ascii="Times New Roman" w:hAnsi="Times New Roman" w:cs="Times New Roman"/>
          <w:color w:val="000000"/>
          <w:szCs w:val="28"/>
        </w:rPr>
        <w:t xml:space="preserve"> и В.В. Петрова. – М.: Прогресс, 1989. – 312 с.</w:t>
      </w:r>
    </w:p>
    <w:p w:rsidR="001E410D" w:rsidRPr="001E410D" w:rsidRDefault="001E410D" w:rsidP="001E41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lang w:val="uk-UA"/>
        </w:rPr>
      </w:pPr>
      <w:r>
        <w:rPr>
          <w:rStyle w:val="apple-converted-space"/>
          <w:color w:val="000000"/>
          <w:sz w:val="14"/>
          <w:szCs w:val="14"/>
        </w:rPr>
        <w:t> </w:t>
      </w:r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Воронцова Н.Г. Комунікативно-когнітивні особливості вербальної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інтеракції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 зі стороннім реципієнтом (на матеріалі англійської мови):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Автореф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дис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…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канд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</w:t>
      </w:r>
      <w:proofErr w:type="spellStart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>філол</w:t>
      </w:r>
      <w:proofErr w:type="spellEnd"/>
      <w:r w:rsidRPr="001E410D">
        <w:rPr>
          <w:rFonts w:ascii="Times New Roman" w:hAnsi="Times New Roman" w:cs="Times New Roman"/>
          <w:color w:val="000000"/>
          <w:szCs w:val="28"/>
          <w:lang w:val="uk-UA"/>
        </w:rPr>
        <w:t xml:space="preserve">. наук / Львівський національний ун-т ім. </w:t>
      </w:r>
      <w:r w:rsidRPr="001E410D">
        <w:rPr>
          <w:rFonts w:ascii="Times New Roman" w:hAnsi="Times New Roman" w:cs="Times New Roman"/>
          <w:color w:val="000000"/>
          <w:szCs w:val="28"/>
        </w:rPr>
        <w:t>І. Франка. – Л; 2005. – 21 с.</w:t>
      </w:r>
    </w:p>
    <w:sectPr w:rsidR="001E410D" w:rsidRPr="001E4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26EF8"/>
    <w:multiLevelType w:val="hybridMultilevel"/>
    <w:tmpl w:val="DB84084A"/>
    <w:lvl w:ilvl="0" w:tplc="7F8ECD9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81F19"/>
    <w:multiLevelType w:val="hybridMultilevel"/>
    <w:tmpl w:val="F97A5684"/>
    <w:lvl w:ilvl="0" w:tplc="47AC10AC">
      <w:start w:val="1"/>
      <w:numFmt w:val="decimal"/>
      <w:lvlText w:val="%1."/>
      <w:lvlJc w:val="left"/>
      <w:pPr>
        <w:ind w:left="717" w:hanging="360"/>
      </w:pPr>
      <w:rPr>
        <w:rFonts w:hint="default"/>
        <w:color w:val="00000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9A"/>
    <w:rsid w:val="001E410D"/>
    <w:rsid w:val="002E17FF"/>
    <w:rsid w:val="0097199A"/>
    <w:rsid w:val="00BF2534"/>
    <w:rsid w:val="00F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BE58-84AD-4911-AEB1-53604C3D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99A"/>
    <w:pPr>
      <w:spacing w:after="0" w:line="360" w:lineRule="auto"/>
      <w:ind w:firstLine="357"/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199A"/>
  </w:style>
  <w:style w:type="paragraph" w:customStyle="1" w:styleId="listparagraph">
    <w:name w:val="listparagraph"/>
    <w:basedOn w:val="a"/>
    <w:rsid w:val="0097199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F7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1447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1</cp:revision>
  <dcterms:created xsi:type="dcterms:W3CDTF">2015-10-19T16:30:00Z</dcterms:created>
  <dcterms:modified xsi:type="dcterms:W3CDTF">2015-10-19T17:02:00Z</dcterms:modified>
</cp:coreProperties>
</file>