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Lloyds Living</w:t>
      </w:r>
    </w:p>
    <w:p>
      <w:pPr>
        <w:spacing w:after="100" w:before="100"/>
        <w:jc w:val="center"/>
      </w:pPr>
      <w:r>
        <w:rPr>
          <w:b/>
          <w:bCs/>
          <w:sz w:val="44"/>
          <w:szCs w:val="44"/>
        </w:rPr>
        <w:t xml:space="preserve">Data Model Discovery &amp; Workshop Pack</w:t>
      </w:r>
    </w:p>
    <w:p>
      <w:pPr>
        <w:spacing w:after="600" w:before="100"/>
        <w:jc w:val="center"/>
      </w:pPr>
      <w:r>
        <w:rPr>
          <w:i/>
          <w:iCs/>
          <w:sz w:val="22"/>
          <w:szCs w:val="22"/>
        </w:rPr>
        <w:t xml:space="preserve">FixFlo · SLM/MRI · QUBE  —  towards a Microsoft Fabric Silver Lakehouse &amp; Gold Warehouse model</w:t>
      </w:r>
    </w:p>
    <w:p>
      <w:pPr>
        <w:spacing w:before="1600"/>
        <w:jc w:val="center"/>
      </w:pPr>
      <w:r>
        <w:rPr>
          <w:sz w:val="20"/>
          <w:szCs w:val="20"/>
        </w:rPr>
        <w:t xml:space="preserve">Prepared by ANS — Data Solutions Architecture</w:t>
      </w:r>
    </w:p>
    <w:p>
      <w:pPr>
        <w:spacing w:before="100"/>
        <w:jc w:val="center"/>
      </w:pPr>
      <w:r>
        <w:rPr>
          <w:sz w:val="20"/>
          <w:szCs w:val="20"/>
        </w:rPr>
        <w:t xml:space="preserve">20 July 2026 · v0.1 Draft for workshop discussion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1. Purpose of this document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2. Source system landscape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3. FixFlo: prod vs non-prod comparison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4. Candidate join keys — FixFlo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5. Property hierarchy: Estate → Block → Property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6. SLM/MRI and QUBE property systems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7. Nested JSON in the SLM/MRI feed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8. Missing information / open questions for the workshop</w:t>
      </w:r>
      <w:r>
        <w:ptab w:alignment="right" w:relativeTo="margin" w:leader="dot"/>
      </w:r>
      <w:r>
        <w:rPr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9. Proposed Silver Lakehouse approach</w:t>
      </w:r>
      <w:r>
        <w:ptab w:alignment="right" w:relativeTo="margin" w:leader="dot"/>
      </w:r>
      <w:r>
        <w:rPr>
          <w:sz w:val="22"/>
          <w:szCs w:val="22"/>
        </w:rPr>
        <w:t xml:space="preserve">7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10. Proposed Gold Warehouse star schema (draft)</w:t>
      </w:r>
      <w:r>
        <w:ptab w:alignment="right" w:relativeTo="margin" w:leader="dot"/>
      </w:r>
      <w:r>
        <w:rPr>
          <w:sz w:val="22"/>
          <w:szCs w:val="22"/>
        </w:rPr>
        <w:t xml:space="preserve">7</w:t>
      </w:r>
    </w:p>
    <w:p>
      <w:pPr>
        <w:tabs>
          <w:tab w:val="right" w:pos="9026" w:leader="dot"/>
        </w:tabs>
        <w:spacing w:after="140"/>
      </w:pPr>
      <w:r>
        <w:rPr>
          <w:sz w:val="22"/>
          <w:szCs w:val="22"/>
        </w:rPr>
        <w:t xml:space="preserve">11. Suggested workshop agenda</w:t>
      </w:r>
      <w:r>
        <w:ptab w:alignment="right" w:relativeTo="margin" w:leader="dot"/>
      </w:r>
      <w:r>
        <w:rPr>
          <w:sz w:val="22"/>
          <w:szCs w:val="22"/>
        </w:rPr>
        <w:t xml:space="preserve">8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 of this document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pack exists to prime a data modelling workshop with Lloyds Living, not to be a finished design. It lays out what we currently know about the source schemas across FixFlo, SLM/MRI and QUBE, proposes candidate join keys between tables based on field-name pattern matching, and flags the gaps that need answers from the customer before a Silver Lakehouse and Gold Warehouse model can be finalised in Microsoft Fabric.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working assumptions are carried through this document, both worth confirming in the workshop itself: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fix_flo_prod is the schema of record for FixFlo reporting — it's what the Fabric pipelines will actually ingest.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fix_flo (non-prod) has a richer, more joinable structure in places — useful for understanding relationships and hierarchy, even where it won't be the production source.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FF2CC" w:val="clear"/>
        <w:spacing w:after="200" w:before="100"/>
      </w:pPr>
      <w:r>
        <w:rPr>
          <w:i/>
          <w:iCs/>
          <w:sz w:val="20"/>
          <w:szCs w:val="20"/>
        </w:rPr>
        <w:t xml:space="preserve">  Every relationship in this document is a candidate inferred from field-name matching against the profiled schemas and one sample SLM row — none has been validated against live data. Treat the join map as a workshop input, not a confirmed design.</w:t>
      </w:r>
    </w:p>
    <w:p>
      <w:pPr>
        <w:pStyle w:val="Heading1"/>
        <w:spacing w:after="200" w:before="400"/>
      </w:pPr>
      <w:r>
        <w:t xml:space="preserve">2. Source system landscape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5100"/>
        <w:gridCol w:w="18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Tables profiled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(prod)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fix_flo_prod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Repairs, planned maintenance &amp; compliance SaaS platform. Nominated as the schema of record for Fabric reporting.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(non-prod)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fix_flo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platform, but sourced from FixFlo's own ad-hoc/scheduled report exports. Structurally richer in places (property hierarchy, complaints) — useful for understanding relationships even though it isn't the reporting source.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 / MRI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Lettings &amp; property management platform, ingested via API as JSON, then landed with many fields already flattened. Still contains nested arrays.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(Property) — likely more entities exist in the source API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QUBE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QUBE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Property/landlord system. Only the Property entity has been profiled so far.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(Property) — likely more entities exist in the source system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FixFlo: prod vs non-prod comparison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fix_flo_prod holds four tables; fix_flo (non-prod) holds seven. Where a concept exists in both, field names have drifted between the two — a sign these are separate exports rather than the same pipeline landing in two places. Where a concept exists only in non-prod, that's a genuine gap in the current reporting source.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fix_flo_prod table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fix_flo (non-prod) table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Issues / repairs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Issues Report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Issues Report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content, field names drift (External_Unit_Ref vs External_Unit_Property_Ref; Unit_Manager_display_Name vs Unit_Property_Manager_display_Name).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feedback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Feedback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Customer feedback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shape; one field renamed (Customer_Accept_Complete vs Occupier_Accept_Complete).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 &amp; landlord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property-landlords-export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property-landlords-export-2026-05-20T09_43_35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Structurally identical. Non-prod filename is a dated export, suggesting these are periodic pulls rather than a live API contract.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Completed maintenance events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Completed Events with Certificates (7 fields)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Last Completed Events (25 fields)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 is a cut-down subset — no contractor detail, no block/landlord linkage, no planned-maintenance cadence fields.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Planned/service events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 equivalent 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Service Events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prod table currently mirrors this. Confirm whether it's needed for reporting.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Property/Estate/Block hierarchy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 equivalent 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only source of the Estate → Block → Property hierarchy. Prod's property table is flat (property + landlord only).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 complaints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no equivalent 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 Complaints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prod table. If complaints reporting is in scope, a prod source needs to be agreed.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Candidate join keys — FixFlo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Inferred purely from matching field names and known FixFlo concepts (issue, service event, property, block, estate). Confidence is “Candidate” throughout — these need validating against real key values in the workshop.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900"/>
        <w:gridCol w:w="1500"/>
        <w:gridCol w:w="1400"/>
        <w:gridCol w:w="15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table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key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 table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 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Issues 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External_Unit_Ref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property-landlords-export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ExternalPropertyRef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Issues 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Contractor_Id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Feedback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Contractor_Id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one-to-one (per issue)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Feedback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issue_Id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Issues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Issue_ID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Completed Events w/ Certificates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Service_Event_Reference_ID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Issues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Service_Event_Reference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Issues 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External_Unit_Property_Ref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ExternalPropertyRef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Issues 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External_Estate_Ref / External_Block_Ref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ExternalEstateRef / ExternalBlockRef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Service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Last Completed Events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Service_Event_ID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Service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Fixflo_Unit_Property_ID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Service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Latest_Issue_Id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Issues Report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Issue_ID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Last Completed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Unit_Property_ID / Unit_Property_Ext_Ref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 / ExternalPropertyRef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Last Completed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Block_ID / Block_Ext_Ref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BlockId / ExternalBlockRef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 Complaints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Property_Ref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ExternalPropertyRef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Candidate — field name not an exact match, needs data-level confirmation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EstateId (via block)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many-to-one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 by structure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Property hierarchy: Estate → Block → Property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only table that carries the full Estate → Block → Property hierarchy is the non-prod fix_flo.FixFlo property-import-full-export table. Both prod and non-prod Issues Report tables carry External_Estate_Ref and External_Block_Ref, so the hierarchy is referenced at fact-level even though prod's own property table (All property-landlords-export) doesn't carry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Estate  (EstateId / ExternalEstateRef)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b/>
          <w:bCs/>
          <w:sz w:val="21"/>
          <w:szCs w:val="21"/>
        </w:rPr>
        <w:t xml:space="preserve">Block  (BlockId / ExternalBlockRef)</w:t>
      </w:r>
    </w:p>
    <w:p>
      <w:pPr>
        <w:pStyle w:val="ListParagraph"/>
        <w:numPr>
          <w:ilvl w:val="2"/>
          <w:numId w:val="2"/>
        </w:numPr>
        <w:spacing w:after="80"/>
      </w:pPr>
      <w:r>
        <w:rPr>
          <w:b/>
          <w:bCs/>
          <w:sz w:val="21"/>
          <w:szCs w:val="21"/>
        </w:rPr>
        <w:t xml:space="preserve">Property  (PropertyId / ExternalPropertyRef)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worth raising directly in the workshop: if Estate/Block reporting is needed, Silver will need to source the hierarchy from the non-prod export even though prod is otherwise the schema of record.</w:t>
      </w:r>
    </w:p>
    <w:p>
      <w:pPr>
        <w:pStyle w:val="Heading1"/>
        <w:spacing w:after="200" w:before="400"/>
      </w:pPr>
      <w:r>
        <w:t xml:space="preserve">6. SLM/MRI and QUBE property systems</w:t>
      </w:r>
    </w:p>
    <w:p>
      <w:pPr>
        <w:pStyle w:val="Heading2"/>
        <w:spacing w:after="150" w:before="300"/>
      </w:pPr>
      <w:r>
        <w:t xml:space="preserve">6.1 QUBE.Property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comparatively small, flat property table (21 fields): address1–address6, areaCode, description, id, postcode, reference, status, tenure, type, plus the standard _meta_* lineage columns. id and reference are the likely candidate keys for joining to other systems.</w:t>
      </w:r>
    </w:p>
    <w:p>
      <w:pPr>
        <w:pStyle w:val="Heading2"/>
        <w:spacing w:after="150" w:before="300"/>
      </w:pPr>
      <w:r>
        <w:t xml:space="preserve">6.2 SLM.Property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much larger table (~140 fields). Field prefixes (address_, details_, price_, tenancyBreakClause_) show a flattening pass has already happened on the nested JSON payload for object-type fields. What remains are array-type fields — lists of rooms, media, custom fields and owners — which are still serialised as JSON text inside varchar(8000) columns rather than broken out (see Section 7).</w:t>
      </w:r>
    </w:p>
    <w:p>
      <w:pPr>
        <w:pStyle w:val="Heading2"/>
        <w:spacing w:after="150" w:before="300"/>
      </w:pPr>
      <w:r>
        <w:t xml:space="preserve">6.3 Cross-system linking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700"/>
        <w:gridCol w:w="14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qubeReference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QUBE.Property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reference (or id)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Explicit-looking link between the two property systems. Confirm which QUBE column it resolves to and whether it's populated for every SLM record.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uprn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QUBE.Property / FixFlo property tables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currently present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UPRN is the UK government's standard unique property identifier. If it can be sourced (or matched via address + postcode) into QUBE and FixFlo, it's the strongest candidate for a single conformed property key across all three systems.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 (internal)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SLM's own internal surrogate key — not yet known to map to anything in FixFlo or QUBE.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7. Nested JSON in the SLM/MRI feed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single raw sample row was reviewed for this pack. It confirms that several SLM.Property fields still contain unexpanded JSON arrays rather than scalar values, even after the details_/price_/address_ flattening already applied: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400"/>
        <w:gridCol w:w="27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Nested content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column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from sample row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Silver treatment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customFields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customFields (varchar 8000)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Sample row contains a JSON array of {field, title, type, value} objects — a property-level EAV custom-attribute set.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Property_CustomField bridge table: PropertyId, field, title, type, value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Rooms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likely details_rooms (varchar 8000)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Sample row contains a JSON array of {roomName, roomcode, roomDescription, roomDimensionText, roomDimensionUnit} objects — one row per room in the property.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Property_Room bridge table: PropertyId, RoomName, RoomCode, Description, DimensionText, DimensionUnit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media (varchar 8000)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Sample row contains a JSON array of {caption, mediaType, mediaUrl, sortOrder} objects (EPC graph image in the sample).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Property_Media bridge table: PropertyId, Caption, MediaType, MediaUrl, SortOrder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Owners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likely propertyOwners (varchar 8000)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Sample row contains a JSON array of {ownerId, ownerLink} objects; ownerLink points to a Person API endpoint not yet ingested.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Property_Owner bridge table: PropertyId, OwnerId, OwnerLink — plus a decision on whether to ingest the linked Person API for full landlord attributes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Other array-type fields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e.g. lifestyles, meterReadings, details_features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Several other varchar(8000) fields follow the same naming pattern as confirmed arrays above, but the sample row doesn't have headers attached so positions can't be confirmed with confidence.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Treat as “likely nested” until confirmed; see open questions</w:t>
            </w:r>
          </w:p>
        </w:tc>
      </w:tr>
    </w:tbl>
    <w:p>
      <w:pPr>
        <w:spacing w:after="100"/>
      </w:pP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FF2CC" w:val="clear"/>
        <w:spacing w:after="200" w:before="100"/>
      </w:pPr>
      <w:r>
        <w:rPr>
          <w:i/>
          <w:iCs/>
          <w:sz w:val="20"/>
          <w:szCs w:val="20"/>
        </w:rPr>
        <w:t xml:space="preserve">  The sample row has no column headers attached, so field positions above are inferred from context (e.g. the room objects clearly describe bedrooms/bathrooms, the media object is an EPC graph image) rather than confirmed against a schema. See Section 8, first open question.</w:t>
      </w:r>
    </w:p>
    <w:p>
      <w:pPr>
        <w:pStyle w:val="Heading1"/>
        <w:spacing w:after="200" w:before="400"/>
      </w:pPr>
      <w:r>
        <w:t xml:space="preserve">8. Missing information / open questions for the workshop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The sample SLM/MRI row supplied has no column-header mapping — values can't be matched to fields with certainty. Please provide either the column order used by the ingestion pipeline, or one fully-labelled sample record, before Silver table design is finalised.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Is there a shared master property key across FixFlo, SLM and QUBE today (UPRN, a shared external reference, or address+postcode matching), or does one need to be built/agreed as part of this engagement?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fix_flo_prod has no Estate/Block hierarchy and no Tenant Complaints table. Is the intention to (a) get these added to the prod export, (b) continue sourcing them from non-prod fix_flo on an ongoing basis, or (c) leave them out of scope?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The FixFlo tables look like exports from FixFlo's own reporting/portal tool (report names, timestamped filenames) rather than a stable API contract. What is the refresh cadence, and is field-naming stability guaranteed between runs? (We've already seen naming drift between the non-prod export and the prod tables.)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Contractor identity is inconsistent: Contractor_Id is used in the Issues/Feedback tables, but Service Events and Completed Events tables instead carry name/email/External_Contractor_Ref with no Contractor_Id. What should the conformed Contractor business key be?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There's no standalone Occupier/Tenant dimension anywhere except the non-prod Tenant Complaints table — occupier details are otherwise embedded per-issue. Is a proper Occupier/Tenant master expected to exist elsewhere?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SLM.Property's ownerLink values point to a Person API endpoint that doesn't appear to be ingested yet. Is Person/Landlord data available as a separate SLM entity?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Confirm the grain of SLM.Property as landed — is each ingest a full snapshot of all properties, or change-only? This affects whether Silver needs SCD handling or can treat it as current-state.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QUBE.Property and SLM.Property have only been profiled with their Property entity so far — confirm what other entities exist in each source (tenancies, transactions, people) that the Gold model will eventually need.</w:t>
      </w:r>
    </w:p>
    <w:p>
      <w:pPr>
        <w:pStyle w:val="Heading1"/>
        <w:spacing w:after="200" w:before="400"/>
      </w:pPr>
      <w:r>
        <w:t xml:space="preserve">9. Proposed Silver Lakehouse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Source fix_flo_prod as the primary FixFlo feed for Silver, since it's the agreed schema of record — but use the non-prod fix_flo structures as the reference for relationships, hierarchy and field meaning during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Standardise the naming drift seen across tables (e.g. External_Unit_Ref / External_Unit_Property_Ref / Unit_Property_Ext_Ref) onto single conformed column names in Silver.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Land one cleansed table per source entity, and split every JSON array field out into its own child/bridge table keyed back to the parent's natural key, rather than leaving arrays serialised in a varchar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the _meta_* lineage columns (source file, row hash, pipeline id, ingest timestamp) through Silver unchanged — they're already present and useful for traceability.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Agree and document a conformed property key before building the property bridge tables, so SLM/QUBE/FixFlo property records can be joined consistently downstream in Gold.</w:t>
      </w:r>
    </w:p>
    <w:p>
      <w:pPr>
        <w:pStyle w:val="Heading2"/>
        <w:spacing w:after="150" w:before="300"/>
      </w:pPr>
      <w:r>
        <w:t xml:space="preserve">9.1 Proposed bridge/child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table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SLM.Property_CustomField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PropertyId, Field, Title, Type, Value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custom field entry per property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SLM.Property_Room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PropertyId, RoomName, RoomCode, Description, DimensionText, DimensionUnit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room per property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SLM.Property_Media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PropertyId, Caption, MediaType, MediaUrl, SortOrder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media item per property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SLM.Property_Owner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PropertyId, OwnerId, OwnerLink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owner per property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FixFlo.Estate_Block_Property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EstateId, BlockId, PropertyId (+ external refs)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Conformed hierarchy sourced from the non-prod full export, cross-checked against prod's property-landlord export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10. Proposed Gold Warehouse star schema (draft)</w:t>
      </w:r>
    </w:p>
    <w:p>
      <w:pPr>
        <w:pStyle w:val="Heading2"/>
        <w:spacing w:after="150" w:before="300"/>
      </w:pPr>
      <w:r>
        <w:t xml:space="preserve">10.1 Dimensions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source(s)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Dim_Property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conformed property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SLM.Property, QUBE.Property, FixFlo property tables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Grain and matching key depend on the master-key decision (open question).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Dim_Estate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estate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 (non-prod)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equivalent currently in fix_flo_prod.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Dim_Block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block, FK to Dim_Estate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 property-import-full-export (non-prod)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equivalent currently in fix_flo_prod.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Dim_Landlord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landlord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property-landlords-export (prod), SLM.Property_Owner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 export currently flattens landlord attributes onto the property-landlord row; will need de-duplicating into a true dimension.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Dim_Contractor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contractor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Issues Report, Customer Feedback, Service Events, Completed Events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Business key TBC — see open questions on Contractor_Id inconsistency.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Dim_Occupier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occupier/tenant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Embedded fields on Issues Report; Tenant Complaints (non-prod)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dedicated master source identified yet.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calendar day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date dimension for all fact tables.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10.2 Facts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000"/>
        <w:gridCol w:w="18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dimensions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Fact_Issue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repair issue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Issues Report (prod)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Dim_Property, Dim_Contractor, Dim_Occupier, Dim_Date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 repairs fact; links to Fact_CustomerFeedback and Fact_ServiceEvent via issue/service-event id.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Fact_ServiceEvent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planned maintenance service event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FixFlow - All Service Events (non-prod; no prod equivalent yet)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Dim_Property, Dim_Block, Dim_Contractor, Dim_Date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Depends on resolving whether prod will carry this table.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Fact_CompletedEvent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completed maintenance event / certificate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Completed Events with Certificates (prod)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Dim_Property, Dim_Date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 version is a reduced subset of the non-prod Last Completed Events table — confirm if that's sufficient for reporting.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Fact_CustomerFeedback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feedback response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Feedback (prod)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Dim_Property, Dim_Contractor, Dim_Date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Joins back to Fact_Issue via issue id.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Fact_TenantComplaint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row per complaint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Tenant Complaints (non-prod; no prod equivalent)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Dim_Property, Dim_Occupier, Dim_Date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exists if a prod source is agreed — see open questions.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11. Suggested workshop agenda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2-hour session structured to move from shared understanding through to a first signed-off Gold draft: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Landscape walkthrough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Align on the systems in scope (FixFlo prod/non-prod, SLM, QUBE) and why prod is the reporting source of record.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Validate candidate join keys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 through the join map table and confirm/correct each candidate relationship with the customer's SME.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Master property key decision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Agree whether UPRN, qubeReference, or another key becomes the conformed Dim_Property key across systems.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 vs non-prod gaps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Decide sourcing for Estate/Block hierarchy, Tenant Complaints and Service Events, given they have no prod equivalent.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Nested JSON sign-off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 the proposed SLM bridge tables (custom fields, rooms, media, owners) and flag any other nested fields the customer knows about.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Star schema review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Walk the draft Dim/Fact tables, adjust grain and scope, agree what's in/out for the first Gold release.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Actions &amp; owners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Capture open items from this document plus anything new, with an owner and date.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  <w:lvl w:ilvl="2" w15:tentative="1">
      <w:start w:val="1"/>
      <w:numFmt w:val="bullet"/>
      <w:lvlText w:val="◦"/>
      <w:lvlJc w:val="left"/>
      <w:pPr>
        <w:ind w:left="12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Lloyds Living — Data Model Discovery &amp; Workshop Pack</dc:title>
  <dc:creator>ANS Data Solutions Architecture</dc:creator>
  <cp:lastModifiedBy>Un-named</cp:lastModifiedBy>
  <cp:revision>1</cp:revision>
  <dcterms:created xsi:type="dcterms:W3CDTF">2026-07-20T11:52:43.606Z</dcterms:created>
  <dcterms:modified xsi:type="dcterms:W3CDTF">2026-07-20T11:52:43.606Z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