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SAS KPI Reporting</w:t>
      </w:r>
    </w:p>
    <w:p>
      <w:pPr>
        <w:jc w:val="center"/>
      </w:pPr>
      <w:r>
        <w:rPr>
          <w:b/>
          <w:color w:val="2F5597"/>
          <w:sz w:val="24"/>
        </w:rPr>
        <w:t>COMMITTED PHASED DELIVERY PLAN</w:t>
      </w:r>
    </w:p>
    <w:p>
      <w:pPr>
        <w:jc w:val="center"/>
      </w:pPr>
      <w:r>
        <w:rPr>
          <w:color w:val="5A5A5A"/>
          <w:sz w:val="18"/>
        </w:rPr>
        <w:t>7 October 2026</w:t>
      </w:r>
    </w:p>
    <w:tbl>
      <w:tblPr>
        <w:tblW w:type="auto" w:w="0"/>
        <w:jc w:val="center"/>
        <w:tblLayout w:type="fixed"/>
        <w:tblLook w:firstColumn="1" w:firstRow="1" w:lastColumn="0" w:lastRow="0" w:noHBand="0" w:noVBand="1" w:val="04A0"/>
      </w:tblPr>
      <w:tblGrid>
        <w:gridCol w:w="2880"/>
        <w:gridCol w:w="7056"/>
      </w:tblGrid>
      <w:tr>
        <w:tc>
          <w:tcPr>
            <w:tcW w:type="dxa" w:w="5083"/>
            <w:vAlign w:val="center"/>
            <w:shd w:fill="D9EAF7"/>
          </w:tcPr>
          <w:p>
            <w:pPr>
              <w:spacing w:after="40" w:before="40"/>
            </w:pPr>
            <w:r>
              <w:rPr>
                <w:rFonts w:ascii="Aptos" w:hAnsi="Aptos"/>
                <w:b/>
                <w:sz w:val="18"/>
              </w:rPr>
              <w:t>Overall target</w:t>
            </w:r>
          </w:p>
        </w:tc>
        <w:tc>
          <w:tcPr>
            <w:tcW w:type="dxa" w:w="5083"/>
            <w:vAlign w:val="center"/>
            <w:shd w:fill="F3F7FB"/>
          </w:tcPr>
          <w:p>
            <w:pPr>
              <w:spacing w:after="40" w:before="40"/>
            </w:pPr>
            <w:r>
              <w:rPr>
                <w:rFonts w:ascii="Aptos" w:hAnsi="Aptos"/>
                <w:b w:val="0"/>
                <w:sz w:val="18"/>
              </w:rPr>
              <w:t>Friday 6 November 2026</w:t>
            </w:r>
          </w:p>
        </w:tc>
      </w:tr>
      <w:tr>
        <w:tc>
          <w:tcPr>
            <w:tcW w:type="dxa" w:w="2880"/>
            <w:vAlign w:val="center"/>
            <w:shd w:fill="D9EAF7"/>
          </w:tcPr>
          <w:p>
            <w:pPr>
              <w:spacing w:after="40" w:before="40"/>
            </w:pPr>
            <w:r>
              <w:rPr>
                <w:rFonts w:ascii="Aptos" w:hAnsi="Aptos"/>
                <w:b/>
                <w:sz w:val="18"/>
              </w:rPr>
              <w:t>Delivery approach</w:t>
            </w:r>
          </w:p>
        </w:tc>
        <w:tc>
          <w:tcPr>
            <w:tcW w:type="dxa" w:w="7056"/>
            <w:vAlign w:val="center"/>
            <w:shd w:fill="F3F7FB"/>
          </w:tcPr>
          <w:p>
            <w:pPr>
              <w:spacing w:after="40" w:before="40"/>
            </w:pPr>
            <w:r>
              <w:rPr>
                <w:rFonts w:ascii="Aptos" w:hAnsi="Aptos"/>
                <w:b w:val="0"/>
                <w:sz w:val="18"/>
              </w:rPr>
              <w:t>Incremental UAT releases by completed domain</w:t>
            </w:r>
          </w:p>
        </w:tc>
      </w:tr>
    </w:tbl>
    <w:p>
      <w:pPr>
        <w:pStyle w:val="Heading1"/>
      </w:pPr>
      <w:r>
        <w:t>Delivery Objective</w:t>
      </w:r>
    </w:p>
    <w:p>
      <w:r>
        <w:t>Deliver Power BI reporting outputs ready for customer UAT, releasing each domain when it is complete rather than holding all domains for a single programme-wide release.</w:t>
      </w:r>
    </w:p>
    <w:p>
      <w:r>
        <w:rPr>
          <w:b/>
        </w:rPr>
        <w:t xml:space="preserve">Proposed overall target: </w:t>
      </w:r>
      <w:r>
        <w:t>complete the agreed priority scope, extended UAT, fixes and controlled release by Friday 6 November 2026.</w:t>
      </w:r>
    </w:p>
    <w:p>
      <w:pPr>
        <w:pStyle w:val="Heading2"/>
      </w:pPr>
      <w:r>
        <w:t>Delivery Assumptions</w:t>
      </w:r>
    </w:p>
    <w:p>
      <w:pPr>
        <w:pStyle w:val="ListBullet"/>
      </w:pPr>
      <w:r>
        <w:t>26-30 hours of Paul Biltcliffe’s October capacity is protected.</w:t>
      </w:r>
    </w:p>
    <w:p>
      <w:pPr>
        <w:pStyle w:val="ListBullet"/>
      </w:pPr>
      <w:r>
        <w:t>The latest Power BI Desktop version and current PBIX files are available.</w:t>
      </w:r>
    </w:p>
    <w:p>
      <w:pPr>
        <w:pStyle w:val="ListBullet"/>
      </w:pPr>
      <w:r>
        <w:t>Rob Samuel and Sarah De Bank remain available for business-logic clarification and validation.</w:t>
      </w:r>
    </w:p>
    <w:p>
      <w:pPr>
        <w:pStyle w:val="ListBullet"/>
      </w:pPr>
      <w:r>
        <w:t>SAS provides UAT feedback within several working days.</w:t>
      </w:r>
    </w:p>
    <w:p>
      <w:pPr>
        <w:pStyle w:val="ListBullet"/>
      </w:pPr>
      <w:r>
        <w:t>Domains with unresolved definitions or discovery are prioritised or formally deferred rather than allowed to delay completed outputs.</w:t>
      </w:r>
    </w:p>
    <w:tbl>
      <w:tblPr>
        <w:tblW w:type="auto" w:w="0"/>
        <w:jc w:val="center"/>
        <w:tblLook w:firstColumn="1" w:firstRow="1" w:lastColumn="0" w:lastRow="0" w:noHBand="0" w:noVBand="1" w:val="04A0"/>
      </w:tblPr>
      <w:tblGrid>
        <w:gridCol w:w="10166"/>
      </w:tblGrid>
      <w:tr>
        <w:tc>
          <w:tcPr>
            <w:tcW w:type="dxa" w:w="10166"/>
            <w:shd w:fill="2F5597"/>
          </w:tcPr>
          <w:p>
            <w:pPr>
              <w:pStyle w:val="PhaseLabel"/>
            </w:pPr>
            <w:r>
              <w:rPr>
                <w:color w:val="FFFFFF"/>
              </w:rPr>
              <w:t>Phase 1 - Revalidation and first visible delivery | 5-9 October 2026</w:t>
            </w:r>
          </w:p>
        </w:tc>
      </w:tr>
    </w:tbl>
    <w:p>
      <w:r>
        <w:rPr>
          <w:b/>
        </w:rPr>
        <w:t xml:space="preserve">Committed outcome: </w:t>
      </w:r>
      <w:r>
        <w:t>Demonstrate the first validated Power BI KPI outputs by Friday 9 October.</w:t>
      </w:r>
    </w:p>
    <w:p>
      <w:pPr>
        <w:pStyle w:val="ListBullet"/>
      </w:pPr>
      <w:r>
        <w:rPr>
          <w:b/>
        </w:rPr>
        <w:t xml:space="preserve">Product Design: </w:t>
      </w:r>
      <w:r>
        <w:t>Revalidate Salesforce-derived KPIs, including drawings completed, average lead time, customer complaints and OTIF; complete final report polish and prepare the domain for UAT.</w:t>
      </w:r>
    </w:p>
    <w:p>
      <w:pPr>
        <w:pStyle w:val="ListBullet"/>
      </w:pPr>
      <w:r>
        <w:rPr>
          <w:b/>
        </w:rPr>
        <w:t xml:space="preserve">Design: </w:t>
      </w:r>
      <w:r>
        <w:t>Revalidate completed outputs, including volume completed, OTIF and opportunity value per proposal. Confirm that the Salesforce-based proposal calculation matches the latest PBIX and supporting workbook logic.</w:t>
      </w:r>
    </w:p>
    <w:p>
      <w:pPr>
        <w:pStyle w:val="ListBullet"/>
      </w:pPr>
      <w:r>
        <w:rPr>
          <w:b/>
        </w:rPr>
        <w:t xml:space="preserve">EHS: </w:t>
      </w:r>
      <w:r>
        <w:t>Validate SafetyCulture, incident-register and energy KPI outputs; correct presentation issues; confirm current values against source records; and complete the outstanding review required before UAT. Complete refresh automation and prepare for final sign-off.</w:t>
      </w:r>
    </w:p>
    <w:p>
      <w:pPr>
        <w:pStyle w:val="ListBullet"/>
      </w:pPr>
      <w:r>
        <w:rPr>
          <w:b/>
        </w:rPr>
        <w:t xml:space="preserve">Estimating: </w:t>
      </w:r>
      <w:r>
        <w:t>Perform a final residual-action check and confirm that the completed dashboard can enter UAT without further development.</w:t>
      </w:r>
    </w:p>
    <w:p>
      <w:pPr>
        <w:pStyle w:val="ListBullet"/>
      </w:pPr>
      <w:r>
        <w:rPr>
          <w:b/>
        </w:rPr>
        <w:t xml:space="preserve">SOP: </w:t>
      </w:r>
      <w:r>
        <w:t>Revalidate lines released, order cleansing, order sign-off, complaints and £/FTE calculations, including the Syteline and SharePoint business logic. Confirm that no residual sign-off items remain.</w:t>
      </w:r>
    </w:p>
    <w:tbl>
      <w:tblPr>
        <w:tblW w:type="auto" w:w="0"/>
        <w:jc w:val="center"/>
        <w:tblLook w:firstColumn="1" w:firstRow="1" w:lastColumn="0" w:lastRow="0" w:noHBand="0" w:noVBand="1" w:val="04A0"/>
      </w:tblPr>
      <w:tblGrid>
        <w:gridCol w:w="10166"/>
      </w:tblGrid>
      <w:tr>
        <w:tc>
          <w:tcPr>
            <w:tcW w:type="dxa" w:w="10166"/>
            <w:shd w:fill="2F5597"/>
          </w:tcPr>
          <w:p>
            <w:pPr>
              <w:pStyle w:val="PhaseLabel"/>
            </w:pPr>
            <w:r>
              <w:rPr>
                <w:color w:val="FFFFFF"/>
              </w:rPr>
              <w:t>Phase 2 - Salesforce release and initial customer UAT | 12-16 October 2026</w:t>
            </w:r>
          </w:p>
        </w:tc>
      </w:tr>
    </w:tbl>
    <w:p>
      <w:r>
        <w:rPr>
          <w:b/>
        </w:rPr>
        <w:t xml:space="preserve">Committed outcome: </w:t>
      </w:r>
      <w:r>
        <w:t>Release the validated Salesforce and other near-complete priority KPIs into customer UAT by Friday 16 October.</w:t>
      </w:r>
    </w:p>
    <w:p>
      <w:pPr>
        <w:pStyle w:val="ListBullet"/>
      </w:pPr>
      <w:r>
        <w:rPr>
          <w:b/>
        </w:rPr>
        <w:t xml:space="preserve">Priority UAT release: </w:t>
      </w:r>
      <w:r>
        <w:t>Place Product Design, Design, Estimating and the validated Salesforce elements of Engineering, Quality MB, Manufacturing and Marketing into UAT where source logic has been confirmed.</w:t>
      </w:r>
    </w:p>
    <w:p>
      <w:pPr>
        <w:pStyle w:val="ListBullet"/>
      </w:pPr>
      <w:r>
        <w:rPr>
          <w:b/>
        </w:rPr>
        <w:t xml:space="preserve">Marketing: </w:t>
      </w:r>
      <w:r>
        <w:t>Validate website leads and event leads against the mapped Salesforce output. Confirm whether remaining manual files or automation requirements are required for the UAT release.</w:t>
      </w:r>
    </w:p>
    <w:p>
      <w:pPr>
        <w:pStyle w:val="ListBullet"/>
      </w:pPr>
      <w:r>
        <w:rPr>
          <w:b/>
        </w:rPr>
        <w:t xml:space="preserve">Quality MB: </w:t>
      </w:r>
      <w:r>
        <w:t>Validate customer complaints, cost of quality, internal rework and internal-audit outputs. Confirm that relocated SharePoint sources and revised processes are stable enough for UAT.</w:t>
      </w:r>
    </w:p>
    <w:p>
      <w:pPr>
        <w:pStyle w:val="ListBullet"/>
      </w:pPr>
      <w:r>
        <w:rPr>
          <w:b/>
        </w:rPr>
        <w:t xml:space="preserve">Engineering: </w:t>
      </w:r>
      <w:r>
        <w:t>Validate the mapped Agility, department-spend and Salesforce complaints outputs. Obtain a decision on whether the legacy Mean Time to Allocate and Conversion Ratio KPIs remain required.</w:t>
      </w:r>
    </w:p>
    <w:p>
      <w:pPr>
        <w:pStyle w:val="ListBullet"/>
      </w:pPr>
      <w:r>
        <w:rPr>
          <w:b/>
        </w:rPr>
        <w:t xml:space="preserve">UAT control: </w:t>
      </w:r>
      <w:r>
        <w:t>Record defects, calculation differences and presentation changes in a controlled UAT action list owned jointly by ANS and the nominated SAS approvers, Rob Samuel and Sarah De Bank.</w:t>
      </w:r>
    </w:p>
    <w:tbl>
      <w:tblPr>
        <w:tblW w:type="auto" w:w="0"/>
        <w:jc w:val="center"/>
        <w:tblLook w:firstColumn="1" w:firstRow="1" w:lastColumn="0" w:lastRow="0" w:noHBand="0" w:noVBand="1" w:val="04A0"/>
      </w:tblPr>
      <w:tblGrid>
        <w:gridCol w:w="10166"/>
      </w:tblGrid>
      <w:tr>
        <w:tc>
          <w:tcPr>
            <w:tcW w:type="dxa" w:w="10166"/>
            <w:shd w:fill="2F5597"/>
          </w:tcPr>
          <w:p>
            <w:pPr>
              <w:pStyle w:val="PhaseLabel"/>
            </w:pPr>
            <w:r>
              <w:rPr>
                <w:color w:val="FFFFFF"/>
              </w:rPr>
              <w:t>Phase 3 - Syteline and operational KPI release | 19-23 October 2026</w:t>
            </w:r>
          </w:p>
        </w:tc>
      </w:tr>
    </w:tbl>
    <w:p>
      <w:r>
        <w:rPr>
          <w:b/>
        </w:rPr>
        <w:t xml:space="preserve">Committed outcome: </w:t>
      </w:r>
      <w:r>
        <w:t>Release the first validated Syteline-based domains into UAT.</w:t>
      </w:r>
    </w:p>
    <w:p>
      <w:pPr>
        <w:pStyle w:val="ListBullet"/>
      </w:pPr>
      <w:r>
        <w:rPr>
          <w:b/>
        </w:rPr>
        <w:t xml:space="preserve">Product Engineering - Bridgend: </w:t>
      </w:r>
      <w:r>
        <w:t>Validate the four mapped KPIs, complete the outstanding fifth KPI decision, confirm SQL outputs with Sarah De Bank, and complete the Power BI build for UAT.</w:t>
      </w:r>
    </w:p>
    <w:p>
      <w:pPr>
        <w:pStyle w:val="ListBullet"/>
      </w:pPr>
      <w:r>
        <w:rPr>
          <w:b/>
        </w:rPr>
        <w:t xml:space="preserve">Product Engineering - Maybole: </w:t>
      </w:r>
      <w:r>
        <w:t>Validate productivity, cost, delivery, BOM/order conversion and SafetyCulture quality logic; complete the report and prepare it for UAT.</w:t>
      </w:r>
    </w:p>
    <w:p>
      <w:pPr>
        <w:pStyle w:val="ListBullet"/>
      </w:pPr>
      <w:r>
        <w:rPr>
          <w:b/>
        </w:rPr>
        <w:t xml:space="preserve">Manufacturing - Bridgend: </w:t>
      </w:r>
      <w:r>
        <w:t>Implement and validate production value and OTIF; resolve the source and definition for customer complaints, production value per employee and cost of quality. Complete remaining workshop, mapping and build activities.</w:t>
      </w:r>
    </w:p>
    <w:p>
      <w:pPr>
        <w:pStyle w:val="ListBullet"/>
      </w:pPr>
      <w:r>
        <w:rPr>
          <w:b/>
        </w:rPr>
        <w:t xml:space="preserve">Manufacturing - Maybole: </w:t>
      </w:r>
      <w:r>
        <w:t>Implement the shared production-value and OTIF approach; reuse validated Quality MB and EHS logic where applicable; resolve production value per employee; and complete validation.</w:t>
      </w:r>
    </w:p>
    <w:p>
      <w:pPr>
        <w:pStyle w:val="ListBullet"/>
      </w:pPr>
      <w:r>
        <w:rPr>
          <w:b/>
        </w:rPr>
        <w:t xml:space="preserve">EHS and SOP: </w:t>
      </w:r>
      <w:r>
        <w:t>Incorporate initial UAT corrections and reissue updated versions where necessary.</w:t>
      </w:r>
    </w:p>
    <w:tbl>
      <w:tblPr>
        <w:tblW w:type="auto" w:w="0"/>
        <w:jc w:val="center"/>
        <w:tblLook w:firstColumn="1" w:firstRow="1" w:lastColumn="0" w:lastRow="0" w:noHBand="0" w:noVBand="1" w:val="04A0"/>
      </w:tblPr>
      <w:tblGrid>
        <w:gridCol w:w="10166"/>
      </w:tblGrid>
      <w:tr>
        <w:tc>
          <w:tcPr>
            <w:tcW w:type="dxa" w:w="10166"/>
            <w:shd w:fill="2F5597"/>
          </w:tcPr>
          <w:p>
            <w:pPr>
              <w:pStyle w:val="PhaseLabel"/>
            </w:pPr>
            <w:r>
              <w:rPr>
                <w:color w:val="FFFFFF"/>
              </w:rPr>
              <w:t>Phase 4 - Remaining mapped and dependency-led domains | 26-30 October 2026</w:t>
            </w:r>
          </w:p>
        </w:tc>
      </w:tr>
    </w:tbl>
    <w:p>
      <w:r>
        <w:rPr>
          <w:b/>
        </w:rPr>
        <w:t xml:space="preserve">Committed outcome: </w:t>
      </w:r>
      <w:r>
        <w:t>Present all remaining deliverable domains for UAT or agree an explicit exception or deferment.</w:t>
      </w:r>
    </w:p>
    <w:p>
      <w:pPr>
        <w:pStyle w:val="ListBullet"/>
      </w:pPr>
      <w:r>
        <w:rPr>
          <w:b/>
        </w:rPr>
        <w:t xml:space="preserve">Procurement: </w:t>
      </w:r>
      <w:r>
        <w:t>Implement the mapped productivity, delivery and SafetyCulture quality KPIs, including monthly snapshot handling. Obtain confirmation of the delivery-percentage calculation. Formally defer Purchase Price Variance if it cannot be defined within this phase.</w:t>
      </w:r>
    </w:p>
    <w:p>
      <w:pPr>
        <w:pStyle w:val="ListBullet"/>
      </w:pPr>
      <w:r>
        <w:rPr>
          <w:b/>
        </w:rPr>
        <w:t xml:space="preserve">Finance: </w:t>
      </w:r>
      <w:r>
        <w:t>Validate purchase-ledger invoices, creditor days and debtor days; resolve the exchange-rates requirement, Special Projects invoice treatment, group-turnover calculation and headcount input.</w:t>
      </w:r>
    </w:p>
    <w:p>
      <w:pPr>
        <w:pStyle w:val="ListBullet"/>
      </w:pPr>
      <w:r>
        <w:rPr>
          <w:b/>
        </w:rPr>
        <w:t xml:space="preserve">HR: </w:t>
      </w:r>
      <w:r>
        <w:t>Deliver headcount using the available CSV-based approach. Treat other HR KPIs as deferred unless SAS supplies confirmed sources and requirements.</w:t>
      </w:r>
    </w:p>
    <w:p>
      <w:pPr>
        <w:pStyle w:val="ListBullet"/>
      </w:pPr>
      <w:r>
        <w:rPr>
          <w:b/>
        </w:rPr>
        <w:t xml:space="preserve">IT Dashboard - FreshService: </w:t>
      </w:r>
      <w:r>
        <w:t>Validate incidents, requests, SLA compliance, ticket volumes, ticket trends and purchasing outputs; decide whether the existing dashboard should be reused or incorporated into the new reporting approach.</w:t>
      </w:r>
    </w:p>
    <w:p>
      <w:pPr>
        <w:pStyle w:val="ListBullet"/>
      </w:pPr>
      <w:r>
        <w:rPr>
          <w:b/>
        </w:rPr>
        <w:t xml:space="preserve">Marketing, Engineering, Quality MB and Manufacturing: </w:t>
      </w:r>
      <w:r>
        <w:t>Close outstanding decisions and issue any remaining UAT-ready releases.</w:t>
      </w:r>
    </w:p>
    <w:p>
      <w:pPr>
        <w:pStyle w:val="ListBullet"/>
      </w:pPr>
      <w:r>
        <w:rPr>
          <w:b/>
        </w:rPr>
        <w:t xml:space="preserve">Cross-cutting platform requirements: </w:t>
      </w:r>
      <w:r>
        <w:t>Confirm that the Gold KPI structure accommodates delivered domains and that required Syteline expansion, SharePoint/Excel automation and metadata-enabled ingestion components are operational for the agreed scope.</w:t>
      </w:r>
    </w:p>
    <w:tbl>
      <w:tblPr>
        <w:tblW w:type="auto" w:w="0"/>
        <w:jc w:val="center"/>
        <w:tblLook w:firstColumn="1" w:firstRow="1" w:lastColumn="0" w:lastRow="0" w:noHBand="0" w:noVBand="1" w:val="04A0"/>
      </w:tblPr>
      <w:tblGrid>
        <w:gridCol w:w="10166"/>
      </w:tblGrid>
      <w:tr>
        <w:tc>
          <w:tcPr>
            <w:tcW w:type="dxa" w:w="10166"/>
            <w:shd w:fill="2F5597"/>
          </w:tcPr>
          <w:p>
            <w:pPr>
              <w:pStyle w:val="PhaseLabel"/>
            </w:pPr>
            <w:r>
              <w:rPr>
                <w:color w:val="FFFFFF"/>
              </w:rPr>
              <w:t>Phase 5 - Extended UAT, fixes and release | 2-6 November 2026</w:t>
            </w:r>
          </w:p>
        </w:tc>
      </w:tr>
    </w:tbl>
    <w:p>
      <w:r>
        <w:rPr>
          <w:b/>
        </w:rPr>
        <w:t xml:space="preserve">Committed outcome: </w:t>
      </w:r>
      <w:r>
        <w:t>Conclude extended UAT and release accepted KPI reporting outputs by Friday 6 November.</w:t>
      </w:r>
    </w:p>
    <w:p>
      <w:pPr>
        <w:pStyle w:val="ListBullet"/>
      </w:pPr>
      <w:r>
        <w:rPr>
          <w:b/>
        </w:rPr>
        <w:t xml:space="preserve">Cross-domain UAT: </w:t>
      </w:r>
      <w:r>
        <w:t>Complete UAT with SAS and maintain a single prioritised action list.</w:t>
      </w:r>
    </w:p>
    <w:p>
      <w:pPr>
        <w:pStyle w:val="ListBullet"/>
      </w:pPr>
      <w:r>
        <w:rPr>
          <w:b/>
        </w:rPr>
        <w:t xml:space="preserve">Defect resolution: </w:t>
      </w:r>
      <w:r>
        <w:t>Resolve priority calculation, data-quality and presentation defects.</w:t>
      </w:r>
    </w:p>
    <w:p>
      <w:pPr>
        <w:pStyle w:val="ListBullet"/>
      </w:pPr>
      <w:r>
        <w:rPr>
          <w:b/>
        </w:rPr>
        <w:t xml:space="preserve">Revalidation: </w:t>
      </w:r>
      <w:r>
        <w:t>Revalidate corrections against originating PBIX, Salesforce, Syteline, SafetyCulture, SharePoint and API sources.</w:t>
      </w:r>
    </w:p>
    <w:p>
      <w:pPr>
        <w:pStyle w:val="ListBullet"/>
      </w:pPr>
      <w:r>
        <w:rPr>
          <w:b/>
        </w:rPr>
        <w:t xml:space="preserve">Acceptance: </w:t>
      </w:r>
      <w:r>
        <w:t>Obtain domain acceptance from Rob Samuel and Sarah De Bank.</w:t>
      </w:r>
    </w:p>
    <w:p>
      <w:pPr>
        <w:pStyle w:val="ListBullet"/>
      </w:pPr>
      <w:r>
        <w:rPr>
          <w:b/>
        </w:rPr>
        <w:t xml:space="preserve">Release: </w:t>
      </w:r>
      <w:r>
        <w:t>Release accepted Power BI reports and document formally deferred KPIs, outstanding customer dependencies and subsequent-phase requirements.</w:t>
      </w:r>
    </w:p>
    <w:p>
      <w:pPr>
        <w:pStyle w:val="ListBullet"/>
      </w:pPr>
      <w:r>
        <w:rPr>
          <w:b/>
        </w:rPr>
        <w:t xml:space="preserve">Final status: </w:t>
      </w:r>
      <w:r>
        <w:t>Provide a final position for every tracker domain: released, in UAT, deferred by agreement, or blocked by a named dependency.</w:t>
      </w:r>
    </w:p>
    <w:p>
      <w:pPr>
        <w:pStyle w:val="Heading1"/>
      </w:pPr>
      <w:r>
        <w:t>Commitment Controls and Escalation Points</w:t>
      </w:r>
    </w:p>
    <w:p>
      <w:r>
        <w:t>The 6 November date is committed against the agreed priority scope and timely closure of stated dependencies. It is not an unconditional commitment to complete KPIs that still require full discovery or an unresolved customer decision.</w:t>
      </w:r>
    </w:p>
    <w:p>
      <w:r>
        <w:t>1. Protect Paul Biltcliffe’s 26-30 planned October hours from competing customer work.</w:t>
      </w:r>
    </w:p>
    <w:p>
      <w:r>
        <w:t>2. Obtain the latest compatible Power BI Desktop version and PBIX files immediately.</w:t>
      </w:r>
    </w:p>
    <w:p>
      <w:r>
        <w:t>3. Establish a structured UAT process, named approvers and an agreed feedback turnaround.</w:t>
      </w:r>
    </w:p>
    <w:p>
      <w:r>
        <w:t>4. Require SAS decisions on obsolete Engineering KPIs, Procurement calculations, Finance logic and incomplete Manufacturing definitions.</w:t>
      </w:r>
    </w:p>
    <w:p>
      <w:r>
        <w:t>5. Formally defer KPIs requiring full discovery rather than placing the entire release at risk.</w:t>
      </w:r>
    </w:p>
    <w:p>
      <w:r>
        <w:t>6. Escalate capacity conflicts to Steph Martin as soon as they arise.</w:t>
      </w:r>
    </w:p>
    <w:p>
      <w:pPr>
        <w:pStyle w:val="Heading1"/>
      </w:pPr>
      <w:r>
        <w:t>Domain Coverage Summary</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2F5597"/>
          </w:tcPr>
          <w:p>
            <w:r>
              <w:rPr>
                <w:b/>
                <w:color w:val="FFFFFF"/>
                <w:sz w:val="17"/>
              </w:rPr>
              <w:t>Domain</w:t>
            </w:r>
          </w:p>
        </w:tc>
        <w:tc>
          <w:tcPr>
            <w:tcW w:type="dxa" w:w="5083"/>
            <w:shd w:fill="2F5597"/>
          </w:tcPr>
          <w:p>
            <w:r>
              <w:rPr>
                <w:b/>
                <w:color w:val="FFFFFF"/>
                <w:sz w:val="17"/>
              </w:rPr>
              <w:t>Planned treatment</w:t>
            </w:r>
          </w:p>
        </w:tc>
      </w:tr>
      <w:tr>
        <w:trPr>
          <w:cantSplit/>
        </w:trPr>
        <w:tc>
          <w:tcPr>
            <w:tcW w:type="dxa" w:w="5083"/>
            <w:vAlign w:val="center"/>
          </w:tcPr>
          <w:p>
            <w:pPr>
              <w:spacing w:after="20" w:before="20"/>
            </w:pPr>
            <w:r>
              <w:rPr>
                <w:sz w:val="16"/>
              </w:rPr>
              <w:t>EHS</w:t>
            </w:r>
          </w:p>
        </w:tc>
        <w:tc>
          <w:tcPr>
            <w:tcW w:type="dxa" w:w="5083"/>
            <w:vAlign w:val="center"/>
          </w:tcPr>
          <w:p>
            <w:pPr>
              <w:spacing w:after="20" w:before="20"/>
            </w:pPr>
            <w:r>
              <w:rPr>
                <w:sz w:val="16"/>
              </w:rPr>
              <w:t>Phase 1 validation; Phases 3 and 5 fixes/sign-off</w:t>
            </w:r>
          </w:p>
        </w:tc>
      </w:tr>
      <w:tr>
        <w:trPr>
          <w:cantSplit/>
        </w:trPr>
        <w:tc>
          <w:tcPr>
            <w:tcW w:type="dxa" w:w="5083"/>
            <w:vAlign w:val="center"/>
          </w:tcPr>
          <w:p>
            <w:pPr>
              <w:spacing w:after="20" w:before="20"/>
            </w:pPr>
            <w:r>
              <w:rPr>
                <w:sz w:val="16"/>
              </w:rPr>
              <w:t>Estimating</w:t>
            </w:r>
          </w:p>
        </w:tc>
        <w:tc>
          <w:tcPr>
            <w:tcW w:type="dxa" w:w="5083"/>
            <w:vAlign w:val="center"/>
          </w:tcPr>
          <w:p>
            <w:pPr>
              <w:spacing w:after="20" w:before="20"/>
            </w:pPr>
            <w:r>
              <w:rPr>
                <w:sz w:val="16"/>
              </w:rPr>
              <w:t>Phase 1 confirmation; Phase 2 UAT</w:t>
            </w:r>
          </w:p>
        </w:tc>
      </w:tr>
      <w:tr>
        <w:trPr>
          <w:cantSplit/>
        </w:trPr>
        <w:tc>
          <w:tcPr>
            <w:tcW w:type="dxa" w:w="5083"/>
            <w:vAlign w:val="center"/>
          </w:tcPr>
          <w:p>
            <w:pPr>
              <w:spacing w:after="20" w:before="20"/>
            </w:pPr>
            <w:r>
              <w:rPr>
                <w:sz w:val="16"/>
              </w:rPr>
              <w:t>SOP</w:t>
            </w:r>
          </w:p>
        </w:tc>
        <w:tc>
          <w:tcPr>
            <w:tcW w:type="dxa" w:w="5083"/>
            <w:vAlign w:val="center"/>
          </w:tcPr>
          <w:p>
            <w:pPr>
              <w:spacing w:after="20" w:before="20"/>
            </w:pPr>
            <w:r>
              <w:rPr>
                <w:sz w:val="16"/>
              </w:rPr>
              <w:t>Phase 1 revalidation; Phases 3 and 5 fixes/sign-off</w:t>
            </w:r>
          </w:p>
        </w:tc>
      </w:tr>
      <w:tr>
        <w:trPr>
          <w:cantSplit/>
        </w:trPr>
        <w:tc>
          <w:tcPr>
            <w:tcW w:type="dxa" w:w="5083"/>
            <w:vAlign w:val="center"/>
          </w:tcPr>
          <w:p>
            <w:pPr>
              <w:spacing w:after="20" w:before="20"/>
            </w:pPr>
            <w:r>
              <w:rPr>
                <w:sz w:val="16"/>
              </w:rPr>
              <w:t>Design</w:t>
            </w:r>
          </w:p>
        </w:tc>
        <w:tc>
          <w:tcPr>
            <w:tcW w:type="dxa" w:w="5083"/>
            <w:vAlign w:val="center"/>
          </w:tcPr>
          <w:p>
            <w:pPr>
              <w:spacing w:after="20" w:before="20"/>
            </w:pPr>
            <w:r>
              <w:rPr>
                <w:sz w:val="16"/>
              </w:rPr>
              <w:t>Phase 1 revalidation; Phase 2 UAT</w:t>
            </w:r>
          </w:p>
        </w:tc>
      </w:tr>
      <w:tr>
        <w:trPr>
          <w:cantSplit/>
        </w:trPr>
        <w:tc>
          <w:tcPr>
            <w:tcW w:type="dxa" w:w="5083"/>
            <w:vAlign w:val="center"/>
          </w:tcPr>
          <w:p>
            <w:pPr>
              <w:spacing w:after="20" w:before="20"/>
            </w:pPr>
            <w:r>
              <w:rPr>
                <w:sz w:val="16"/>
              </w:rPr>
              <w:t>Product Design</w:t>
            </w:r>
          </w:p>
        </w:tc>
        <w:tc>
          <w:tcPr>
            <w:tcW w:type="dxa" w:w="5083"/>
            <w:vAlign w:val="center"/>
          </w:tcPr>
          <w:p>
            <w:pPr>
              <w:spacing w:after="20" w:before="20"/>
            </w:pPr>
            <w:r>
              <w:rPr>
                <w:sz w:val="16"/>
              </w:rPr>
              <w:t>Phase 1 revalidation; Phase 2 UAT</w:t>
            </w:r>
          </w:p>
        </w:tc>
      </w:tr>
      <w:tr>
        <w:trPr>
          <w:cantSplit/>
        </w:trPr>
        <w:tc>
          <w:tcPr>
            <w:tcW w:type="dxa" w:w="5083"/>
            <w:vAlign w:val="center"/>
          </w:tcPr>
          <w:p>
            <w:pPr>
              <w:spacing w:after="20" w:before="20"/>
            </w:pPr>
            <w:r>
              <w:rPr>
                <w:sz w:val="16"/>
              </w:rPr>
              <w:t>Product Engineering - Bridgend</w:t>
            </w:r>
          </w:p>
        </w:tc>
        <w:tc>
          <w:tcPr>
            <w:tcW w:type="dxa" w:w="5083"/>
            <w:vAlign w:val="center"/>
          </w:tcPr>
          <w:p>
            <w:pPr>
              <w:spacing w:after="20" w:before="20"/>
            </w:pPr>
            <w:r>
              <w:rPr>
                <w:sz w:val="16"/>
              </w:rPr>
              <w:t>Phase 3 UAT</w:t>
            </w:r>
          </w:p>
        </w:tc>
      </w:tr>
      <w:tr>
        <w:trPr>
          <w:cantSplit/>
        </w:trPr>
        <w:tc>
          <w:tcPr>
            <w:tcW w:type="dxa" w:w="5083"/>
            <w:vAlign w:val="center"/>
          </w:tcPr>
          <w:p>
            <w:pPr>
              <w:spacing w:after="20" w:before="20"/>
            </w:pPr>
            <w:r>
              <w:rPr>
                <w:sz w:val="16"/>
              </w:rPr>
              <w:t>Product Engineering - Maybole</w:t>
            </w:r>
          </w:p>
        </w:tc>
        <w:tc>
          <w:tcPr>
            <w:tcW w:type="dxa" w:w="5083"/>
            <w:vAlign w:val="center"/>
          </w:tcPr>
          <w:p>
            <w:pPr>
              <w:spacing w:after="20" w:before="20"/>
            </w:pPr>
            <w:r>
              <w:rPr>
                <w:sz w:val="16"/>
              </w:rPr>
              <w:t>Phase 3 UAT</w:t>
            </w:r>
          </w:p>
        </w:tc>
      </w:tr>
      <w:tr>
        <w:trPr>
          <w:cantSplit/>
        </w:trPr>
        <w:tc>
          <w:tcPr>
            <w:tcW w:type="dxa" w:w="5083"/>
            <w:vAlign w:val="center"/>
          </w:tcPr>
          <w:p>
            <w:pPr>
              <w:spacing w:after="20" w:before="20"/>
            </w:pPr>
            <w:r>
              <w:rPr>
                <w:sz w:val="16"/>
              </w:rPr>
              <w:t>Manufacturing - Bridgend</w:t>
            </w:r>
          </w:p>
        </w:tc>
        <w:tc>
          <w:tcPr>
            <w:tcW w:type="dxa" w:w="5083"/>
            <w:vAlign w:val="center"/>
          </w:tcPr>
          <w:p>
            <w:pPr>
              <w:spacing w:after="20" w:before="20"/>
            </w:pPr>
            <w:r>
              <w:rPr>
                <w:sz w:val="16"/>
              </w:rPr>
              <w:t>Phase 3 build/validation; Phase 4 closure</w:t>
            </w:r>
          </w:p>
        </w:tc>
      </w:tr>
      <w:tr>
        <w:trPr>
          <w:cantSplit/>
        </w:trPr>
        <w:tc>
          <w:tcPr>
            <w:tcW w:type="dxa" w:w="5083"/>
            <w:vAlign w:val="center"/>
          </w:tcPr>
          <w:p>
            <w:pPr>
              <w:spacing w:after="20" w:before="20"/>
            </w:pPr>
            <w:r>
              <w:rPr>
                <w:sz w:val="16"/>
              </w:rPr>
              <w:t>Manufacturing - Maybole</w:t>
            </w:r>
          </w:p>
        </w:tc>
        <w:tc>
          <w:tcPr>
            <w:tcW w:type="dxa" w:w="5083"/>
            <w:vAlign w:val="center"/>
          </w:tcPr>
          <w:p>
            <w:pPr>
              <w:spacing w:after="20" w:before="20"/>
            </w:pPr>
            <w:r>
              <w:rPr>
                <w:sz w:val="16"/>
              </w:rPr>
              <w:t>Phase 3 build/validation; Phase 4 closure</w:t>
            </w:r>
          </w:p>
        </w:tc>
      </w:tr>
      <w:tr>
        <w:trPr>
          <w:cantSplit/>
        </w:trPr>
        <w:tc>
          <w:tcPr>
            <w:tcW w:type="dxa" w:w="5083"/>
            <w:vAlign w:val="center"/>
          </w:tcPr>
          <w:p>
            <w:pPr>
              <w:spacing w:after="20" w:before="20"/>
            </w:pPr>
            <w:r>
              <w:rPr>
                <w:sz w:val="16"/>
              </w:rPr>
              <w:t>Engineering</w:t>
            </w:r>
          </w:p>
        </w:tc>
        <w:tc>
          <w:tcPr>
            <w:tcW w:type="dxa" w:w="5083"/>
            <w:vAlign w:val="center"/>
          </w:tcPr>
          <w:p>
            <w:pPr>
              <w:spacing w:after="20" w:before="20"/>
            </w:pPr>
            <w:r>
              <w:rPr>
                <w:sz w:val="16"/>
              </w:rPr>
              <w:t>Phase 2 validation and decision; Phase 4 closure</w:t>
            </w:r>
          </w:p>
        </w:tc>
      </w:tr>
      <w:tr>
        <w:trPr>
          <w:cantSplit/>
        </w:trPr>
        <w:tc>
          <w:tcPr>
            <w:tcW w:type="dxa" w:w="5083"/>
            <w:vAlign w:val="center"/>
          </w:tcPr>
          <w:p>
            <w:pPr>
              <w:spacing w:after="20" w:before="20"/>
            </w:pPr>
            <w:r>
              <w:rPr>
                <w:sz w:val="16"/>
              </w:rPr>
              <w:t>Quality MB</w:t>
            </w:r>
          </w:p>
        </w:tc>
        <w:tc>
          <w:tcPr>
            <w:tcW w:type="dxa" w:w="5083"/>
            <w:vAlign w:val="center"/>
          </w:tcPr>
          <w:p>
            <w:pPr>
              <w:spacing w:after="20" w:before="20"/>
            </w:pPr>
            <w:r>
              <w:rPr>
                <w:sz w:val="16"/>
              </w:rPr>
              <w:t>Phase 2 validation/UAT; Phase 4 closure</w:t>
            </w:r>
          </w:p>
        </w:tc>
      </w:tr>
      <w:tr>
        <w:trPr>
          <w:cantSplit/>
        </w:trPr>
        <w:tc>
          <w:tcPr>
            <w:tcW w:type="dxa" w:w="5083"/>
            <w:vAlign w:val="center"/>
          </w:tcPr>
          <w:p>
            <w:pPr>
              <w:spacing w:after="20" w:before="20"/>
            </w:pPr>
            <w:r>
              <w:rPr>
                <w:sz w:val="16"/>
              </w:rPr>
              <w:t>Procurement Dashboard</w:t>
            </w:r>
          </w:p>
        </w:tc>
        <w:tc>
          <w:tcPr>
            <w:tcW w:type="dxa" w:w="5083"/>
            <w:vAlign w:val="center"/>
          </w:tcPr>
          <w:p>
            <w:pPr>
              <w:spacing w:after="20" w:before="20"/>
            </w:pPr>
            <w:r>
              <w:rPr>
                <w:sz w:val="16"/>
              </w:rPr>
              <w:t>Phase 4 UAT or explicit deferment</w:t>
            </w:r>
          </w:p>
        </w:tc>
      </w:tr>
      <w:tr>
        <w:trPr>
          <w:cantSplit/>
        </w:trPr>
        <w:tc>
          <w:tcPr>
            <w:tcW w:type="dxa" w:w="5083"/>
            <w:vAlign w:val="center"/>
          </w:tcPr>
          <w:p>
            <w:pPr>
              <w:spacing w:after="20" w:before="20"/>
            </w:pPr>
            <w:r>
              <w:rPr>
                <w:sz w:val="16"/>
              </w:rPr>
              <w:t>Marketing Dashboard</w:t>
            </w:r>
          </w:p>
        </w:tc>
        <w:tc>
          <w:tcPr>
            <w:tcW w:type="dxa" w:w="5083"/>
            <w:vAlign w:val="center"/>
          </w:tcPr>
          <w:p>
            <w:pPr>
              <w:spacing w:after="20" w:before="20"/>
            </w:pPr>
            <w:r>
              <w:rPr>
                <w:sz w:val="16"/>
              </w:rPr>
              <w:t>Phase 2 validation/UAT; Phase 4 closure</w:t>
            </w:r>
          </w:p>
        </w:tc>
      </w:tr>
      <w:tr>
        <w:trPr>
          <w:cantSplit/>
        </w:trPr>
        <w:tc>
          <w:tcPr>
            <w:tcW w:type="dxa" w:w="5083"/>
            <w:vAlign w:val="center"/>
          </w:tcPr>
          <w:p>
            <w:pPr>
              <w:spacing w:after="20" w:before="20"/>
            </w:pPr>
            <w:r>
              <w:rPr>
                <w:sz w:val="16"/>
              </w:rPr>
              <w:t>Finance Reporting</w:t>
            </w:r>
          </w:p>
        </w:tc>
        <w:tc>
          <w:tcPr>
            <w:tcW w:type="dxa" w:w="5083"/>
            <w:vAlign w:val="center"/>
          </w:tcPr>
          <w:p>
            <w:pPr>
              <w:spacing w:after="20" w:before="20"/>
            </w:pPr>
            <w:r>
              <w:rPr>
                <w:sz w:val="16"/>
              </w:rPr>
              <w:t>Phase 4 UAT or dependency exception</w:t>
            </w:r>
          </w:p>
        </w:tc>
      </w:tr>
      <w:tr>
        <w:trPr>
          <w:cantSplit/>
        </w:trPr>
        <w:tc>
          <w:tcPr>
            <w:tcW w:type="dxa" w:w="5083"/>
            <w:vAlign w:val="center"/>
          </w:tcPr>
          <w:p>
            <w:pPr>
              <w:spacing w:after="20" w:before="20"/>
            </w:pPr>
            <w:r>
              <w:rPr>
                <w:sz w:val="16"/>
              </w:rPr>
              <w:t>HR</w:t>
            </w:r>
          </w:p>
        </w:tc>
        <w:tc>
          <w:tcPr>
            <w:tcW w:type="dxa" w:w="5083"/>
            <w:vAlign w:val="center"/>
          </w:tcPr>
          <w:p>
            <w:pPr>
              <w:spacing w:after="20" w:before="20"/>
            </w:pPr>
            <w:r>
              <w:rPr>
                <w:sz w:val="16"/>
              </w:rPr>
              <w:t>Phase 4 headcount delivery; other KPIs subject to confirmed sources</w:t>
            </w:r>
          </w:p>
        </w:tc>
      </w:tr>
      <w:tr>
        <w:trPr>
          <w:cantSplit/>
        </w:trPr>
        <w:tc>
          <w:tcPr>
            <w:tcW w:type="dxa" w:w="5083"/>
            <w:vAlign w:val="center"/>
          </w:tcPr>
          <w:p>
            <w:pPr>
              <w:spacing w:after="20" w:before="20"/>
            </w:pPr>
            <w:r>
              <w:rPr>
                <w:sz w:val="16"/>
              </w:rPr>
              <w:t>IT Dashboard - FreshService</w:t>
            </w:r>
          </w:p>
        </w:tc>
        <w:tc>
          <w:tcPr>
            <w:tcW w:type="dxa" w:w="5083"/>
            <w:vAlign w:val="center"/>
          </w:tcPr>
          <w:p>
            <w:pPr>
              <w:spacing w:after="20" w:before="20"/>
            </w:pPr>
            <w:r>
              <w:rPr>
                <w:sz w:val="16"/>
              </w:rPr>
              <w:t>Phase 4 validation/UAT</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Customer delivery plan | 7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SAS KPI Reporting | Committed Phased Delivery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haseLabel">
    <w:name w:val="Phase Label"/>
    <w:pPr>
      <w:spacing w:after="0" w:before="0"/>
    </w:pPr>
    <w:rPr>
      <w:rFonts w:ascii="Aptos" w:hAnsi="Aptos"/>
      <w:b/>
      <w:color w:val="FFFFF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SAS KPI Reporting - Committed Phased Delivery Plan</dc:title>
  <dc:subject>Customer delivery plan through early November 2026</dc:subject>
  <dc:creator>Paul Biltcliffe</dc:creator>
  <keywords>SAS, KPI, Power BI, UAT, delivery plan</keywords>
  <dc:description>generated by python-docx</dc:description>
  <lastModifiedBy>Paul Biltcliffe</lastModifiedBy>
  <revision>1</revision>
  <dcterms:created xsi:type="dcterms:W3CDTF">2026-10-07T10:33:26.0632880Z</dcterms:created>
  <dcterms:modified xsi:type="dcterms:W3CDTF">2026-10-07T10:33:26.0632880Z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5ab346f-2c3b-432c-ac4d-fdd3cbdce545_Enabled">
    <vt:lpwstr>true</vt:lpwstr>
  </property>
  <property fmtid="{D5CDD505-2E9C-101B-9397-08002B2CF9AE}" pid="3" name="MSIP_Label_a5ab346f-2c3b-432c-ac4d-fdd3cbdce545_SetDate">
    <vt:lpwstr>2026-10-07T10:33:26Z</vt:lpwstr>
  </property>
  <property fmtid="{D5CDD505-2E9C-101B-9397-08002B2CF9AE}" pid="4" name="MSIP_Label_a5ab346f-2c3b-432c-ac4d-fdd3cbdce545_Method">
    <vt:lpwstr>Privileged</vt:lpwstr>
  </property>
  <property fmtid="{D5CDD505-2E9C-101B-9397-08002B2CF9AE}" pid="5" name="MSIP_Label_a5ab346f-2c3b-432c-ac4d-fdd3cbdce545_Name">
    <vt:lpwstr>Internal</vt:lpwstr>
  </property>
  <property fmtid="{D5CDD505-2E9C-101B-9397-08002B2CF9AE}" pid="6" name="MSIP_Label_a5ab346f-2c3b-432c-ac4d-fdd3cbdce545_SiteId">
    <vt:lpwstr>3e60f945-19c7-48b2-b721-096ae586d0e5</vt:lpwstr>
  </property>
  <property fmtid="{D5CDD505-2E9C-101B-9397-08002B2CF9AE}" pid="7" name="MSIP_Label_a5ab346f-2c3b-432c-ac4d-fdd3cbdce545_ActionId">
    <vt:lpwstr>70de00ff-0fcb-461c-8755-1adb601b9e64</vt:lpwstr>
  </property>
  <property fmtid="{D5CDD505-2E9C-101B-9397-08002B2CF9AE}" pid="8" name="MSIP_Label_a5ab346f-2c3b-432c-ac4d-fdd3cbdce545_ContentBits">
    <vt:lpwstr>0</vt:lpwstr>
  </property>
</Properties>
</file>