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SYP XML Processing Design Document</w:t>
        <w:br/>
      </w:r>
      <w:r>
        <w:rPr>
          <w:b/>
          <w:sz w:val="26"/>
        </w:rPr>
        <w:t>Synapse Analytics Notebook + Serverless SQL Pattern</w:t>
      </w:r>
    </w:p>
    <w:p>
      <w:pPr>
        <w:jc w:val="center"/>
      </w:pPr>
      <w:r>
        <w:t>Working design for flexible extraction of StoredReport / Connect XML into reporting-ready views using the existing SYP Synapse platform configuration.</w:t>
      </w:r>
    </w:p>
    <w:p>
      <w:pPr>
        <w:jc w:val="center"/>
      </w:pPr>
      <w:r>
        <w:t>Classification: Internal</w:t>
      </w:r>
    </w:p>
    <w:p>
      <w:pPr>
        <w:jc w:val="center"/>
      </w:pPr>
      <w:r>
        <w:t>Version: Draft v0.2</w:t>
      </w:r>
    </w:p>
    <w:p>
      <w:pPr>
        <w:jc w:val="center"/>
      </w:pPr>
      <w:r>
        <w:t>Prepared for: Synapse Analytics Data Engineering implementation</w:t>
      </w:r>
    </w:p>
    <w:p>
      <w:pPr>
        <w:pStyle w:val="Heading1"/>
      </w:pPr>
      <w:r>
        <w:t>1. Purpose</w:t>
      </w:r>
    </w:p>
    <w:p>
      <w:r>
        <w:t>This document defines a practical implementation approach for processing XML report content in the existing Azure Synapse Analytics platform. The objective is to extract key reporting values from Vulnerable Adult and Vulnerable Child Connect report XML, retain enough flexible detail for discovery, and publish stable views for validation and Power BI reporting.</w:t>
      </w:r>
    </w:p>
    <w:p>
      <w:r>
        <w:t>The design deliberately avoids an over-strict XSD-led approach. The XML contains dynamic attributes, repeating CompoundRecord / CompoundList structures, embedded KCXML content, and report-type variation. The recommended pattern is a flexible parsed layer first, followed by curated views for known reporting fields.</w:t>
      </w:r>
    </w:p>
    <w:p>
      <w:pPr>
        <w:pStyle w:val="Heading1"/>
      </w:pPr>
      <w:r>
        <w:t>2. Existing platform configuration</w:t>
      </w:r>
    </w:p>
    <w:tbl>
      <w:tblPr>
        <w:tblStyle w:val="TableGrid"/>
        <w:tblW w:type="auto" w:w="0"/>
        <w:jc w:val="center"/>
        <w:tblLook w:firstColumn="1" w:firstRow="1" w:lastColumn="0" w:lastRow="0" w:noHBand="0" w:noVBand="1" w:val="04A0"/>
      </w:tblPr>
      <w:tblGrid>
        <w:gridCol w:w="3408"/>
        <w:gridCol w:w="3408"/>
        <w:gridCol w:w="3408"/>
      </w:tblGrid>
      <w:tr>
        <w:tc>
          <w:tcPr>
            <w:tcW w:type="dxa" w:w="2448"/>
            <w:vAlign w:val="top"/>
            <w:shd w:fill="D9EAF7"/>
          </w:tcPr>
          <w:p>
            <w:pPr>
              <w:spacing w:after="0"/>
            </w:pPr>
            <w:r>
              <w:rPr>
                <w:sz w:val="17"/>
              </w:rPr>
            </w:r>
            <w:r>
              <w:rPr>
                <w:b/>
                <w:sz w:val="17"/>
              </w:rPr>
              <w:t>Component</w:t>
            </w:r>
          </w:p>
        </w:tc>
        <w:tc>
          <w:tcPr>
            <w:tcW w:type="dxa" w:w="3456"/>
            <w:vAlign w:val="top"/>
            <w:shd w:fill="D9EAF7"/>
          </w:tcPr>
          <w:p>
            <w:pPr>
              <w:spacing w:after="0"/>
            </w:pPr>
            <w:r>
              <w:rPr>
                <w:sz w:val="17"/>
              </w:rPr>
            </w:r>
            <w:r>
              <w:rPr>
                <w:b/>
                <w:sz w:val="17"/>
              </w:rPr>
              <w:t>Configured value / object</w:t>
            </w:r>
          </w:p>
        </w:tc>
        <w:tc>
          <w:tcPr>
            <w:tcW w:type="dxa" w:w="4320"/>
            <w:vAlign w:val="top"/>
            <w:shd w:fill="D9EAF7"/>
          </w:tcPr>
          <w:p>
            <w:pPr>
              <w:spacing w:after="0"/>
            </w:pPr>
            <w:r>
              <w:rPr>
                <w:sz w:val="17"/>
              </w:rPr>
            </w:r>
            <w:r>
              <w:rPr>
                <w:b/>
                <w:sz w:val="17"/>
              </w:rPr>
              <w:t>Design usage</w:t>
            </w:r>
          </w:p>
        </w:tc>
      </w:tr>
      <w:tr>
        <w:tc>
          <w:tcPr>
            <w:tcW w:type="dxa" w:w="2448"/>
            <w:vAlign w:val="top"/>
          </w:tcPr>
          <w:p>
            <w:pPr>
              <w:spacing w:after="0"/>
            </w:pPr>
            <w:r>
              <w:rPr>
                <w:sz w:val="17"/>
              </w:rPr>
            </w:r>
            <w:r>
              <w:rPr>
                <w:b w:val="0"/>
                <w:sz w:val="17"/>
              </w:rPr>
              <w:t>Synapse serverless SQL pool</w:t>
            </w:r>
          </w:p>
        </w:tc>
        <w:tc>
          <w:tcPr>
            <w:tcW w:type="dxa" w:w="3456"/>
            <w:vAlign w:val="top"/>
          </w:tcPr>
          <w:p>
            <w:pPr>
              <w:spacing w:after="0"/>
            </w:pPr>
            <w:r>
              <w:rPr>
                <w:sz w:val="17"/>
              </w:rPr>
            </w:r>
            <w:r>
              <w:rPr>
                <w:b w:val="0"/>
                <w:sz w:val="17"/>
              </w:rPr>
              <w:t>[synw-symdp-data-d-uksouth-001]</w:t>
            </w:r>
          </w:p>
        </w:tc>
        <w:tc>
          <w:tcPr>
            <w:tcW w:type="dxa" w:w="4320"/>
            <w:vAlign w:val="top"/>
          </w:tcPr>
          <w:p>
            <w:pPr>
              <w:spacing w:after="0"/>
            </w:pPr>
            <w:r>
              <w:rPr>
                <w:sz w:val="17"/>
              </w:rPr>
            </w:r>
            <w:r>
              <w:rPr>
                <w:b w:val="0"/>
                <w:sz w:val="17"/>
              </w:rPr>
              <w:t>Primary SQL endpoint used to expose source external tables and create downstream views.</w:t>
            </w:r>
          </w:p>
        </w:tc>
      </w:tr>
      <w:tr>
        <w:tc>
          <w:tcPr>
            <w:tcW w:type="dxa" w:w="2448"/>
            <w:vAlign w:val="top"/>
          </w:tcPr>
          <w:p>
            <w:pPr>
              <w:spacing w:after="0"/>
            </w:pPr>
            <w:r>
              <w:rPr>
                <w:sz w:val="17"/>
              </w:rPr>
            </w:r>
            <w:r>
              <w:rPr>
                <w:b w:val="0"/>
                <w:sz w:val="17"/>
              </w:rPr>
              <w:t>Lakehouse / data lake</w:t>
            </w:r>
          </w:p>
        </w:tc>
        <w:tc>
          <w:tcPr>
            <w:tcW w:type="dxa" w:w="3456"/>
            <w:vAlign w:val="top"/>
          </w:tcPr>
          <w:p>
            <w:pPr>
              <w:spacing w:after="0"/>
            </w:pPr>
            <w:r>
              <w:rPr>
                <w:sz w:val="17"/>
              </w:rPr>
            </w:r>
            <w:r>
              <w:rPr>
                <w:b w:val="0"/>
                <w:sz w:val="17"/>
              </w:rPr>
              <w:t>synw-syp-lakehouse</w:t>
            </w:r>
          </w:p>
        </w:tc>
        <w:tc>
          <w:tcPr>
            <w:tcW w:type="dxa" w:w="4320"/>
            <w:vAlign w:val="top"/>
          </w:tcPr>
          <w:p>
            <w:pPr>
              <w:spacing w:after="0"/>
            </w:pPr>
            <w:r>
              <w:rPr>
                <w:sz w:val="17"/>
              </w:rPr>
            </w:r>
            <w:r>
              <w:rPr>
                <w:b w:val="0"/>
                <w:sz w:val="17"/>
              </w:rPr>
              <w:t>Underlying storage area for the source external tables and processed outputs.</w:t>
            </w:r>
          </w:p>
        </w:tc>
      </w:tr>
      <w:tr>
        <w:tc>
          <w:tcPr>
            <w:tcW w:type="dxa" w:w="2448"/>
            <w:vAlign w:val="top"/>
          </w:tcPr>
          <w:p>
            <w:pPr>
              <w:spacing w:after="0"/>
            </w:pPr>
            <w:r>
              <w:rPr>
                <w:sz w:val="17"/>
              </w:rPr>
            </w:r>
            <w:r>
              <w:rPr>
                <w:b w:val="0"/>
                <w:sz w:val="17"/>
              </w:rPr>
              <w:t>Source schema</w:t>
            </w:r>
          </w:p>
        </w:tc>
        <w:tc>
          <w:tcPr>
            <w:tcW w:type="dxa" w:w="3456"/>
            <w:vAlign w:val="top"/>
          </w:tcPr>
          <w:p>
            <w:pPr>
              <w:spacing w:after="0"/>
            </w:pPr>
            <w:r>
              <w:rPr>
                <w:sz w:val="17"/>
              </w:rPr>
            </w:r>
            <w:r>
              <w:rPr>
                <w:b w:val="0"/>
                <w:sz w:val="17"/>
              </w:rPr>
              <w:t>[pronto]</w:t>
            </w:r>
          </w:p>
        </w:tc>
        <w:tc>
          <w:tcPr>
            <w:tcW w:type="dxa" w:w="4320"/>
            <w:vAlign w:val="top"/>
          </w:tcPr>
          <w:p>
            <w:pPr>
              <w:spacing w:after="0"/>
            </w:pPr>
            <w:r>
              <w:rPr>
                <w:sz w:val="17"/>
              </w:rPr>
            </w:r>
            <w:r>
              <w:rPr>
                <w:b w:val="0"/>
                <w:sz w:val="17"/>
              </w:rPr>
              <w:t>Contains the existing external tables that hold the decoded XML source data and the generic processed outputs produced by the notebook.</w:t>
            </w:r>
          </w:p>
        </w:tc>
      </w:tr>
      <w:tr>
        <w:tc>
          <w:tcPr>
            <w:tcW w:type="dxa" w:w="2448"/>
            <w:vAlign w:val="top"/>
          </w:tcPr>
          <w:p>
            <w:pPr>
              <w:spacing w:after="0"/>
            </w:pPr>
            <w:r>
              <w:rPr>
                <w:sz w:val="17"/>
              </w:rPr>
            </w:r>
            <w:r>
              <w:rPr>
                <w:b w:val="0"/>
                <w:sz w:val="17"/>
              </w:rPr>
              <w:t>VA source table</w:t>
            </w:r>
          </w:p>
        </w:tc>
        <w:tc>
          <w:tcPr>
            <w:tcW w:type="dxa" w:w="3456"/>
            <w:vAlign w:val="top"/>
          </w:tcPr>
          <w:p>
            <w:pPr>
              <w:spacing w:after="0"/>
            </w:pPr>
            <w:r>
              <w:rPr>
                <w:sz w:val="17"/>
              </w:rPr>
            </w:r>
            <w:r>
              <w:rPr>
                <w:b w:val="0"/>
                <w:sz w:val="17"/>
              </w:rPr>
              <w:t>[pronto].[ddform_connectsr_va]</w:t>
            </w:r>
          </w:p>
        </w:tc>
        <w:tc>
          <w:tcPr>
            <w:tcW w:type="dxa" w:w="4320"/>
            <w:vAlign w:val="top"/>
          </w:tcPr>
          <w:p>
            <w:pPr>
              <w:spacing w:after="0"/>
            </w:pPr>
            <w:r>
              <w:rPr>
                <w:sz w:val="17"/>
              </w:rPr>
            </w:r>
            <w:r>
              <w:rPr>
                <w:b w:val="0"/>
                <w:sz w:val="17"/>
              </w:rPr>
              <w:t>Vulnerable Adult StoredReport / ConnectSR XML source. Treat as a raw/bronze-equivalent input table.</w:t>
            </w:r>
          </w:p>
        </w:tc>
      </w:tr>
      <w:tr>
        <w:tc>
          <w:tcPr>
            <w:tcW w:type="dxa" w:w="2448"/>
            <w:vAlign w:val="top"/>
          </w:tcPr>
          <w:p>
            <w:pPr>
              <w:spacing w:after="0"/>
            </w:pPr>
            <w:r>
              <w:rPr>
                <w:sz w:val="17"/>
              </w:rPr>
            </w:r>
            <w:r>
              <w:rPr>
                <w:b w:val="0"/>
                <w:sz w:val="17"/>
              </w:rPr>
              <w:t>VC source table</w:t>
            </w:r>
          </w:p>
        </w:tc>
        <w:tc>
          <w:tcPr>
            <w:tcW w:type="dxa" w:w="3456"/>
            <w:vAlign w:val="top"/>
          </w:tcPr>
          <w:p>
            <w:pPr>
              <w:spacing w:after="0"/>
            </w:pPr>
            <w:r>
              <w:rPr>
                <w:sz w:val="17"/>
              </w:rPr>
            </w:r>
            <w:r>
              <w:rPr>
                <w:b w:val="0"/>
                <w:sz w:val="17"/>
              </w:rPr>
              <w:t>[pronto].[ddform_connectsr_vc]</w:t>
            </w:r>
          </w:p>
        </w:tc>
        <w:tc>
          <w:tcPr>
            <w:tcW w:type="dxa" w:w="4320"/>
            <w:vAlign w:val="top"/>
          </w:tcPr>
          <w:p>
            <w:pPr>
              <w:spacing w:after="0"/>
            </w:pPr>
            <w:r>
              <w:rPr>
                <w:sz w:val="17"/>
              </w:rPr>
            </w:r>
            <w:r>
              <w:rPr>
                <w:b w:val="0"/>
                <w:sz w:val="17"/>
              </w:rPr>
              <w:t>Vulnerable Child StoredReport / ConnectSR XML source. Treat as a raw/bronze-equivalent input table.</w:t>
            </w:r>
          </w:p>
        </w:tc>
      </w:tr>
      <w:tr>
        <w:tc>
          <w:tcPr>
            <w:tcW w:type="dxa" w:w="2448"/>
            <w:vAlign w:val="top"/>
          </w:tcPr>
          <w:p>
            <w:pPr>
              <w:spacing w:after="0"/>
            </w:pPr>
            <w:r>
              <w:rPr>
                <w:sz w:val="17"/>
              </w:rPr>
            </w:r>
            <w:r>
              <w:rPr>
                <w:b w:val="0"/>
                <w:sz w:val="17"/>
              </w:rPr>
              <w:t>Validation/review views</w:t>
            </w:r>
          </w:p>
        </w:tc>
        <w:tc>
          <w:tcPr>
            <w:tcW w:type="dxa" w:w="3456"/>
            <w:vAlign w:val="top"/>
          </w:tcPr>
          <w:p>
            <w:pPr>
              <w:spacing w:after="0"/>
            </w:pPr>
            <w:r>
              <w:rPr>
                <w:sz w:val="17"/>
              </w:rPr>
            </w:r>
            <w:r>
              <w:rPr>
                <w:b w:val="0"/>
                <w:sz w:val="17"/>
              </w:rPr>
              <w:t>[pronto_vw]</w:t>
            </w:r>
          </w:p>
        </w:tc>
        <w:tc>
          <w:tcPr>
            <w:tcW w:type="dxa" w:w="4320"/>
            <w:vAlign w:val="top"/>
          </w:tcPr>
          <w:p>
            <w:pPr>
              <w:spacing w:after="0"/>
            </w:pPr>
            <w:r>
              <w:rPr>
                <w:sz w:val="17"/>
              </w:rPr>
            </w:r>
            <w:r>
              <w:rPr>
                <w:b w:val="0"/>
                <w:sz w:val="17"/>
              </w:rPr>
              <w:t>Views used by data engineers, analysts and SMEs to validate parsed output and troubleshoot extraction logic.</w:t>
            </w:r>
          </w:p>
        </w:tc>
      </w:tr>
      <w:tr>
        <w:tc>
          <w:tcPr>
            <w:tcW w:type="dxa" w:w="2448"/>
            <w:vAlign w:val="top"/>
          </w:tcPr>
          <w:p>
            <w:pPr>
              <w:spacing w:after="0"/>
            </w:pPr>
            <w:r>
              <w:rPr>
                <w:sz w:val="17"/>
              </w:rPr>
            </w:r>
            <w:r>
              <w:rPr>
                <w:b w:val="0"/>
                <w:sz w:val="17"/>
              </w:rPr>
              <w:t>Power BI views</w:t>
            </w:r>
          </w:p>
        </w:tc>
        <w:tc>
          <w:tcPr>
            <w:tcW w:type="dxa" w:w="3456"/>
            <w:vAlign w:val="top"/>
          </w:tcPr>
          <w:p>
            <w:pPr>
              <w:spacing w:after="0"/>
            </w:pPr>
            <w:r>
              <w:rPr>
                <w:sz w:val="17"/>
              </w:rPr>
            </w:r>
            <w:r>
              <w:rPr>
                <w:b w:val="0"/>
                <w:sz w:val="17"/>
              </w:rPr>
              <w:t>[pbi_vw]</w:t>
            </w:r>
          </w:p>
        </w:tc>
        <w:tc>
          <w:tcPr>
            <w:tcW w:type="dxa" w:w="4320"/>
            <w:vAlign w:val="top"/>
          </w:tcPr>
          <w:p>
            <w:pPr>
              <w:spacing w:after="0"/>
            </w:pPr>
            <w:r>
              <w:rPr>
                <w:sz w:val="17"/>
              </w:rPr>
            </w:r>
            <w:r>
              <w:rPr>
                <w:b w:val="0"/>
                <w:sz w:val="17"/>
              </w:rPr>
              <w:t>Reporting-specific views designed with the Power BI engineer. These should expose stable, business-friendly columns.</w:t>
            </w:r>
          </w:p>
        </w:tc>
      </w:tr>
    </w:tbl>
    <w:p/>
    <w:p>
      <w:r>
        <w:t>Important terminology change: this platform does not need to use generic Bronze, Silver and Gold folder names in the design. Instead, this document maps those concepts onto the existing SYP schemas and objects as follows:</w:t>
      </w:r>
    </w:p>
    <w:tbl>
      <w:tblPr>
        <w:tblStyle w:val="TableGrid"/>
        <w:tblW w:type="auto" w:w="0"/>
        <w:jc w:val="center"/>
        <w:tblLook w:firstColumn="1" w:firstRow="1" w:lastColumn="0" w:lastRow="0" w:noHBand="0" w:noVBand="1" w:val="04A0"/>
      </w:tblPr>
      <w:tblGrid>
        <w:gridCol w:w="3408"/>
        <w:gridCol w:w="3408"/>
        <w:gridCol w:w="3408"/>
      </w:tblGrid>
      <w:tr>
        <w:tc>
          <w:tcPr>
            <w:tcW w:type="dxa" w:w="2304"/>
            <w:vAlign w:val="top"/>
            <w:shd w:fill="D9EAF7"/>
          </w:tcPr>
          <w:p>
            <w:pPr>
              <w:spacing w:after="0"/>
            </w:pPr>
            <w:r>
              <w:rPr>
                <w:sz w:val="17"/>
              </w:rPr>
            </w:r>
            <w:r>
              <w:rPr>
                <w:b/>
                <w:sz w:val="17"/>
              </w:rPr>
              <w:t>Conceptual layer</w:t>
            </w:r>
          </w:p>
        </w:tc>
        <w:tc>
          <w:tcPr>
            <w:tcW w:type="dxa" w:w="3744"/>
            <w:vAlign w:val="top"/>
            <w:shd w:fill="D9EAF7"/>
          </w:tcPr>
          <w:p>
            <w:pPr>
              <w:spacing w:after="0"/>
            </w:pPr>
            <w:r>
              <w:rPr>
                <w:sz w:val="17"/>
              </w:rPr>
            </w:r>
            <w:r>
              <w:rPr>
                <w:b/>
                <w:sz w:val="17"/>
              </w:rPr>
              <w:t>SYP implementation</w:t>
            </w:r>
          </w:p>
        </w:tc>
        <w:tc>
          <w:tcPr>
            <w:tcW w:type="dxa" w:w="4320"/>
            <w:vAlign w:val="top"/>
            <w:shd w:fill="D9EAF7"/>
          </w:tcPr>
          <w:p>
            <w:pPr>
              <w:spacing w:after="0"/>
            </w:pPr>
            <w:r>
              <w:rPr>
                <w:sz w:val="17"/>
              </w:rPr>
            </w:r>
            <w:r>
              <w:rPr>
                <w:b/>
                <w:sz w:val="17"/>
              </w:rPr>
              <w:t>Purpose</w:t>
            </w:r>
          </w:p>
        </w:tc>
      </w:tr>
      <w:tr>
        <w:tc>
          <w:tcPr>
            <w:tcW w:type="dxa" w:w="2304"/>
            <w:vAlign w:val="top"/>
          </w:tcPr>
          <w:p>
            <w:pPr>
              <w:spacing w:after="0"/>
            </w:pPr>
            <w:r>
              <w:rPr>
                <w:sz w:val="17"/>
              </w:rPr>
            </w:r>
            <w:r>
              <w:rPr>
                <w:b w:val="0"/>
                <w:sz w:val="17"/>
              </w:rPr>
              <w:t>Raw / bronze-equivalent</w:t>
            </w:r>
          </w:p>
        </w:tc>
        <w:tc>
          <w:tcPr>
            <w:tcW w:type="dxa" w:w="3744"/>
            <w:vAlign w:val="top"/>
          </w:tcPr>
          <w:p>
            <w:pPr>
              <w:spacing w:after="0"/>
            </w:pPr>
            <w:r>
              <w:rPr>
                <w:sz w:val="17"/>
              </w:rPr>
            </w:r>
            <w:r>
              <w:rPr>
                <w:b w:val="0"/>
                <w:sz w:val="17"/>
              </w:rPr>
              <w:t>[pronto].[ddform_connectsr_va] and [pronto].[ddform_connectsr_vc]</w:t>
            </w:r>
          </w:p>
        </w:tc>
        <w:tc>
          <w:tcPr>
            <w:tcW w:type="dxa" w:w="4320"/>
            <w:vAlign w:val="top"/>
          </w:tcPr>
          <w:p>
            <w:pPr>
              <w:spacing w:after="0"/>
            </w:pPr>
            <w:r>
              <w:rPr>
                <w:sz w:val="17"/>
              </w:rPr>
            </w:r>
            <w:r>
              <w:rPr>
                <w:b w:val="0"/>
                <w:sz w:val="17"/>
              </w:rPr>
              <w:t>Existing external source tables containing XML data that is decoded before parsing.</w:t>
            </w:r>
          </w:p>
        </w:tc>
      </w:tr>
      <w:tr>
        <w:tc>
          <w:tcPr>
            <w:tcW w:type="dxa" w:w="2304"/>
            <w:vAlign w:val="top"/>
          </w:tcPr>
          <w:p>
            <w:pPr>
              <w:spacing w:after="0"/>
            </w:pPr>
            <w:r>
              <w:rPr>
                <w:sz w:val="17"/>
              </w:rPr>
            </w:r>
            <w:r>
              <w:rPr>
                <w:b w:val="0"/>
                <w:sz w:val="17"/>
              </w:rPr>
              <w:t>Parsed / silver-equivalent</w:t>
            </w:r>
          </w:p>
        </w:tc>
        <w:tc>
          <w:tcPr>
            <w:tcW w:type="dxa" w:w="3744"/>
            <w:vAlign w:val="top"/>
          </w:tcPr>
          <w:p>
            <w:pPr>
              <w:spacing w:after="0"/>
            </w:pPr>
            <w:r>
              <w:rPr>
                <w:sz w:val="17"/>
              </w:rPr>
            </w:r>
            <w:r>
              <w:rPr>
                <w:b w:val="0"/>
                <w:sz w:val="17"/>
              </w:rPr>
              <w:t>Processed tables or views in [pronto]</w:t>
            </w:r>
          </w:p>
        </w:tc>
        <w:tc>
          <w:tcPr>
            <w:tcW w:type="dxa" w:w="4320"/>
            <w:vAlign w:val="top"/>
          </w:tcPr>
          <w:p>
            <w:pPr>
              <w:spacing w:after="0"/>
            </w:pPr>
            <w:r>
              <w:rPr>
                <w:sz w:val="17"/>
              </w:rPr>
            </w:r>
            <w:r>
              <w:rPr>
                <w:b w:val="0"/>
                <w:sz w:val="17"/>
              </w:rPr>
              <w:t>Generic extracted XML structures: reports, documents, header fields, primitive fields, relationships and parse errors.</w:t>
            </w:r>
          </w:p>
        </w:tc>
      </w:tr>
      <w:tr>
        <w:tc>
          <w:tcPr>
            <w:tcW w:type="dxa" w:w="2304"/>
            <w:vAlign w:val="top"/>
          </w:tcPr>
          <w:p>
            <w:pPr>
              <w:spacing w:after="0"/>
            </w:pPr>
            <w:r>
              <w:rPr>
                <w:sz w:val="17"/>
              </w:rPr>
            </w:r>
            <w:r>
              <w:rPr>
                <w:b w:val="0"/>
                <w:sz w:val="17"/>
              </w:rPr>
              <w:t>Validation / review</w:t>
            </w:r>
          </w:p>
        </w:tc>
        <w:tc>
          <w:tcPr>
            <w:tcW w:type="dxa" w:w="3744"/>
            <w:vAlign w:val="top"/>
          </w:tcPr>
          <w:p>
            <w:pPr>
              <w:spacing w:after="0"/>
            </w:pPr>
            <w:r>
              <w:rPr>
                <w:sz w:val="17"/>
              </w:rPr>
            </w:r>
            <w:r>
              <w:rPr>
                <w:b w:val="0"/>
                <w:sz w:val="17"/>
              </w:rPr>
              <w:t>Views in [pronto_vw]</w:t>
            </w:r>
          </w:p>
        </w:tc>
        <w:tc>
          <w:tcPr>
            <w:tcW w:type="dxa" w:w="4320"/>
            <w:vAlign w:val="top"/>
          </w:tcPr>
          <w:p>
            <w:pPr>
              <w:spacing w:after="0"/>
            </w:pPr>
            <w:r>
              <w:rPr>
                <w:sz w:val="17"/>
              </w:rPr>
            </w:r>
            <w:r>
              <w:rPr>
                <w:b w:val="0"/>
                <w:sz w:val="17"/>
              </w:rPr>
              <w:t>Human-reviewable views for checking counts, mappings, parse quality, and field coverage.</w:t>
            </w:r>
          </w:p>
        </w:tc>
      </w:tr>
      <w:tr>
        <w:tc>
          <w:tcPr>
            <w:tcW w:type="dxa" w:w="2304"/>
            <w:vAlign w:val="top"/>
          </w:tcPr>
          <w:p>
            <w:pPr>
              <w:spacing w:after="0"/>
            </w:pPr>
            <w:r>
              <w:rPr>
                <w:sz w:val="17"/>
              </w:rPr>
            </w:r>
            <w:r>
              <w:rPr>
                <w:b w:val="0"/>
                <w:sz w:val="17"/>
              </w:rPr>
              <w:t>Reporting / semantic</w:t>
            </w:r>
          </w:p>
        </w:tc>
        <w:tc>
          <w:tcPr>
            <w:tcW w:type="dxa" w:w="3744"/>
            <w:vAlign w:val="top"/>
          </w:tcPr>
          <w:p>
            <w:pPr>
              <w:spacing w:after="0"/>
            </w:pPr>
            <w:r>
              <w:rPr>
                <w:sz w:val="17"/>
              </w:rPr>
            </w:r>
            <w:r>
              <w:rPr>
                <w:b w:val="0"/>
                <w:sz w:val="17"/>
              </w:rPr>
              <w:t>Views in [pbi_vw]</w:t>
            </w:r>
          </w:p>
        </w:tc>
        <w:tc>
          <w:tcPr>
            <w:tcW w:type="dxa" w:w="4320"/>
            <w:vAlign w:val="top"/>
          </w:tcPr>
          <w:p>
            <w:pPr>
              <w:spacing w:after="0"/>
            </w:pPr>
            <w:r>
              <w:rPr>
                <w:sz w:val="17"/>
              </w:rPr>
            </w:r>
            <w:r>
              <w:rPr>
                <w:b w:val="0"/>
                <w:sz w:val="17"/>
              </w:rPr>
              <w:t>Power BI-ready views with stable names, business rules and curated column sets.</w:t>
            </w:r>
          </w:p>
        </w:tc>
      </w:tr>
    </w:tbl>
    <w:p/>
    <w:p>
      <w:pPr>
        <w:pStyle w:val="Heading1"/>
      </w:pPr>
      <w:r>
        <w:t>3. Input documents reviewed</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pPr>
              <w:spacing w:after="0"/>
            </w:pPr>
            <w:r>
              <w:rPr>
                <w:sz w:val="17"/>
              </w:rPr>
            </w:r>
            <w:r>
              <w:rPr>
                <w:b/>
                <w:sz w:val="17"/>
              </w:rPr>
              <w:t>File</w:t>
            </w:r>
          </w:p>
        </w:tc>
        <w:tc>
          <w:tcPr>
            <w:tcW w:type="dxa" w:w="6768"/>
            <w:vAlign w:val="top"/>
            <w:shd w:fill="D9EAF7"/>
          </w:tcPr>
          <w:p>
            <w:pPr>
              <w:spacing w:after="0"/>
            </w:pPr>
            <w:r>
              <w:rPr>
                <w:sz w:val="17"/>
              </w:rPr>
            </w:r>
            <w:r>
              <w:rPr>
                <w:b/>
                <w:sz w:val="17"/>
              </w:rPr>
              <w:t>Observation</w:t>
            </w:r>
          </w:p>
        </w:tc>
      </w:tr>
      <w:tr>
        <w:tc>
          <w:tcPr>
            <w:tcW w:type="dxa" w:w="3600"/>
            <w:vAlign w:val="top"/>
          </w:tcPr>
          <w:p>
            <w:pPr>
              <w:spacing w:after="0"/>
            </w:pPr>
            <w:r>
              <w:rPr>
                <w:sz w:val="17"/>
              </w:rPr>
            </w:r>
            <w:r>
              <w:rPr>
                <w:b w:val="0"/>
                <w:sz w:val="17"/>
              </w:rPr>
              <w:t>EX172-sample-v1.0.xml</w:t>
            </w:r>
          </w:p>
        </w:tc>
        <w:tc>
          <w:tcPr>
            <w:tcW w:type="dxa" w:w="6768"/>
            <w:vAlign w:val="top"/>
          </w:tcPr>
          <w:p>
            <w:pPr>
              <w:spacing w:after="0"/>
            </w:pPr>
            <w:r>
              <w:rPr>
                <w:sz w:val="17"/>
              </w:rPr>
            </w:r>
            <w:r>
              <w:rPr>
                <w:b w:val="0"/>
                <w:sz w:val="17"/>
              </w:rPr>
              <w:t>Valid XML. Root element is StoredReport. Contains a Connect_VA event document and child documents such as person/location records.</w:t>
            </w:r>
          </w:p>
        </w:tc>
      </w:tr>
      <w:tr>
        <w:tc>
          <w:tcPr>
            <w:tcW w:type="dxa" w:w="3600"/>
            <w:vAlign w:val="top"/>
          </w:tcPr>
          <w:p>
            <w:pPr>
              <w:spacing w:after="0"/>
            </w:pPr>
            <w:r>
              <w:rPr>
                <w:sz w:val="17"/>
              </w:rPr>
            </w:r>
            <w:r>
              <w:rPr>
                <w:b w:val="0"/>
                <w:sz w:val="17"/>
              </w:rPr>
              <w:t>EX172dup-sample-v2 (1).xml</w:t>
            </w:r>
          </w:p>
        </w:tc>
        <w:tc>
          <w:tcPr>
            <w:tcW w:type="dxa" w:w="6768"/>
            <w:vAlign w:val="top"/>
          </w:tcPr>
          <w:p>
            <w:pPr>
              <w:spacing w:after="0"/>
            </w:pPr>
            <w:r>
              <w:rPr>
                <w:sz w:val="17"/>
              </w:rPr>
            </w:r>
            <w:r>
              <w:rPr>
                <w:b w:val="0"/>
                <w:sz w:val="17"/>
              </w:rPr>
              <w:t>Malformed sample. Contains invalid XML fragments. The solution must capture parse failure details and route these records to an error output.</w:t>
            </w:r>
          </w:p>
        </w:tc>
      </w:tr>
      <w:tr>
        <w:tc>
          <w:tcPr>
            <w:tcW w:type="dxa" w:w="3600"/>
            <w:vAlign w:val="top"/>
          </w:tcPr>
          <w:p>
            <w:pPr>
              <w:spacing w:after="0"/>
            </w:pPr>
            <w:r>
              <w:rPr>
                <w:sz w:val="17"/>
              </w:rPr>
            </w:r>
            <w:r>
              <w:rPr>
                <w:b w:val="0"/>
                <w:sz w:val="17"/>
              </w:rPr>
              <w:t>SYP - XML Schema XSD design.docx</w:t>
            </w:r>
          </w:p>
        </w:tc>
        <w:tc>
          <w:tcPr>
            <w:tcW w:type="dxa" w:w="6768"/>
            <w:vAlign w:val="top"/>
          </w:tcPr>
          <w:p>
            <w:pPr>
              <w:spacing w:after="0"/>
            </w:pPr>
            <w:r>
              <w:rPr>
                <w:sz w:val="17"/>
              </w:rPr>
            </w:r>
            <w:r>
              <w:rPr>
                <w:b w:val="0"/>
                <w:sz w:val="17"/>
              </w:rPr>
              <w:t>Existing Copilot design recommends a flexible XSD using xs:anyAttribute and lax processing. This remains useful for documentation but should not drive the runtime parse.</w:t>
            </w:r>
          </w:p>
        </w:tc>
      </w:tr>
      <w:tr>
        <w:tc>
          <w:tcPr>
            <w:tcW w:type="dxa" w:w="3600"/>
            <w:vAlign w:val="top"/>
          </w:tcPr>
          <w:p>
            <w:pPr>
              <w:spacing w:after="0"/>
            </w:pPr>
            <w:r>
              <w:rPr>
                <w:sz w:val="17"/>
              </w:rPr>
            </w:r>
            <w:r>
              <w:rPr>
                <w:b w:val="0"/>
                <w:sz w:val="17"/>
              </w:rPr>
              <w:t>SYP - XSD design document VAVC 150626.docx</w:t>
            </w:r>
          </w:p>
        </w:tc>
        <w:tc>
          <w:tcPr>
            <w:tcW w:type="dxa" w:w="6768"/>
            <w:vAlign w:val="top"/>
          </w:tcPr>
          <w:p>
            <w:pPr>
              <w:spacing w:after="0"/>
            </w:pPr>
            <w:r>
              <w:rPr>
                <w:sz w:val="17"/>
              </w:rPr>
            </w:r>
            <w:r>
              <w:rPr>
                <w:b w:val="0"/>
                <w:sz w:val="17"/>
              </w:rPr>
              <w:t>Includes an initial conceptual layered model and possible reporting entities. This version has been amended to align with the actual SYP Synapse platform configuration.</w:t>
            </w:r>
          </w:p>
        </w:tc>
      </w:tr>
    </w:tbl>
    <w:p/>
    <w:p>
      <w:pPr>
        <w:pStyle w:val="Heading1"/>
      </w:pPr>
      <w:r>
        <w:t>4. Key XML findings</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D9EAF7"/>
          </w:tcPr>
          <w:p>
            <w:pPr>
              <w:spacing w:after="0"/>
            </w:pPr>
            <w:r>
              <w:rPr>
                <w:sz w:val="17"/>
              </w:rPr>
            </w:r>
            <w:r>
              <w:rPr>
                <w:b/>
                <w:sz w:val="17"/>
              </w:rPr>
              <w:t>Area</w:t>
            </w:r>
          </w:p>
        </w:tc>
        <w:tc>
          <w:tcPr>
            <w:tcW w:type="dxa" w:w="4320"/>
            <w:vAlign w:val="top"/>
            <w:shd w:fill="D9EAF7"/>
          </w:tcPr>
          <w:p>
            <w:pPr>
              <w:spacing w:after="0"/>
            </w:pPr>
            <w:r>
              <w:rPr>
                <w:sz w:val="17"/>
              </w:rPr>
            </w:r>
            <w:r>
              <w:rPr>
                <w:b/>
                <w:sz w:val="17"/>
              </w:rPr>
              <w:t>Finding</w:t>
            </w:r>
          </w:p>
        </w:tc>
        <w:tc>
          <w:tcPr>
            <w:tcW w:type="dxa" w:w="4320"/>
            <w:vAlign w:val="top"/>
            <w:shd w:fill="D9EAF7"/>
          </w:tcPr>
          <w:p>
            <w:pPr>
              <w:spacing w:after="0"/>
            </w:pPr>
            <w:r>
              <w:rPr>
                <w:sz w:val="17"/>
              </w:rPr>
            </w:r>
            <w:r>
              <w:rPr>
                <w:b/>
                <w:sz w:val="17"/>
              </w:rPr>
              <w:t>Design implication</w:t>
            </w:r>
          </w:p>
        </w:tc>
      </w:tr>
      <w:tr>
        <w:tc>
          <w:tcPr>
            <w:tcW w:type="dxa" w:w="1728"/>
            <w:vAlign w:val="top"/>
          </w:tcPr>
          <w:p>
            <w:pPr>
              <w:spacing w:after="0"/>
            </w:pPr>
            <w:r>
              <w:rPr>
                <w:sz w:val="17"/>
              </w:rPr>
            </w:r>
            <w:r>
              <w:rPr>
                <w:b w:val="0"/>
                <w:sz w:val="17"/>
              </w:rPr>
              <w:t>Root</w:t>
            </w:r>
          </w:p>
        </w:tc>
        <w:tc>
          <w:tcPr>
            <w:tcW w:type="dxa" w:w="4320"/>
            <w:vAlign w:val="top"/>
          </w:tcPr>
          <w:p>
            <w:pPr>
              <w:spacing w:after="0"/>
            </w:pPr>
            <w:r>
              <w:rPr>
                <w:sz w:val="17"/>
              </w:rPr>
            </w:r>
            <w:r>
              <w:rPr>
                <w:b w:val="0"/>
                <w:sz w:val="17"/>
              </w:rPr>
              <w:t>StoredReport has report-level IDs, base IDs, creation/update dates and source document attributes.</w:t>
            </w:r>
          </w:p>
        </w:tc>
        <w:tc>
          <w:tcPr>
            <w:tcW w:type="dxa" w:w="4320"/>
            <w:vAlign w:val="top"/>
          </w:tcPr>
          <w:p>
            <w:pPr>
              <w:spacing w:after="0"/>
            </w:pPr>
            <w:r>
              <w:rPr>
                <w:sz w:val="17"/>
              </w:rPr>
            </w:r>
            <w:r>
              <w:rPr>
                <w:b w:val="0"/>
                <w:sz w:val="17"/>
              </w:rPr>
              <w:t>Create a parsed report object keyed by report_id, source_system/table and a run identifier.</w:t>
            </w:r>
          </w:p>
        </w:tc>
      </w:tr>
      <w:tr>
        <w:tc>
          <w:tcPr>
            <w:tcW w:type="dxa" w:w="1728"/>
            <w:vAlign w:val="top"/>
          </w:tcPr>
          <w:p>
            <w:pPr>
              <w:spacing w:after="0"/>
            </w:pPr>
            <w:r>
              <w:rPr>
                <w:sz w:val="17"/>
              </w:rPr>
            </w:r>
            <w:r>
              <w:rPr>
                <w:b w:val="0"/>
                <w:sz w:val="17"/>
              </w:rPr>
              <w:t>Documents</w:t>
            </w:r>
          </w:p>
        </w:tc>
        <w:tc>
          <w:tcPr>
            <w:tcW w:type="dxa" w:w="4320"/>
            <w:vAlign w:val="top"/>
          </w:tcPr>
          <w:p>
            <w:pPr>
              <w:spacing w:after="0"/>
            </w:pPr>
            <w:r>
              <w:rPr>
                <w:sz w:val="17"/>
              </w:rPr>
            </w:r>
            <w:r>
              <w:rPr>
                <w:b w:val="0"/>
                <w:sz w:val="17"/>
              </w:rPr>
              <w:t>ExportedDocument contains a nested Document with formName/typeName. Sample forms include Connect_VA, Connect_Person and Connect_Location.</w:t>
            </w:r>
          </w:p>
        </w:tc>
        <w:tc>
          <w:tcPr>
            <w:tcW w:type="dxa" w:w="4320"/>
            <w:vAlign w:val="top"/>
          </w:tcPr>
          <w:p>
            <w:pPr>
              <w:spacing w:after="0"/>
            </w:pPr>
            <w:r>
              <w:rPr>
                <w:sz w:val="17"/>
              </w:rPr>
            </w:r>
            <w:r>
              <w:rPr>
                <w:b w:val="0"/>
                <w:sz w:val="17"/>
              </w:rPr>
              <w:t>Create a parsed document object for each nested Document. Use document_id and exported_document_id as join keys.</w:t>
            </w:r>
          </w:p>
        </w:tc>
      </w:tr>
      <w:tr>
        <w:tc>
          <w:tcPr>
            <w:tcW w:type="dxa" w:w="1728"/>
            <w:vAlign w:val="top"/>
          </w:tcPr>
          <w:p>
            <w:pPr>
              <w:spacing w:after="0"/>
            </w:pPr>
            <w:r>
              <w:rPr>
                <w:sz w:val="17"/>
              </w:rPr>
            </w:r>
            <w:r>
              <w:rPr>
                <w:b w:val="0"/>
                <w:sz w:val="17"/>
              </w:rPr>
              <w:t>Headers</w:t>
            </w:r>
          </w:p>
        </w:tc>
        <w:tc>
          <w:tcPr>
            <w:tcW w:type="dxa" w:w="4320"/>
            <w:vAlign w:val="top"/>
          </w:tcPr>
          <w:p>
            <w:pPr>
              <w:spacing w:after="0"/>
            </w:pPr>
            <w:r>
              <w:rPr>
                <w:sz w:val="17"/>
              </w:rPr>
            </w:r>
            <w:r>
              <w:rPr>
                <w:b w:val="0"/>
                <w:sz w:val="17"/>
              </w:rPr>
              <w:t>DocumentInfo/HeaderFields/HeaderField contains useful event metadata such as IncidentDate, ConnectInvestigationNumber, LocalAuthority and Force.</w:t>
            </w:r>
          </w:p>
        </w:tc>
        <w:tc>
          <w:tcPr>
            <w:tcW w:type="dxa" w:w="4320"/>
            <w:vAlign w:val="top"/>
          </w:tcPr>
          <w:p>
            <w:pPr>
              <w:spacing w:after="0"/>
            </w:pPr>
            <w:r>
              <w:rPr>
                <w:sz w:val="17"/>
              </w:rPr>
            </w:r>
            <w:r>
              <w:rPr>
                <w:b w:val="0"/>
                <w:sz w:val="17"/>
              </w:rPr>
              <w:t>Extract all header fields into a flexible name/value output first, then curated views can pivot selected fields.</w:t>
            </w:r>
          </w:p>
        </w:tc>
      </w:tr>
      <w:tr>
        <w:tc>
          <w:tcPr>
            <w:tcW w:type="dxa" w:w="1728"/>
            <w:vAlign w:val="top"/>
          </w:tcPr>
          <w:p>
            <w:pPr>
              <w:spacing w:after="0"/>
            </w:pPr>
            <w:r>
              <w:rPr>
                <w:sz w:val="17"/>
              </w:rPr>
            </w:r>
            <w:r>
              <w:rPr>
                <w:b w:val="0"/>
                <w:sz w:val="17"/>
              </w:rPr>
              <w:t>Body</w:t>
            </w:r>
          </w:p>
        </w:tc>
        <w:tc>
          <w:tcPr>
            <w:tcW w:type="dxa" w:w="4320"/>
            <w:vAlign w:val="top"/>
          </w:tcPr>
          <w:p>
            <w:pPr>
              <w:spacing w:after="0"/>
            </w:pPr>
            <w:r>
              <w:rPr>
                <w:sz w:val="17"/>
              </w:rPr>
            </w:r>
            <w:r>
              <w:rPr>
                <w:b w:val="0"/>
                <w:sz w:val="17"/>
              </w:rPr>
              <w:t>DocumentBody contains CompoundRecord, SimpleRecord, CompoundList and Primitive elements.</w:t>
            </w:r>
          </w:p>
        </w:tc>
        <w:tc>
          <w:tcPr>
            <w:tcW w:type="dxa" w:w="4320"/>
            <w:vAlign w:val="top"/>
          </w:tcPr>
          <w:p>
            <w:pPr>
              <w:spacing w:after="0"/>
            </w:pPr>
            <w:r>
              <w:rPr>
                <w:sz w:val="17"/>
              </w:rPr>
            </w:r>
            <w:r>
              <w:rPr>
                <w:b w:val="0"/>
                <w:sz w:val="17"/>
              </w:rPr>
              <w:t>Extract every Primitive into a generic long/narrow parsed output: document_id, record_path, field_name, field_value, attributes.</w:t>
            </w:r>
          </w:p>
        </w:tc>
      </w:tr>
      <w:tr>
        <w:tc>
          <w:tcPr>
            <w:tcW w:type="dxa" w:w="1728"/>
            <w:vAlign w:val="top"/>
          </w:tcPr>
          <w:p>
            <w:pPr>
              <w:spacing w:after="0"/>
            </w:pPr>
            <w:r>
              <w:rPr>
                <w:sz w:val="17"/>
              </w:rPr>
            </w:r>
            <w:r>
              <w:rPr>
                <w:b w:val="0"/>
                <w:sz w:val="17"/>
              </w:rPr>
              <w:t>Relationships</w:t>
            </w:r>
          </w:p>
        </w:tc>
        <w:tc>
          <w:tcPr>
            <w:tcW w:type="dxa" w:w="4320"/>
            <w:vAlign w:val="top"/>
          </w:tcPr>
          <w:p>
            <w:pPr>
              <w:spacing w:after="0"/>
            </w:pPr>
            <w:r>
              <w:rPr>
                <w:sz w:val="17"/>
              </w:rPr>
            </w:r>
            <w:r>
              <w:rPr>
                <w:b w:val="0"/>
                <w:sz w:val="17"/>
              </w:rPr>
              <w:t>CompoundList field=Involved contains reference records to person/location documents.</w:t>
            </w:r>
          </w:p>
        </w:tc>
        <w:tc>
          <w:tcPr>
            <w:tcW w:type="dxa" w:w="4320"/>
            <w:vAlign w:val="top"/>
          </w:tcPr>
          <w:p>
            <w:pPr>
              <w:spacing w:after="0"/>
            </w:pPr>
            <w:r>
              <w:rPr>
                <w:sz w:val="17"/>
              </w:rPr>
            </w:r>
            <w:r>
              <w:rPr>
                <w:b w:val="0"/>
                <w:sz w:val="17"/>
              </w:rPr>
              <w:t>Extract relationship/reference records separately so incident-person and incident-location views can be built.</w:t>
            </w:r>
          </w:p>
        </w:tc>
      </w:tr>
      <w:tr>
        <w:tc>
          <w:tcPr>
            <w:tcW w:type="dxa" w:w="1728"/>
            <w:vAlign w:val="top"/>
          </w:tcPr>
          <w:p>
            <w:pPr>
              <w:spacing w:after="0"/>
            </w:pPr>
            <w:r>
              <w:rPr>
                <w:sz w:val="17"/>
              </w:rPr>
            </w:r>
            <w:r>
              <w:rPr>
                <w:b w:val="0"/>
                <w:sz w:val="17"/>
              </w:rPr>
              <w:t>Quality</w:t>
            </w:r>
          </w:p>
        </w:tc>
        <w:tc>
          <w:tcPr>
            <w:tcW w:type="dxa" w:w="4320"/>
            <w:vAlign w:val="top"/>
          </w:tcPr>
          <w:p>
            <w:pPr>
              <w:spacing w:after="0"/>
            </w:pPr>
            <w:r>
              <w:rPr>
                <w:sz w:val="17"/>
              </w:rPr>
            </w:r>
            <w:r>
              <w:rPr>
                <w:b w:val="0"/>
                <w:sz w:val="17"/>
              </w:rPr>
              <w:t>At least one provided sample is malformed.</w:t>
            </w:r>
          </w:p>
        </w:tc>
        <w:tc>
          <w:tcPr>
            <w:tcW w:type="dxa" w:w="4320"/>
            <w:vAlign w:val="top"/>
          </w:tcPr>
          <w:p>
            <w:pPr>
              <w:spacing w:after="0"/>
            </w:pPr>
            <w:r>
              <w:rPr>
                <w:sz w:val="17"/>
              </w:rPr>
            </w:r>
            <w:r>
              <w:rPr>
                <w:b w:val="0"/>
                <w:sz w:val="17"/>
              </w:rPr>
              <w:t>Do not silently repair by default. Capture parse errors in pronto parse-error output and expose validation views.</w:t>
            </w:r>
          </w:p>
        </w:tc>
      </w:tr>
    </w:tbl>
    <w:p/>
    <w:p>
      <w:pPr>
        <w:pStyle w:val="Heading1"/>
      </w:pPr>
      <w:r>
        <w:t>5. Recommended architecture</w:t>
      </w:r>
    </w:p>
    <w:p>
      <w:r>
        <w:t>Use a Synapse Spark/Python notebook to read from the existing [pronto] external source tables, decode the XML content where required, parse the XML, and write generic processed outputs back into the [pronto] schema/lakehouse area. Use the serverless SQL pool [synw-symdp-data-d-uksouth-001] to expose validation views in [pronto_vw] and reporting views in [pbi_vw].</w:t>
      </w:r>
    </w:p>
    <w:tbl>
      <w:tblPr>
        <w:tblStyle w:val="TableGrid"/>
        <w:tblW w:type="auto" w:w="0"/>
        <w:jc w:val="center"/>
        <w:tblLook w:firstColumn="1" w:firstRow="1" w:lastColumn="0" w:lastRow="0" w:noHBand="0" w:noVBand="1" w:val="04A0"/>
      </w:tblPr>
      <w:tblGrid>
        <w:gridCol w:w="3408"/>
        <w:gridCol w:w="3408"/>
        <w:gridCol w:w="3408"/>
      </w:tblGrid>
      <w:tr>
        <w:tc>
          <w:tcPr>
            <w:tcW w:type="dxa" w:w="1728"/>
            <w:vAlign w:val="top"/>
            <w:shd w:fill="D9EAF7"/>
          </w:tcPr>
          <w:p>
            <w:pPr>
              <w:spacing w:after="0"/>
            </w:pPr>
            <w:r>
              <w:rPr>
                <w:sz w:val="17"/>
              </w:rPr>
            </w:r>
            <w:r>
              <w:rPr>
                <w:b/>
                <w:sz w:val="17"/>
              </w:rPr>
              <w:t>Stage</w:t>
            </w:r>
          </w:p>
        </w:tc>
        <w:tc>
          <w:tcPr>
            <w:tcW w:type="dxa" w:w="3600"/>
            <w:vAlign w:val="top"/>
            <w:shd w:fill="D9EAF7"/>
          </w:tcPr>
          <w:p>
            <w:pPr>
              <w:spacing w:after="0"/>
            </w:pPr>
            <w:r>
              <w:rPr>
                <w:sz w:val="17"/>
              </w:rPr>
            </w:r>
            <w:r>
              <w:rPr>
                <w:b/>
                <w:sz w:val="17"/>
              </w:rPr>
              <w:t>Object/schema</w:t>
            </w:r>
          </w:p>
        </w:tc>
        <w:tc>
          <w:tcPr>
            <w:tcW w:type="dxa" w:w="5040"/>
            <w:vAlign w:val="top"/>
            <w:shd w:fill="D9EAF7"/>
          </w:tcPr>
          <w:p>
            <w:pPr>
              <w:spacing w:after="0"/>
            </w:pPr>
            <w:r>
              <w:rPr>
                <w:sz w:val="17"/>
              </w:rPr>
            </w:r>
            <w:r>
              <w:rPr>
                <w:b/>
                <w:sz w:val="17"/>
              </w:rPr>
              <w:t>Responsibility</w:t>
            </w:r>
          </w:p>
        </w:tc>
      </w:tr>
      <w:tr>
        <w:tc>
          <w:tcPr>
            <w:tcW w:type="dxa" w:w="1728"/>
            <w:vAlign w:val="top"/>
          </w:tcPr>
          <w:p>
            <w:pPr>
              <w:spacing w:after="0"/>
            </w:pPr>
            <w:r>
              <w:rPr>
                <w:sz w:val="17"/>
              </w:rPr>
            </w:r>
            <w:r>
              <w:rPr>
                <w:b w:val="0"/>
                <w:sz w:val="17"/>
              </w:rPr>
              <w:t>1. Source read</w:t>
            </w:r>
          </w:p>
        </w:tc>
        <w:tc>
          <w:tcPr>
            <w:tcW w:type="dxa" w:w="3600"/>
            <w:vAlign w:val="top"/>
          </w:tcPr>
          <w:p>
            <w:pPr>
              <w:spacing w:after="0"/>
            </w:pPr>
            <w:r>
              <w:rPr>
                <w:sz w:val="17"/>
              </w:rPr>
            </w:r>
            <w:r>
              <w:rPr>
                <w:b w:val="0"/>
                <w:sz w:val="17"/>
              </w:rPr>
              <w:t>[pronto].[ddform_connectsr_va], [pronto].[ddform_connectsr_vc]</w:t>
            </w:r>
          </w:p>
        </w:tc>
        <w:tc>
          <w:tcPr>
            <w:tcW w:type="dxa" w:w="5040"/>
            <w:vAlign w:val="top"/>
          </w:tcPr>
          <w:p>
            <w:pPr>
              <w:spacing w:after="0"/>
            </w:pPr>
            <w:r>
              <w:rPr>
                <w:sz w:val="17"/>
              </w:rPr>
            </w:r>
            <w:r>
              <w:rPr>
                <w:b w:val="0"/>
                <w:sz w:val="17"/>
              </w:rPr>
              <w:t>Read source rows and identify the XML payload column, source table, business key, modified date and any source metadata columns.</w:t>
            </w:r>
          </w:p>
        </w:tc>
      </w:tr>
      <w:tr>
        <w:tc>
          <w:tcPr>
            <w:tcW w:type="dxa" w:w="1728"/>
            <w:vAlign w:val="top"/>
          </w:tcPr>
          <w:p>
            <w:pPr>
              <w:spacing w:after="0"/>
            </w:pPr>
            <w:r>
              <w:rPr>
                <w:sz w:val="17"/>
              </w:rPr>
            </w:r>
            <w:r>
              <w:rPr>
                <w:b w:val="0"/>
                <w:sz w:val="17"/>
              </w:rPr>
              <w:t>2. Decode</w:t>
            </w:r>
          </w:p>
        </w:tc>
        <w:tc>
          <w:tcPr>
            <w:tcW w:type="dxa" w:w="3600"/>
            <w:vAlign w:val="top"/>
          </w:tcPr>
          <w:p>
            <w:pPr>
              <w:spacing w:after="0"/>
            </w:pPr>
            <w:r>
              <w:rPr>
                <w:sz w:val="17"/>
              </w:rPr>
            </w:r>
            <w:r>
              <w:rPr>
                <w:b w:val="0"/>
                <w:sz w:val="17"/>
              </w:rPr>
              <w:t>Notebook/Python</w:t>
            </w:r>
          </w:p>
        </w:tc>
        <w:tc>
          <w:tcPr>
            <w:tcW w:type="dxa" w:w="5040"/>
            <w:vAlign w:val="top"/>
          </w:tcPr>
          <w:p>
            <w:pPr>
              <w:spacing w:after="0"/>
            </w:pPr>
            <w:r>
              <w:rPr>
                <w:sz w:val="17"/>
              </w:rPr>
            </w:r>
            <w:r>
              <w:rPr>
                <w:b w:val="0"/>
                <w:sz w:val="17"/>
              </w:rPr>
              <w:t>Convert encoded XML payload into a valid XML string before parsing. Keep the decoded XML string available for audit/debug if permitted by retention policy.</w:t>
            </w:r>
          </w:p>
        </w:tc>
      </w:tr>
      <w:tr>
        <w:tc>
          <w:tcPr>
            <w:tcW w:type="dxa" w:w="1728"/>
            <w:vAlign w:val="top"/>
          </w:tcPr>
          <w:p>
            <w:pPr>
              <w:spacing w:after="0"/>
            </w:pPr>
            <w:r>
              <w:rPr>
                <w:sz w:val="17"/>
              </w:rPr>
            </w:r>
            <w:r>
              <w:rPr>
                <w:b w:val="0"/>
                <w:sz w:val="17"/>
              </w:rPr>
              <w:t>3. Parse</w:t>
            </w:r>
          </w:p>
        </w:tc>
        <w:tc>
          <w:tcPr>
            <w:tcW w:type="dxa" w:w="3600"/>
            <w:vAlign w:val="top"/>
          </w:tcPr>
          <w:p>
            <w:pPr>
              <w:spacing w:after="0"/>
            </w:pPr>
            <w:r>
              <w:rPr>
                <w:sz w:val="17"/>
              </w:rPr>
            </w:r>
            <w:r>
              <w:rPr>
                <w:b w:val="0"/>
                <w:sz w:val="17"/>
              </w:rPr>
              <w:t>Notebook/Python</w:t>
            </w:r>
          </w:p>
        </w:tc>
        <w:tc>
          <w:tcPr>
            <w:tcW w:type="dxa" w:w="5040"/>
            <w:vAlign w:val="top"/>
          </w:tcPr>
          <w:p>
            <w:pPr>
              <w:spacing w:after="0"/>
            </w:pPr>
            <w:r>
              <w:rPr>
                <w:sz w:val="17"/>
              </w:rPr>
            </w:r>
            <w:r>
              <w:rPr>
                <w:b w:val="0"/>
                <w:sz w:val="17"/>
              </w:rPr>
              <w:t>Strict XML parsing using ElementTree or lxml. Capture malformed XML into a parse-error output.</w:t>
            </w:r>
          </w:p>
        </w:tc>
      </w:tr>
      <w:tr>
        <w:tc>
          <w:tcPr>
            <w:tcW w:type="dxa" w:w="1728"/>
            <w:vAlign w:val="top"/>
          </w:tcPr>
          <w:p>
            <w:pPr>
              <w:spacing w:after="0"/>
            </w:pPr>
            <w:r>
              <w:rPr>
                <w:sz w:val="17"/>
              </w:rPr>
            </w:r>
            <w:r>
              <w:rPr>
                <w:b w:val="0"/>
                <w:sz w:val="17"/>
              </w:rPr>
              <w:t>4. Generic processed outputs</w:t>
            </w:r>
          </w:p>
        </w:tc>
        <w:tc>
          <w:tcPr>
            <w:tcW w:type="dxa" w:w="3600"/>
            <w:vAlign w:val="top"/>
          </w:tcPr>
          <w:p>
            <w:pPr>
              <w:spacing w:after="0"/>
            </w:pPr>
            <w:r>
              <w:rPr>
                <w:sz w:val="17"/>
              </w:rPr>
            </w:r>
            <w:r>
              <w:rPr>
                <w:b w:val="0"/>
                <w:sz w:val="17"/>
              </w:rPr>
              <w:t>[pronto]</w:t>
            </w:r>
          </w:p>
        </w:tc>
        <w:tc>
          <w:tcPr>
            <w:tcW w:type="dxa" w:w="5040"/>
            <w:vAlign w:val="top"/>
          </w:tcPr>
          <w:p>
            <w:pPr>
              <w:spacing w:after="0"/>
            </w:pPr>
            <w:r>
              <w:rPr>
                <w:sz w:val="17"/>
              </w:rPr>
            </w:r>
            <w:r>
              <w:rPr>
                <w:b w:val="0"/>
                <w:sz w:val="17"/>
              </w:rPr>
              <w:t>Write report/document/header/primitive/relationship/error outputs. These are the platform silver-equivalent objects.</w:t>
            </w:r>
          </w:p>
        </w:tc>
      </w:tr>
      <w:tr>
        <w:tc>
          <w:tcPr>
            <w:tcW w:type="dxa" w:w="1728"/>
            <w:vAlign w:val="top"/>
          </w:tcPr>
          <w:p>
            <w:pPr>
              <w:spacing w:after="0"/>
            </w:pPr>
            <w:r>
              <w:rPr>
                <w:sz w:val="17"/>
              </w:rPr>
            </w:r>
            <w:r>
              <w:rPr>
                <w:b w:val="0"/>
                <w:sz w:val="17"/>
              </w:rPr>
              <w:t>5. Validation views</w:t>
            </w:r>
          </w:p>
        </w:tc>
        <w:tc>
          <w:tcPr>
            <w:tcW w:type="dxa" w:w="3600"/>
            <w:vAlign w:val="top"/>
          </w:tcPr>
          <w:p>
            <w:pPr>
              <w:spacing w:after="0"/>
            </w:pPr>
            <w:r>
              <w:rPr>
                <w:sz w:val="17"/>
              </w:rPr>
            </w:r>
            <w:r>
              <w:rPr>
                <w:b w:val="0"/>
                <w:sz w:val="17"/>
              </w:rPr>
              <w:t>[pronto_vw]</w:t>
            </w:r>
          </w:p>
        </w:tc>
        <w:tc>
          <w:tcPr>
            <w:tcW w:type="dxa" w:w="5040"/>
            <w:vAlign w:val="top"/>
          </w:tcPr>
          <w:p>
            <w:pPr>
              <w:spacing w:after="0"/>
            </w:pPr>
            <w:r>
              <w:rPr>
                <w:sz w:val="17"/>
              </w:rPr>
            </w:r>
            <w:r>
              <w:rPr>
                <w:b w:val="0"/>
                <w:sz w:val="17"/>
              </w:rPr>
              <w:t>Create views for checking parse counts, field coverage, failed records and sample extracted values.</w:t>
            </w:r>
          </w:p>
        </w:tc>
      </w:tr>
      <w:tr>
        <w:tc>
          <w:tcPr>
            <w:tcW w:type="dxa" w:w="1728"/>
            <w:vAlign w:val="top"/>
          </w:tcPr>
          <w:p>
            <w:pPr>
              <w:spacing w:after="0"/>
            </w:pPr>
            <w:r>
              <w:rPr>
                <w:sz w:val="17"/>
              </w:rPr>
            </w:r>
            <w:r>
              <w:rPr>
                <w:b w:val="0"/>
                <w:sz w:val="17"/>
              </w:rPr>
              <w:t>6. Power BI views</w:t>
            </w:r>
          </w:p>
        </w:tc>
        <w:tc>
          <w:tcPr>
            <w:tcW w:type="dxa" w:w="3600"/>
            <w:vAlign w:val="top"/>
          </w:tcPr>
          <w:p>
            <w:pPr>
              <w:spacing w:after="0"/>
            </w:pPr>
            <w:r>
              <w:rPr>
                <w:sz w:val="17"/>
              </w:rPr>
            </w:r>
            <w:r>
              <w:rPr>
                <w:b w:val="0"/>
                <w:sz w:val="17"/>
              </w:rPr>
              <w:t>[pbi_vw]</w:t>
            </w:r>
          </w:p>
        </w:tc>
        <w:tc>
          <w:tcPr>
            <w:tcW w:type="dxa" w:w="5040"/>
            <w:vAlign w:val="top"/>
          </w:tcPr>
          <w:p>
            <w:pPr>
              <w:spacing w:after="0"/>
            </w:pPr>
            <w:r>
              <w:rPr>
                <w:sz w:val="17"/>
              </w:rPr>
            </w:r>
            <w:r>
              <w:rPr>
                <w:b w:val="0"/>
                <w:sz w:val="17"/>
              </w:rPr>
              <w:t>Create curated business views for VA/VC reporting. These should hide XML complexity from report authors.</w:t>
            </w:r>
          </w:p>
        </w:tc>
      </w:tr>
    </w:tbl>
    <w:p/>
    <w:p>
      <w:pPr>
        <w:pStyle w:val="Heading1"/>
      </w:pPr>
      <w:r>
        <w:t>6. Proposed parsed outputs in [pronto]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880"/>
            <w:vAlign w:val="top"/>
            <w:shd w:fill="D9EAF7"/>
          </w:tcPr>
          <w:p>
            <w:pPr>
              <w:spacing w:after="0"/>
            </w:pPr>
            <w:r>
              <w:rPr>
                <w:sz w:val="17"/>
              </w:rPr>
            </w:r>
            <w:r>
              <w:rPr>
                <w:b/>
                <w:sz w:val="17"/>
              </w:rPr>
              <w:t>Proposed object</w:t>
            </w:r>
          </w:p>
        </w:tc>
        <w:tc>
          <w:tcPr>
            <w:tcW w:type="dxa" w:w="2160"/>
            <w:vAlign w:val="top"/>
            <w:shd w:fill="D9EAF7"/>
          </w:tcPr>
          <w:p>
            <w:pPr>
              <w:spacing w:after="0"/>
            </w:pPr>
            <w:r>
              <w:rPr>
                <w:sz w:val="17"/>
              </w:rPr>
            </w:r>
            <w:r>
              <w:rPr>
                <w:b/>
                <w:sz w:val="17"/>
              </w:rPr>
              <w:t>Grain</w:t>
            </w:r>
          </w:p>
        </w:tc>
        <w:tc>
          <w:tcPr>
            <w:tcW w:type="dxa" w:w="3168"/>
            <w:vAlign w:val="top"/>
            <w:shd w:fill="D9EAF7"/>
          </w:tcPr>
          <w:p>
            <w:pPr>
              <w:spacing w:after="0"/>
            </w:pPr>
            <w:r>
              <w:rPr>
                <w:sz w:val="17"/>
              </w:rPr>
            </w:r>
            <w:r>
              <w:rPr>
                <w:b/>
                <w:sz w:val="17"/>
              </w:rPr>
              <w:t>Key fields</w:t>
            </w:r>
          </w:p>
        </w:tc>
        <w:tc>
          <w:tcPr>
            <w:tcW w:type="dxa" w:w="3600"/>
            <w:vAlign w:val="top"/>
            <w:shd w:fill="D9EAF7"/>
          </w:tcPr>
          <w:p>
            <w:pPr>
              <w:spacing w:after="0"/>
            </w:pPr>
            <w:r>
              <w:rPr>
                <w:sz w:val="17"/>
              </w:rPr>
            </w:r>
            <w:r>
              <w:rPr>
                <w:b/>
                <w:sz w:val="17"/>
              </w:rPr>
              <w:t>Notes</w:t>
            </w:r>
          </w:p>
        </w:tc>
      </w:tr>
      <w:tr>
        <w:tc>
          <w:tcPr>
            <w:tcW w:type="dxa" w:w="2880"/>
            <w:vAlign w:val="top"/>
          </w:tcPr>
          <w:p>
            <w:pPr>
              <w:spacing w:after="0"/>
            </w:pPr>
            <w:r>
              <w:rPr>
                <w:sz w:val="17"/>
              </w:rPr>
            </w:r>
            <w:r>
              <w:rPr>
                <w:b w:val="0"/>
                <w:sz w:val="17"/>
              </w:rPr>
              <w:t>[pronto].[xml_report]</w:t>
            </w:r>
          </w:p>
        </w:tc>
        <w:tc>
          <w:tcPr>
            <w:tcW w:type="dxa" w:w="2160"/>
            <w:vAlign w:val="top"/>
          </w:tcPr>
          <w:p>
            <w:pPr>
              <w:spacing w:after="0"/>
            </w:pPr>
            <w:r>
              <w:rPr>
                <w:sz w:val="17"/>
              </w:rPr>
            </w:r>
            <w:r>
              <w:rPr>
                <w:b w:val="0"/>
                <w:sz w:val="17"/>
              </w:rPr>
              <w:t>One row per source row / StoredReport</w:t>
            </w:r>
          </w:p>
        </w:tc>
        <w:tc>
          <w:tcPr>
            <w:tcW w:type="dxa" w:w="3168"/>
            <w:vAlign w:val="top"/>
          </w:tcPr>
          <w:p>
            <w:pPr>
              <w:spacing w:after="0"/>
            </w:pPr>
            <w:r>
              <w:rPr>
                <w:sz w:val="17"/>
              </w:rPr>
            </w:r>
            <w:r>
              <w:rPr>
                <w:b w:val="0"/>
                <w:sz w:val="17"/>
              </w:rPr>
              <w:t>run_id, source_table, source_record_key, report_id, content_hash</w:t>
            </w:r>
          </w:p>
        </w:tc>
        <w:tc>
          <w:tcPr>
            <w:tcW w:type="dxa" w:w="3600"/>
            <w:vAlign w:val="top"/>
          </w:tcPr>
          <w:p>
            <w:pPr>
              <w:spacing w:after="0"/>
            </w:pPr>
            <w:r>
              <w:rPr>
                <w:sz w:val="17"/>
              </w:rPr>
            </w:r>
            <w:r>
              <w:rPr>
                <w:b w:val="0"/>
                <w:sz w:val="17"/>
              </w:rPr>
              <w:t>Holds root attributes, source metadata and audit metadata.</w:t>
            </w:r>
          </w:p>
        </w:tc>
      </w:tr>
      <w:tr>
        <w:tc>
          <w:tcPr>
            <w:tcW w:type="dxa" w:w="2880"/>
            <w:vAlign w:val="top"/>
          </w:tcPr>
          <w:p>
            <w:pPr>
              <w:spacing w:after="0"/>
            </w:pPr>
            <w:r>
              <w:rPr>
                <w:sz w:val="17"/>
              </w:rPr>
            </w:r>
            <w:r>
              <w:rPr>
                <w:b w:val="0"/>
                <w:sz w:val="17"/>
              </w:rPr>
              <w:t>[pronto].[xml_document]</w:t>
            </w:r>
          </w:p>
        </w:tc>
        <w:tc>
          <w:tcPr>
            <w:tcW w:type="dxa" w:w="2160"/>
            <w:vAlign w:val="top"/>
          </w:tcPr>
          <w:p>
            <w:pPr>
              <w:spacing w:after="0"/>
            </w:pPr>
            <w:r>
              <w:rPr>
                <w:sz w:val="17"/>
              </w:rPr>
            </w:r>
            <w:r>
              <w:rPr>
                <w:b w:val="0"/>
                <w:sz w:val="17"/>
              </w:rPr>
              <w:t>One row per nested Document</w:t>
            </w:r>
          </w:p>
        </w:tc>
        <w:tc>
          <w:tcPr>
            <w:tcW w:type="dxa" w:w="3168"/>
            <w:vAlign w:val="top"/>
          </w:tcPr>
          <w:p>
            <w:pPr>
              <w:spacing w:after="0"/>
            </w:pPr>
            <w:r>
              <w:rPr>
                <w:sz w:val="17"/>
              </w:rPr>
            </w:r>
            <w:r>
              <w:rPr>
                <w:b w:val="0"/>
                <w:sz w:val="17"/>
              </w:rPr>
              <w:t>report_id, document_id, exported_document_id, form_name, type_name</w:t>
            </w:r>
          </w:p>
        </w:tc>
        <w:tc>
          <w:tcPr>
            <w:tcW w:type="dxa" w:w="3600"/>
            <w:vAlign w:val="top"/>
          </w:tcPr>
          <w:p>
            <w:pPr>
              <w:spacing w:after="0"/>
            </w:pPr>
            <w:r>
              <w:rPr>
                <w:sz w:val="17"/>
              </w:rPr>
            </w:r>
            <w:r>
              <w:rPr>
                <w:b w:val="0"/>
                <w:sz w:val="17"/>
              </w:rPr>
              <w:t>Identifies Connect_VA, Connect_VC, Connect_Person, Connect_Location etc.</w:t>
            </w:r>
          </w:p>
        </w:tc>
      </w:tr>
      <w:tr>
        <w:tc>
          <w:tcPr>
            <w:tcW w:type="dxa" w:w="2880"/>
            <w:vAlign w:val="top"/>
          </w:tcPr>
          <w:p>
            <w:pPr>
              <w:spacing w:after="0"/>
            </w:pPr>
            <w:r>
              <w:rPr>
                <w:sz w:val="17"/>
              </w:rPr>
            </w:r>
            <w:r>
              <w:rPr>
                <w:b w:val="0"/>
                <w:sz w:val="17"/>
              </w:rPr>
              <w:t>[pronto].[xml_header_field]</w:t>
            </w:r>
          </w:p>
        </w:tc>
        <w:tc>
          <w:tcPr>
            <w:tcW w:type="dxa" w:w="2160"/>
            <w:vAlign w:val="top"/>
          </w:tcPr>
          <w:p>
            <w:pPr>
              <w:spacing w:after="0"/>
            </w:pPr>
            <w:r>
              <w:rPr>
                <w:sz w:val="17"/>
              </w:rPr>
            </w:r>
            <w:r>
              <w:rPr>
                <w:b w:val="0"/>
                <w:sz w:val="17"/>
              </w:rPr>
              <w:t>One row per HeaderField</w:t>
            </w:r>
          </w:p>
        </w:tc>
        <w:tc>
          <w:tcPr>
            <w:tcW w:type="dxa" w:w="3168"/>
            <w:vAlign w:val="top"/>
          </w:tcPr>
          <w:p>
            <w:pPr>
              <w:spacing w:after="0"/>
            </w:pPr>
            <w:r>
              <w:rPr>
                <w:sz w:val="17"/>
              </w:rPr>
            </w:r>
            <w:r>
              <w:rPr>
                <w:b w:val="0"/>
                <w:sz w:val="17"/>
              </w:rPr>
              <w:t>document_id, field_name, field_value</w:t>
            </w:r>
          </w:p>
        </w:tc>
        <w:tc>
          <w:tcPr>
            <w:tcW w:type="dxa" w:w="3600"/>
            <w:vAlign w:val="top"/>
          </w:tcPr>
          <w:p>
            <w:pPr>
              <w:spacing w:after="0"/>
            </w:pPr>
            <w:r>
              <w:rPr>
                <w:sz w:val="17"/>
              </w:rPr>
            </w:r>
            <w:r>
              <w:rPr>
                <w:b w:val="0"/>
                <w:sz w:val="17"/>
              </w:rPr>
              <w:t>Stores simple values plus raw XML for complex HeaderField values such as KCXML/PickItem.</w:t>
            </w:r>
          </w:p>
        </w:tc>
      </w:tr>
      <w:tr>
        <w:tc>
          <w:tcPr>
            <w:tcW w:type="dxa" w:w="2880"/>
            <w:vAlign w:val="top"/>
          </w:tcPr>
          <w:p>
            <w:pPr>
              <w:spacing w:after="0"/>
            </w:pPr>
            <w:r>
              <w:rPr>
                <w:sz w:val="17"/>
              </w:rPr>
            </w:r>
            <w:r>
              <w:rPr>
                <w:b w:val="0"/>
                <w:sz w:val="17"/>
              </w:rPr>
              <w:t>[pronto].[xml_primitive_field]</w:t>
            </w:r>
          </w:p>
        </w:tc>
        <w:tc>
          <w:tcPr>
            <w:tcW w:type="dxa" w:w="2160"/>
            <w:vAlign w:val="top"/>
          </w:tcPr>
          <w:p>
            <w:pPr>
              <w:spacing w:after="0"/>
            </w:pPr>
            <w:r>
              <w:rPr>
                <w:sz w:val="17"/>
              </w:rPr>
            </w:r>
            <w:r>
              <w:rPr>
                <w:b w:val="0"/>
                <w:sz w:val="17"/>
              </w:rPr>
              <w:t>One row per Primitive</w:t>
            </w:r>
          </w:p>
        </w:tc>
        <w:tc>
          <w:tcPr>
            <w:tcW w:type="dxa" w:w="3168"/>
            <w:vAlign w:val="top"/>
          </w:tcPr>
          <w:p>
            <w:pPr>
              <w:spacing w:after="0"/>
            </w:pPr>
            <w:r>
              <w:rPr>
                <w:sz w:val="17"/>
              </w:rPr>
            </w:r>
            <w:r>
              <w:rPr>
                <w:b w:val="0"/>
                <w:sz w:val="17"/>
              </w:rPr>
              <w:t>document_id, record_path, field_name, field_value</w:t>
            </w:r>
          </w:p>
        </w:tc>
        <w:tc>
          <w:tcPr>
            <w:tcW w:type="dxa" w:w="3600"/>
            <w:vAlign w:val="top"/>
          </w:tcPr>
          <w:p>
            <w:pPr>
              <w:spacing w:after="0"/>
            </w:pPr>
            <w:r>
              <w:rPr>
                <w:sz w:val="17"/>
              </w:rPr>
            </w:r>
            <w:r>
              <w:rPr>
                <w:b w:val="0"/>
                <w:sz w:val="17"/>
              </w:rPr>
              <w:t>Most flexible extraction output. Used by validation views and curated reporting views.</w:t>
            </w:r>
          </w:p>
        </w:tc>
      </w:tr>
      <w:tr>
        <w:tc>
          <w:tcPr>
            <w:tcW w:type="dxa" w:w="2880"/>
            <w:vAlign w:val="top"/>
          </w:tcPr>
          <w:p>
            <w:pPr>
              <w:spacing w:after="0"/>
            </w:pPr>
            <w:r>
              <w:rPr>
                <w:sz w:val="17"/>
              </w:rPr>
            </w:r>
            <w:r>
              <w:rPr>
                <w:b w:val="0"/>
                <w:sz w:val="17"/>
              </w:rPr>
              <w:t>[pronto].[xml_relationship_ref]</w:t>
            </w:r>
          </w:p>
        </w:tc>
        <w:tc>
          <w:tcPr>
            <w:tcW w:type="dxa" w:w="2160"/>
            <w:vAlign w:val="top"/>
          </w:tcPr>
          <w:p>
            <w:pPr>
              <w:spacing w:after="0"/>
            </w:pPr>
            <w:r>
              <w:rPr>
                <w:sz w:val="17"/>
              </w:rPr>
            </w:r>
            <w:r>
              <w:rPr>
                <w:b w:val="0"/>
                <w:sz w:val="17"/>
              </w:rPr>
              <w:t>One row per extracted reference</w:t>
            </w:r>
          </w:p>
        </w:tc>
        <w:tc>
          <w:tcPr>
            <w:tcW w:type="dxa" w:w="3168"/>
            <w:vAlign w:val="top"/>
          </w:tcPr>
          <w:p>
            <w:pPr>
              <w:spacing w:after="0"/>
            </w:pPr>
            <w:r>
              <w:rPr>
                <w:sz w:val="17"/>
              </w:rPr>
            </w:r>
            <w:r>
              <w:rPr>
                <w:b w:val="0"/>
                <w:sz w:val="17"/>
              </w:rPr>
              <w:t>document_id, record_id, ref_document_id, ref_record_type</w:t>
            </w:r>
          </w:p>
        </w:tc>
        <w:tc>
          <w:tcPr>
            <w:tcW w:type="dxa" w:w="3600"/>
            <w:vAlign w:val="top"/>
          </w:tcPr>
          <w:p>
            <w:pPr>
              <w:spacing w:after="0"/>
            </w:pPr>
            <w:r>
              <w:rPr>
                <w:sz w:val="17"/>
              </w:rPr>
            </w:r>
            <w:r>
              <w:rPr>
                <w:b w:val="0"/>
                <w:sz w:val="17"/>
              </w:rPr>
              <w:t>Used to create incident-person, incident-location and other document relationships.</w:t>
            </w:r>
          </w:p>
        </w:tc>
      </w:tr>
      <w:tr>
        <w:tc>
          <w:tcPr>
            <w:tcW w:type="dxa" w:w="2880"/>
            <w:vAlign w:val="top"/>
          </w:tcPr>
          <w:p>
            <w:pPr>
              <w:spacing w:after="0"/>
            </w:pPr>
            <w:r>
              <w:rPr>
                <w:sz w:val="17"/>
              </w:rPr>
            </w:r>
            <w:r>
              <w:rPr>
                <w:b w:val="0"/>
                <w:sz w:val="17"/>
              </w:rPr>
              <w:t>[pronto].[xml_parse_error]</w:t>
            </w:r>
          </w:p>
        </w:tc>
        <w:tc>
          <w:tcPr>
            <w:tcW w:type="dxa" w:w="2160"/>
            <w:vAlign w:val="top"/>
          </w:tcPr>
          <w:p>
            <w:pPr>
              <w:spacing w:after="0"/>
            </w:pPr>
            <w:r>
              <w:rPr>
                <w:sz w:val="17"/>
              </w:rPr>
            </w:r>
            <w:r>
              <w:rPr>
                <w:b w:val="0"/>
                <w:sz w:val="17"/>
              </w:rPr>
              <w:t>One row per failed source row</w:t>
            </w:r>
          </w:p>
        </w:tc>
        <w:tc>
          <w:tcPr>
            <w:tcW w:type="dxa" w:w="3168"/>
            <w:vAlign w:val="top"/>
          </w:tcPr>
          <w:p>
            <w:pPr>
              <w:spacing w:after="0"/>
            </w:pPr>
            <w:r>
              <w:rPr>
                <w:sz w:val="17"/>
              </w:rPr>
            </w:r>
            <w:r>
              <w:rPr>
                <w:b w:val="0"/>
                <w:sz w:val="17"/>
              </w:rPr>
              <w:t>run_id, source_table, source_record_key, error_message</w:t>
            </w:r>
          </w:p>
        </w:tc>
        <w:tc>
          <w:tcPr>
            <w:tcW w:type="dxa" w:w="3600"/>
            <w:vAlign w:val="top"/>
          </w:tcPr>
          <w:p>
            <w:pPr>
              <w:spacing w:after="0"/>
            </w:pPr>
            <w:r>
              <w:rPr>
                <w:sz w:val="17"/>
              </w:rPr>
            </w:r>
            <w:r>
              <w:rPr>
                <w:b w:val="0"/>
                <w:sz w:val="17"/>
              </w:rPr>
              <w:t>Stores enough detail to investigate malformed XML without breaking the full run.</w:t>
            </w:r>
          </w:p>
        </w:tc>
      </w:tr>
    </w:tbl>
    <w:p/>
    <w:p>
      <w:pPr>
        <w:pStyle w:val="Heading1"/>
      </w:pPr>
      <w:r>
        <w:t>7. View layer design</w:t>
      </w:r>
    </w:p>
    <w:tbl>
      <w:tblPr>
        <w:tblStyle w:val="TableGrid"/>
        <w:tblW w:type="auto" w:w="0"/>
        <w:jc w:val="center"/>
        <w:tblLook w:firstColumn="1" w:firstRow="1" w:lastColumn="0" w:lastRow="0" w:noHBand="0" w:noVBand="1" w:val="04A0"/>
      </w:tblPr>
      <w:tblGrid>
        <w:gridCol w:w="3408"/>
        <w:gridCol w:w="3408"/>
        <w:gridCol w:w="3408"/>
      </w:tblGrid>
      <w:tr>
        <w:tc>
          <w:tcPr>
            <w:tcW w:type="dxa" w:w="2016"/>
            <w:vAlign w:val="top"/>
            <w:shd w:fill="D9EAF7"/>
          </w:tcPr>
          <w:p>
            <w:pPr>
              <w:spacing w:after="0"/>
            </w:pPr>
            <w:r>
              <w:rPr>
                <w:sz w:val="17"/>
              </w:rPr>
            </w:r>
            <w:r>
              <w:rPr>
                <w:b/>
                <w:sz w:val="17"/>
              </w:rPr>
              <w:t>Schema</w:t>
            </w:r>
          </w:p>
        </w:tc>
        <w:tc>
          <w:tcPr>
            <w:tcW w:type="dxa" w:w="4608"/>
            <w:vAlign w:val="top"/>
            <w:shd w:fill="D9EAF7"/>
          </w:tcPr>
          <w:p>
            <w:pPr>
              <w:spacing w:after="0"/>
            </w:pPr>
            <w:r>
              <w:rPr>
                <w:sz w:val="17"/>
              </w:rPr>
            </w:r>
            <w:r>
              <w:rPr>
                <w:b/>
                <w:sz w:val="17"/>
              </w:rPr>
              <w:t>View examples</w:t>
            </w:r>
          </w:p>
        </w:tc>
        <w:tc>
          <w:tcPr>
            <w:tcW w:type="dxa" w:w="3744"/>
            <w:vAlign w:val="top"/>
            <w:shd w:fill="D9EAF7"/>
          </w:tcPr>
          <w:p>
            <w:pPr>
              <w:spacing w:after="0"/>
            </w:pPr>
            <w:r>
              <w:rPr>
                <w:sz w:val="17"/>
              </w:rPr>
            </w:r>
            <w:r>
              <w:rPr>
                <w:b/>
                <w:sz w:val="17"/>
              </w:rPr>
              <w:t>Purpose</w:t>
            </w:r>
          </w:p>
        </w:tc>
      </w:tr>
      <w:tr>
        <w:tc>
          <w:tcPr>
            <w:tcW w:type="dxa" w:w="2016"/>
            <w:vAlign w:val="top"/>
          </w:tcPr>
          <w:p>
            <w:pPr>
              <w:spacing w:after="0"/>
            </w:pPr>
            <w:r>
              <w:rPr>
                <w:sz w:val="17"/>
              </w:rPr>
            </w:r>
            <w:r>
              <w:rPr>
                <w:b w:val="0"/>
                <w:sz w:val="17"/>
              </w:rPr>
              <w:t>[pronto_vw]</w:t>
            </w:r>
          </w:p>
        </w:tc>
        <w:tc>
          <w:tcPr>
            <w:tcW w:type="dxa" w:w="4608"/>
            <w:vAlign w:val="top"/>
          </w:tcPr>
          <w:p>
            <w:pPr>
              <w:spacing w:after="0"/>
            </w:pPr>
            <w:r>
              <w:rPr>
                <w:sz w:val="17"/>
              </w:rPr>
            </w:r>
            <w:r>
              <w:rPr>
                <w:b w:val="0"/>
                <w:sz w:val="17"/>
              </w:rPr>
              <w:t>vw_xml_parse_errors, vw_xml_field_coverage, vw_va_header_check, vw_vc_header_check, vw_xml_sample_primitives</w:t>
            </w:r>
          </w:p>
        </w:tc>
        <w:tc>
          <w:tcPr>
            <w:tcW w:type="dxa" w:w="3744"/>
            <w:vAlign w:val="top"/>
          </w:tcPr>
          <w:p>
            <w:pPr>
              <w:spacing w:after="0"/>
            </w:pPr>
            <w:r>
              <w:rPr>
                <w:sz w:val="17"/>
              </w:rPr>
            </w:r>
            <w:r>
              <w:rPr>
                <w:b w:val="0"/>
                <w:sz w:val="17"/>
              </w:rPr>
              <w:t>Data engineering and SME validation. These views should help confirm that parsing is complete, repeatable and explainable.</w:t>
            </w:r>
          </w:p>
        </w:tc>
      </w:tr>
      <w:tr>
        <w:tc>
          <w:tcPr>
            <w:tcW w:type="dxa" w:w="2016"/>
            <w:vAlign w:val="top"/>
          </w:tcPr>
          <w:p>
            <w:pPr>
              <w:spacing w:after="0"/>
            </w:pPr>
            <w:r>
              <w:rPr>
                <w:sz w:val="17"/>
              </w:rPr>
            </w:r>
            <w:r>
              <w:rPr>
                <w:b w:val="0"/>
                <w:sz w:val="17"/>
              </w:rPr>
              <w:t>[pbi_vw]</w:t>
            </w:r>
          </w:p>
        </w:tc>
        <w:tc>
          <w:tcPr>
            <w:tcW w:type="dxa" w:w="4608"/>
            <w:vAlign w:val="top"/>
          </w:tcPr>
          <w:p>
            <w:pPr>
              <w:spacing w:after="0"/>
            </w:pPr>
            <w:r>
              <w:rPr>
                <w:sz w:val="17"/>
              </w:rPr>
            </w:r>
            <w:r>
              <w:rPr>
                <w:b w:val="0"/>
                <w:sz w:val="17"/>
              </w:rPr>
              <w:t>vw_va_incident, vw_vc_incident, vw_va_person, vw_vc_person, vw_incident_location, vw_risk_assessment</w:t>
            </w:r>
          </w:p>
        </w:tc>
        <w:tc>
          <w:tcPr>
            <w:tcW w:type="dxa" w:w="3744"/>
            <w:vAlign w:val="top"/>
          </w:tcPr>
          <w:p>
            <w:pPr>
              <w:spacing w:after="0"/>
            </w:pPr>
            <w:r>
              <w:rPr>
                <w:sz w:val="17"/>
              </w:rPr>
            </w:r>
            <w:r>
              <w:rPr>
                <w:b w:val="0"/>
                <w:sz w:val="17"/>
              </w:rPr>
              <w:t>Power BI semantic/reporting layer. These views should contain stable business columns, agreed filters and type conversions.</w:t>
            </w:r>
          </w:p>
        </w:tc>
      </w:tr>
    </w:tbl>
    <w:p/>
    <w:p>
      <w:pPr>
        <w:pStyle w:val="Heading1"/>
      </w:pPr>
      <w:r>
        <w:t>8. Processing flow</w:t>
      </w:r>
    </w:p>
    <w:p>
      <w:pPr>
        <w:pStyle w:val="ListNumber"/>
      </w:pPr>
      <w:r>
        <w:t>Notebook run starts with parameters: run_id, source_subject_area (VA/VC/BOTH), source table name, batch filter/watermark and output mode.</w:t>
      </w:r>
    </w:p>
    <w:p>
      <w:pPr>
        <w:pStyle w:val="ListNumber"/>
      </w:pPr>
      <w:r>
        <w:t>Read source rows from [pronto].[ddform_connectsr_va] and/or [pronto].[ddform_connectsr_vc] using the serverless SQL pool [synw-symdp-data-d-uksouth-001] or the underlying lakehouse path if that is the established internal pattern.</w:t>
      </w:r>
    </w:p>
    <w:p>
      <w:pPr>
        <w:pStyle w:val="ListNumber"/>
      </w:pPr>
      <w:r>
        <w:t>Decode the XML payload column into a plain XML string. The exact decode logic must use the current source table encoding format and should be implemented as a separate, unit-testable function.</w:t>
      </w:r>
    </w:p>
    <w:p>
      <w:pPr>
        <w:pStyle w:val="ListNumber"/>
      </w:pPr>
      <w:r>
        <w:t>Generate content_hash from the decoded XML string to support idempotency and repeatable processing.</w:t>
      </w:r>
    </w:p>
    <w:p>
      <w:pPr>
        <w:pStyle w:val="ListNumber"/>
      </w:pPr>
      <w:r>
        <w:t>Attempt strict XML parse. If parsing fails, write one row to [pronto].[xml_parse_error] and continue processing the rest of the batch.</w:t>
      </w:r>
    </w:p>
    <w:p>
      <w:pPr>
        <w:pStyle w:val="ListNumber"/>
      </w:pPr>
      <w:r>
        <w:t>For valid XML, extract root StoredReport attributes into [pronto].[xml_report].</w:t>
      </w:r>
    </w:p>
    <w:p>
      <w:pPr>
        <w:pStyle w:val="ListNumber"/>
      </w:pPr>
      <w:r>
        <w:t>Loop through each ExportedDocument/Document and create [pronto].[xml_document] records.</w:t>
      </w:r>
    </w:p>
    <w:p>
      <w:pPr>
        <w:pStyle w:val="ListNumber"/>
      </w:pPr>
      <w:r>
        <w:t>Extract DocumentInfo/HeaderFields/HeaderField nodes into [pronto].[xml_header_field].</w:t>
      </w:r>
    </w:p>
    <w:p>
      <w:pPr>
        <w:pStyle w:val="ListNumber"/>
      </w:pPr>
      <w:r>
        <w:t>Recursively walk DocumentBody and extract every Primitive into [pronto].[xml_primitive_field] with record_path and raw attributes.</w:t>
      </w:r>
    </w:p>
    <w:p>
      <w:pPr>
        <w:pStyle w:val="ListNumber"/>
      </w:pPr>
      <w:r>
        <w:t>Extract Involved/relationship reference records into [pronto].[xml_relationship_ref].</w:t>
      </w:r>
    </w:p>
    <w:p>
      <w:pPr>
        <w:pStyle w:val="ListNumber"/>
      </w:pPr>
      <w:r>
        <w:t>Create or refresh [pronto_vw] validation views and [pbi_vw] reporting views using serverless SQL.</w:t>
      </w:r>
    </w:p>
    <w:p>
      <w:pPr>
        <w:pStyle w:val="Heading1"/>
      </w:pPr>
      <w:r>
        <w:t>9. Notebook implementation guidance</w:t>
      </w:r>
    </w:p>
    <w:p>
      <w:r>
        <w:t>The supplied starter notebook should be amended so that it no longer assumes generic Bronze/Silver/Gold folders. It should instead use the source tables and schemas described in this document. Keep the parsing code generic and keep business-specific pivots in SQL views where possible.</w:t>
      </w:r>
    </w:p>
    <w:p>
      <w:pPr>
        <w:pStyle w:val="CodeBlock"/>
      </w:pPr>
      <w:r>
        <w:t># Suggested notebook parameters</w:t>
        <w:br/>
        <w:t>SERVERLESS_POOL = 'synw-symdp-data-d-uksouth-001'</w:t>
        <w:br/>
        <w:t>LAKEHOUSE_NAME = 'synw-syp-lakehouse'</w:t>
        <w:br/>
        <w:t>SOURCE_TABLES = [</w:t>
        <w:br/>
        <w:t xml:space="preserve">    'pronto.ddform_connectsr_va',</w:t>
        <w:br/>
        <w:t xml:space="preserve">    'pronto.ddform_connectsr_vc'</w:t>
        <w:br/>
        <w:t>]</w:t>
        <w:br/>
        <w:t>PROCESSED_SCHEMA = 'pronto'</w:t>
        <w:br/>
        <w:t>VALIDATION_SCHEMA = 'pronto_vw'</w:t>
        <w:br/>
        <w:t>REPORTING_SCHEMA = 'pbi_vw'</w:t>
        <w:br/>
        <w:br/>
        <w:t># The XML payload column must be confirmed from the external table definition.</w:t>
        <w:br/>
        <w:t># Use a clear variable so the notebook can be changed without changing parser code.</w:t>
        <w:br/>
        <w:t>XML_PAYLOAD_COLUMN = '&lt;confirm_xml_payload_column&gt;'</w:t>
        <w:br/>
        <w:t>SOURCE_KEY_COLUMN = '&lt;confirm_source_primary_key_or_business_key&gt;'</w:t>
      </w:r>
    </w:p>
    <w:p>
      <w:r>
        <w:t>The parser should work from a decoded XML string and return DataFrames/lists for report, document, header field, primitive field, relationship reference and parse-error outputs. The source read/decode stage should be separated from the XML parsing stage so that VA and VC can share the same parser.</w:t>
      </w:r>
    </w:p>
    <w:p>
      <w:pPr>
        <w:pStyle w:val="CodeBlock"/>
      </w:pPr>
      <w:r>
        <w:t># Example parser output shape for [pronto].[xml_primitive_field]</w:t>
        <w:br/>
        <w:t>run_id, source_table, source_record_key, report_id, document_id,</w:t>
        <w:br/>
        <w:t>document_form_name, record_path, field_name, field_kind,</w:t>
        <w:br/>
        <w:t>hidden, field_value, raw_attributes_json, content_hash, processed_utc</w:t>
      </w:r>
    </w:p>
    <w:p>
      <w:pPr>
        <w:pStyle w:val="Heading1"/>
      </w:pPr>
      <w:r>
        <w:t>10. Serverless SQL publication pattern</w:t>
      </w:r>
    </w:p>
    <w:p>
      <w:r>
        <w:t>The existing serverless SQL pool should be used to create validation and reporting views. The exact SELECT source depends on whether the notebook writes managed/external tables in [pronto] or writes files that are surfaced as external tables. The examples below assume [pronto] processed objects are available to serverless SQL.</w:t>
      </w:r>
    </w:p>
    <w:p>
      <w:pPr>
        <w:pStyle w:val="CodeBlock"/>
      </w:pPr>
      <w:r>
        <w:t>-- Validation view example in [pronto_vw]</w:t>
        <w:br/>
        <w:t>CREATE OR ALTER VIEW [pronto_vw].[vw_xml_field_coverage] AS</w:t>
        <w:br/>
        <w:t>SELECT</w:t>
        <w:br/>
        <w:t xml:space="preserve">    source_table,</w:t>
        <w:br/>
        <w:t xml:space="preserve">    document_form_name,</w:t>
        <w:br/>
        <w:t xml:space="preserve">    field_name,</w:t>
        <w:br/>
        <w:t xml:space="preserve">    COUNT_BIG(*) AS field_count,</w:t>
        <w:br/>
        <w:t xml:space="preserve">    COUNT_BIG(DISTINCT document_id) AS document_count</w:t>
        <w:br/>
        <w:t>FROM [pronto].[xml_primitive_field]</w:t>
        <w:br/>
        <w:t>GROUP BY source_table, document_form_name, field_name;</w:t>
        <w:br/>
        <w:t>GO</w:t>
        <w:br/>
        <w:br/>
        <w:t>-- Parse error review view</w:t>
        <w:br/>
        <w:t>CREATE OR ALTER VIEW [pronto_vw].[vw_xml_parse_errors] AS</w:t>
        <w:br/>
        <w:t>SELECT</w:t>
        <w:br/>
        <w:t xml:space="preserve">    run_id,</w:t>
        <w:br/>
        <w:t xml:space="preserve">    source_table,</w:t>
        <w:br/>
        <w:t xml:space="preserve">    source_record_key,</w:t>
        <w:br/>
        <w:t xml:space="preserve">    error_message,</w:t>
        <w:br/>
        <w:t xml:space="preserve">    processed_utc</w:t>
        <w:br/>
        <w:t>FROM [pronto].[xml_parse_error];</w:t>
        <w:br/>
        <w:t>GO</w:t>
      </w:r>
    </w:p>
    <w:p>
      <w:pPr>
        <w:pStyle w:val="CodeBlock"/>
      </w:pPr>
      <w:r>
        <w:t>-- Power BI reporting view example in [pbi_vw]</w:t>
        <w:br/>
        <w:t>CREATE OR ALTER VIEW [pbi_vw].[vw_va_incident] AS</w:t>
        <w:br/>
        <w:t>SELECT</w:t>
        <w:br/>
        <w:t xml:space="preserve">    d.report_id,</w:t>
        <w:br/>
        <w:t xml:space="preserve">    d.document_id,</w:t>
        <w:br/>
        <w:t xml:space="preserve">    MAX(CASE WHEN h.field_name = 'ConnectInvestigationNumber' THEN h.field_value END) AS connect_investigation_number,</w:t>
        <w:br/>
        <w:t xml:space="preserve">    MAX(CASE WHEN h.field_name = 'IncidentDate' THEN TRY_CONVERT(date, h.field_value) END) AS incident_date,</w:t>
        <w:br/>
        <w:t xml:space="preserve">    MAX(CASE WHEN h.field_name = 'ConnectState' THEN h.field_value END) AS connect_state,</w:t>
        <w:br/>
        <w:t xml:space="preserve">    MAX(CASE WHEN h.field_name = 'IsComplete' THEN h.field_value END) AS is_complete</w:t>
        <w:br/>
        <w:t>FROM [pronto].[xml_document] d</w:t>
        <w:br/>
        <w:t>LEFT JOIN [pronto].[xml_header_field] h</w:t>
        <w:br/>
        <w:t xml:space="preserve">    ON h.document_id = d.document_id</w:t>
        <w:br/>
        <w:t>WHERE d.document_form_name = 'Connect_VA'</w:t>
        <w:br/>
        <w:t>GROUP BY d.report_id, d.document_id;</w:t>
        <w:br/>
        <w:t>GO</w:t>
      </w:r>
    </w:p>
    <w:p>
      <w:pPr>
        <w:pStyle w:val="Heading1"/>
      </w:pPr>
      <w:r>
        <w:t>11. Field mapping starter</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016"/>
            <w:vAlign w:val="top"/>
            <w:shd w:fill="D9EAF7"/>
          </w:tcPr>
          <w:p>
            <w:pPr>
              <w:spacing w:after="0"/>
            </w:pPr>
            <w:r>
              <w:rPr>
                <w:sz w:val="17"/>
              </w:rPr>
            </w:r>
            <w:r>
              <w:rPr>
                <w:b/>
                <w:sz w:val="17"/>
              </w:rPr>
              <w:t>Business entity</w:t>
            </w:r>
          </w:p>
        </w:tc>
        <w:tc>
          <w:tcPr>
            <w:tcW w:type="dxa" w:w="2592"/>
            <w:vAlign w:val="top"/>
            <w:shd w:fill="D9EAF7"/>
          </w:tcPr>
          <w:p>
            <w:pPr>
              <w:spacing w:after="0"/>
            </w:pPr>
            <w:r>
              <w:rPr>
                <w:sz w:val="17"/>
              </w:rPr>
            </w:r>
            <w:r>
              <w:rPr>
                <w:b/>
                <w:sz w:val="17"/>
              </w:rPr>
              <w:t>XML source</w:t>
            </w:r>
          </w:p>
        </w:tc>
        <w:tc>
          <w:tcPr>
            <w:tcW w:type="dxa" w:w="2592"/>
            <w:vAlign w:val="top"/>
            <w:shd w:fill="D9EAF7"/>
          </w:tcPr>
          <w:p>
            <w:pPr>
              <w:spacing w:after="0"/>
            </w:pPr>
            <w:r>
              <w:rPr>
                <w:sz w:val="17"/>
              </w:rPr>
            </w:r>
            <w:r>
              <w:rPr>
                <w:b/>
                <w:sz w:val="17"/>
              </w:rPr>
              <w:t>Likely target view/schema</w:t>
            </w:r>
          </w:p>
        </w:tc>
        <w:tc>
          <w:tcPr>
            <w:tcW w:type="dxa" w:w="3456"/>
            <w:vAlign w:val="top"/>
            <w:shd w:fill="D9EAF7"/>
          </w:tcPr>
          <w:p>
            <w:pPr>
              <w:spacing w:after="0"/>
            </w:pPr>
            <w:r>
              <w:rPr>
                <w:sz w:val="17"/>
              </w:rPr>
            </w:r>
            <w:r>
              <w:rPr>
                <w:b/>
                <w:sz w:val="17"/>
              </w:rPr>
              <w:t>Fields to start with</w:t>
            </w:r>
          </w:p>
        </w:tc>
      </w:tr>
      <w:tr>
        <w:tc>
          <w:tcPr>
            <w:tcW w:type="dxa" w:w="2016"/>
            <w:vAlign w:val="top"/>
          </w:tcPr>
          <w:p>
            <w:pPr>
              <w:spacing w:after="0"/>
            </w:pPr>
            <w:r>
              <w:rPr>
                <w:sz w:val="17"/>
              </w:rPr>
            </w:r>
            <w:r>
              <w:rPr>
                <w:b w:val="0"/>
                <w:sz w:val="17"/>
              </w:rPr>
              <w:t>VA incident</w:t>
            </w:r>
          </w:p>
        </w:tc>
        <w:tc>
          <w:tcPr>
            <w:tcW w:type="dxa" w:w="2592"/>
            <w:vAlign w:val="top"/>
          </w:tcPr>
          <w:p>
            <w:pPr>
              <w:spacing w:after="0"/>
            </w:pPr>
            <w:r>
              <w:rPr>
                <w:sz w:val="17"/>
              </w:rPr>
            </w:r>
            <w:r>
              <w:rPr>
                <w:b w:val="0"/>
                <w:sz w:val="17"/>
              </w:rPr>
              <w:t>Connect_VA HeaderFields and primitives</w:t>
            </w:r>
          </w:p>
        </w:tc>
        <w:tc>
          <w:tcPr>
            <w:tcW w:type="dxa" w:w="2592"/>
            <w:vAlign w:val="top"/>
          </w:tcPr>
          <w:p>
            <w:pPr>
              <w:spacing w:after="0"/>
            </w:pPr>
            <w:r>
              <w:rPr>
                <w:sz w:val="17"/>
              </w:rPr>
            </w:r>
            <w:r>
              <w:rPr>
                <w:b w:val="0"/>
                <w:sz w:val="17"/>
              </w:rPr>
              <w:t>[pbi_vw].[vw_va_incident]</w:t>
            </w:r>
          </w:p>
        </w:tc>
        <w:tc>
          <w:tcPr>
            <w:tcW w:type="dxa" w:w="3456"/>
            <w:vAlign w:val="top"/>
          </w:tcPr>
          <w:p>
            <w:pPr>
              <w:spacing w:after="0"/>
            </w:pPr>
            <w:r>
              <w:rPr>
                <w:sz w:val="17"/>
              </w:rPr>
            </w:r>
            <w:r>
              <w:rPr>
                <w:b w:val="0"/>
                <w:sz w:val="17"/>
              </w:rPr>
              <w:t>ConnectInvestigationNumber, IncidentDate, IncidentDateTimeReported, ReportingMethod, Summary, Force, LocalAuthority, ConnectState, IsComplete</w:t>
            </w:r>
          </w:p>
        </w:tc>
      </w:tr>
      <w:tr>
        <w:tc>
          <w:tcPr>
            <w:tcW w:type="dxa" w:w="2016"/>
            <w:vAlign w:val="top"/>
          </w:tcPr>
          <w:p>
            <w:pPr>
              <w:spacing w:after="0"/>
            </w:pPr>
            <w:r>
              <w:rPr>
                <w:sz w:val="17"/>
              </w:rPr>
            </w:r>
            <w:r>
              <w:rPr>
                <w:b w:val="0"/>
                <w:sz w:val="17"/>
              </w:rPr>
              <w:t>VC incident</w:t>
            </w:r>
          </w:p>
        </w:tc>
        <w:tc>
          <w:tcPr>
            <w:tcW w:type="dxa" w:w="2592"/>
            <w:vAlign w:val="top"/>
          </w:tcPr>
          <w:p>
            <w:pPr>
              <w:spacing w:after="0"/>
            </w:pPr>
            <w:r>
              <w:rPr>
                <w:sz w:val="17"/>
              </w:rPr>
            </w:r>
            <w:r>
              <w:rPr>
                <w:b w:val="0"/>
                <w:sz w:val="17"/>
              </w:rPr>
              <w:t>Connect_VC HeaderFields and primitives</w:t>
            </w:r>
          </w:p>
        </w:tc>
        <w:tc>
          <w:tcPr>
            <w:tcW w:type="dxa" w:w="2592"/>
            <w:vAlign w:val="top"/>
          </w:tcPr>
          <w:p>
            <w:pPr>
              <w:spacing w:after="0"/>
            </w:pPr>
            <w:r>
              <w:rPr>
                <w:sz w:val="17"/>
              </w:rPr>
            </w:r>
            <w:r>
              <w:rPr>
                <w:b w:val="0"/>
                <w:sz w:val="17"/>
              </w:rPr>
              <w:t>[pbi_vw].[vw_vc_incident]</w:t>
            </w:r>
          </w:p>
        </w:tc>
        <w:tc>
          <w:tcPr>
            <w:tcW w:type="dxa" w:w="3456"/>
            <w:vAlign w:val="top"/>
          </w:tcPr>
          <w:p>
            <w:pPr>
              <w:spacing w:after="0"/>
            </w:pPr>
            <w:r>
              <w:rPr>
                <w:sz w:val="17"/>
              </w:rPr>
            </w:r>
            <w:r>
              <w:rPr>
                <w:b w:val="0"/>
                <w:sz w:val="17"/>
              </w:rPr>
              <w:t>Same pattern as VA, with VC-specific fields added after SME validation.</w:t>
            </w:r>
          </w:p>
        </w:tc>
      </w:tr>
      <w:tr>
        <w:tc>
          <w:tcPr>
            <w:tcW w:type="dxa" w:w="2016"/>
            <w:vAlign w:val="top"/>
          </w:tcPr>
          <w:p>
            <w:pPr>
              <w:spacing w:after="0"/>
            </w:pPr>
            <w:r>
              <w:rPr>
                <w:sz w:val="17"/>
              </w:rPr>
            </w:r>
            <w:r>
              <w:rPr>
                <w:b w:val="0"/>
                <w:sz w:val="17"/>
              </w:rPr>
              <w:t>Person</w:t>
            </w:r>
          </w:p>
        </w:tc>
        <w:tc>
          <w:tcPr>
            <w:tcW w:type="dxa" w:w="2592"/>
            <w:vAlign w:val="top"/>
          </w:tcPr>
          <w:p>
            <w:pPr>
              <w:spacing w:after="0"/>
            </w:pPr>
            <w:r>
              <w:rPr>
                <w:sz w:val="17"/>
              </w:rPr>
            </w:r>
            <w:r>
              <w:rPr>
                <w:b w:val="0"/>
                <w:sz w:val="17"/>
              </w:rPr>
              <w:t>Connect_Person primitives</w:t>
            </w:r>
          </w:p>
        </w:tc>
        <w:tc>
          <w:tcPr>
            <w:tcW w:type="dxa" w:w="2592"/>
            <w:vAlign w:val="top"/>
          </w:tcPr>
          <w:p>
            <w:pPr>
              <w:spacing w:after="0"/>
            </w:pPr>
            <w:r>
              <w:rPr>
                <w:sz w:val="17"/>
              </w:rPr>
            </w:r>
            <w:r>
              <w:rPr>
                <w:b w:val="0"/>
                <w:sz w:val="17"/>
              </w:rPr>
              <w:t>[pbi_vw].[vw_va_person] / [pbi_vw].[vw_vc_person]</w:t>
            </w:r>
          </w:p>
        </w:tc>
        <w:tc>
          <w:tcPr>
            <w:tcW w:type="dxa" w:w="3456"/>
            <w:vAlign w:val="top"/>
          </w:tcPr>
          <w:p>
            <w:pPr>
              <w:spacing w:after="0"/>
            </w:pPr>
            <w:r>
              <w:rPr>
                <w:sz w:val="17"/>
              </w:rPr>
            </w:r>
            <w:r>
              <w:rPr>
                <w:b w:val="0"/>
                <w:sz w:val="17"/>
              </w:rPr>
              <w:t>ConnectPersonGroupRef, Forename, Surname, DateOfBirth, Sex, SelfDefinedEthnicity, Occupation, Nationality</w:t>
            </w:r>
          </w:p>
        </w:tc>
      </w:tr>
      <w:tr>
        <w:tc>
          <w:tcPr>
            <w:tcW w:type="dxa" w:w="2016"/>
            <w:vAlign w:val="top"/>
          </w:tcPr>
          <w:p>
            <w:pPr>
              <w:spacing w:after="0"/>
            </w:pPr>
            <w:r>
              <w:rPr>
                <w:sz w:val="17"/>
              </w:rPr>
            </w:r>
            <w:r>
              <w:rPr>
                <w:b w:val="0"/>
                <w:sz w:val="17"/>
              </w:rPr>
              <w:t>Location</w:t>
            </w:r>
          </w:p>
        </w:tc>
        <w:tc>
          <w:tcPr>
            <w:tcW w:type="dxa" w:w="2592"/>
            <w:vAlign w:val="top"/>
          </w:tcPr>
          <w:p>
            <w:pPr>
              <w:spacing w:after="0"/>
            </w:pPr>
            <w:r>
              <w:rPr>
                <w:sz w:val="17"/>
              </w:rPr>
            </w:r>
            <w:r>
              <w:rPr>
                <w:b w:val="0"/>
                <w:sz w:val="17"/>
              </w:rPr>
              <w:t>Connect_Location primitives</w:t>
            </w:r>
          </w:p>
        </w:tc>
        <w:tc>
          <w:tcPr>
            <w:tcW w:type="dxa" w:w="2592"/>
            <w:vAlign w:val="top"/>
          </w:tcPr>
          <w:p>
            <w:pPr>
              <w:spacing w:after="0"/>
            </w:pPr>
            <w:r>
              <w:rPr>
                <w:sz w:val="17"/>
              </w:rPr>
            </w:r>
            <w:r>
              <w:rPr>
                <w:b w:val="0"/>
                <w:sz w:val="17"/>
              </w:rPr>
              <w:t>[pbi_vw].[vw_incident_location]</w:t>
            </w:r>
          </w:p>
        </w:tc>
        <w:tc>
          <w:tcPr>
            <w:tcW w:type="dxa" w:w="3456"/>
            <w:vAlign w:val="top"/>
          </w:tcPr>
          <w:p>
            <w:pPr>
              <w:spacing w:after="0"/>
            </w:pPr>
            <w:r>
              <w:rPr>
                <w:sz w:val="17"/>
              </w:rPr>
            </w:r>
            <w:r>
              <w:rPr>
                <w:b w:val="0"/>
                <w:sz w:val="17"/>
              </w:rPr>
              <w:t>ConnectLocationGroupRef, Postcode, PremisesNumber, AddressLine1, Town, County, DwellingType</w:t>
            </w:r>
          </w:p>
        </w:tc>
      </w:tr>
      <w:tr>
        <w:tc>
          <w:tcPr>
            <w:tcW w:type="dxa" w:w="2016"/>
            <w:vAlign w:val="top"/>
          </w:tcPr>
          <w:p>
            <w:pPr>
              <w:spacing w:after="0"/>
            </w:pPr>
            <w:r>
              <w:rPr>
                <w:sz w:val="17"/>
              </w:rPr>
            </w:r>
            <w:r>
              <w:rPr>
                <w:b w:val="0"/>
                <w:sz w:val="17"/>
              </w:rPr>
              <w:t>Incident relationships</w:t>
            </w:r>
          </w:p>
        </w:tc>
        <w:tc>
          <w:tcPr>
            <w:tcW w:type="dxa" w:w="2592"/>
            <w:vAlign w:val="top"/>
          </w:tcPr>
          <w:p>
            <w:pPr>
              <w:spacing w:after="0"/>
            </w:pPr>
            <w:r>
              <w:rPr>
                <w:sz w:val="17"/>
              </w:rPr>
            </w:r>
            <w:r>
              <w:rPr>
                <w:b w:val="0"/>
                <w:sz w:val="17"/>
              </w:rPr>
              <w:t>CompoundList field=Involved / InvolvedRef records</w:t>
            </w:r>
          </w:p>
        </w:tc>
        <w:tc>
          <w:tcPr>
            <w:tcW w:type="dxa" w:w="2592"/>
            <w:vAlign w:val="top"/>
          </w:tcPr>
          <w:p>
            <w:pPr>
              <w:spacing w:after="0"/>
            </w:pPr>
            <w:r>
              <w:rPr>
                <w:sz w:val="17"/>
              </w:rPr>
            </w:r>
            <w:r>
              <w:rPr>
                <w:b w:val="0"/>
                <w:sz w:val="17"/>
              </w:rPr>
              <w:t>[pbi_vw] relationship views</w:t>
            </w:r>
          </w:p>
        </w:tc>
        <w:tc>
          <w:tcPr>
            <w:tcW w:type="dxa" w:w="3456"/>
            <w:vAlign w:val="top"/>
          </w:tcPr>
          <w:p>
            <w:pPr>
              <w:spacing w:after="0"/>
            </w:pPr>
            <w:r>
              <w:rPr>
                <w:sz w:val="17"/>
              </w:rPr>
            </w:r>
            <w:r>
              <w:rPr>
                <w:b w:val="0"/>
                <w:sz w:val="17"/>
              </w:rPr>
              <w:t>RecordID, RefDocumentID, RefRecordType, RefSectionName, RefDocumentType</w:t>
            </w:r>
          </w:p>
        </w:tc>
      </w:tr>
      <w:tr>
        <w:tc>
          <w:tcPr>
            <w:tcW w:type="dxa" w:w="2016"/>
            <w:vAlign w:val="top"/>
          </w:tcPr>
          <w:p>
            <w:pPr>
              <w:spacing w:after="0"/>
            </w:pPr>
            <w:r>
              <w:rPr>
                <w:sz w:val="17"/>
              </w:rPr>
            </w:r>
            <w:r>
              <w:rPr>
                <w:b w:val="0"/>
                <w:sz w:val="17"/>
              </w:rPr>
              <w:t>Risk assessment</w:t>
            </w:r>
          </w:p>
        </w:tc>
        <w:tc>
          <w:tcPr>
            <w:tcW w:type="dxa" w:w="2592"/>
            <w:vAlign w:val="top"/>
          </w:tcPr>
          <w:p>
            <w:pPr>
              <w:spacing w:after="0"/>
            </w:pPr>
            <w:r>
              <w:rPr>
                <w:sz w:val="17"/>
              </w:rPr>
            </w:r>
            <w:r>
              <w:rPr>
                <w:b w:val="0"/>
                <w:sz w:val="17"/>
              </w:rPr>
              <w:t>VA/VC risk-related primitives</w:t>
            </w:r>
          </w:p>
        </w:tc>
        <w:tc>
          <w:tcPr>
            <w:tcW w:type="dxa" w:w="2592"/>
            <w:vAlign w:val="top"/>
          </w:tcPr>
          <w:p>
            <w:pPr>
              <w:spacing w:after="0"/>
            </w:pPr>
            <w:r>
              <w:rPr>
                <w:sz w:val="17"/>
              </w:rPr>
            </w:r>
            <w:r>
              <w:rPr>
                <w:b w:val="0"/>
                <w:sz w:val="17"/>
              </w:rPr>
              <w:t>[pbi_vw].[vw_risk_assessment]</w:t>
            </w:r>
          </w:p>
        </w:tc>
        <w:tc>
          <w:tcPr>
            <w:tcW w:type="dxa" w:w="3456"/>
            <w:vAlign w:val="top"/>
          </w:tcPr>
          <w:p>
            <w:pPr>
              <w:spacing w:after="0"/>
            </w:pPr>
            <w:r>
              <w:rPr>
                <w:sz w:val="17"/>
              </w:rPr>
            </w:r>
            <w:r>
              <w:rPr>
                <w:b w:val="0"/>
                <w:sz w:val="17"/>
              </w:rPr>
              <w:t>SelfHarm, SociallyIsolated, HarmType, VulnerabilityFlag and any agreed VAVC assessment fields.</w:t>
            </w:r>
          </w:p>
        </w:tc>
      </w:tr>
    </w:tbl>
    <w:p/>
    <w:p>
      <w:pPr>
        <w:pStyle w:val="Heading1"/>
      </w:pPr>
      <w:r>
        <w:t>12. Validation and reconciliation</w:t>
      </w:r>
    </w:p>
    <w:tbl>
      <w:tblPr>
        <w:tblStyle w:val="TableGrid"/>
        <w:tblW w:type="auto" w:w="0"/>
        <w:jc w:val="center"/>
        <w:tblLook w:firstColumn="1" w:firstRow="1" w:lastColumn="0" w:lastRow="0" w:noHBand="0" w:noVBand="1" w:val="04A0"/>
      </w:tblPr>
      <w:tblGrid>
        <w:gridCol w:w="5112"/>
        <w:gridCol w:w="5112"/>
      </w:tblGrid>
      <w:tr>
        <w:tc>
          <w:tcPr>
            <w:tcW w:type="dxa" w:w="3600"/>
            <w:vAlign w:val="top"/>
            <w:shd w:fill="D9EAF7"/>
          </w:tcPr>
          <w:p>
            <w:pPr>
              <w:spacing w:after="0"/>
            </w:pPr>
            <w:r>
              <w:rPr>
                <w:sz w:val="17"/>
              </w:rPr>
            </w:r>
            <w:r>
              <w:rPr>
                <w:b/>
                <w:sz w:val="17"/>
              </w:rPr>
              <w:t>Check</w:t>
            </w:r>
          </w:p>
        </w:tc>
        <w:tc>
          <w:tcPr>
            <w:tcW w:type="dxa" w:w="6768"/>
            <w:vAlign w:val="top"/>
            <w:shd w:fill="D9EAF7"/>
          </w:tcPr>
          <w:p>
            <w:pPr>
              <w:spacing w:after="0"/>
            </w:pPr>
            <w:r>
              <w:rPr>
                <w:sz w:val="17"/>
              </w:rPr>
            </w:r>
            <w:r>
              <w:rPr>
                <w:b/>
                <w:sz w:val="17"/>
              </w:rPr>
              <w:t>Expected behaviour</w:t>
            </w:r>
          </w:p>
        </w:tc>
      </w:tr>
      <w:tr>
        <w:tc>
          <w:tcPr>
            <w:tcW w:type="dxa" w:w="3600"/>
            <w:vAlign w:val="top"/>
          </w:tcPr>
          <w:p>
            <w:pPr>
              <w:spacing w:after="0"/>
            </w:pPr>
            <w:r>
              <w:rPr>
                <w:sz w:val="17"/>
              </w:rPr>
            </w:r>
            <w:r>
              <w:rPr>
                <w:b w:val="0"/>
                <w:sz w:val="17"/>
              </w:rPr>
              <w:t>Source row count by table</w:t>
            </w:r>
          </w:p>
        </w:tc>
        <w:tc>
          <w:tcPr>
            <w:tcW w:type="dxa" w:w="6768"/>
            <w:vAlign w:val="top"/>
          </w:tcPr>
          <w:p>
            <w:pPr>
              <w:spacing w:after="0"/>
            </w:pPr>
            <w:r>
              <w:rPr>
                <w:sz w:val="17"/>
              </w:rPr>
            </w:r>
            <w:r>
              <w:rPr>
                <w:b w:val="0"/>
                <w:sz w:val="17"/>
              </w:rPr>
              <w:t>Counts from [pronto].[ddform_connectsr_va] and [pronto].[ddform_connectsr_vc] reconcile to parsed + parse-error records for a batch.</w:t>
            </w:r>
          </w:p>
        </w:tc>
      </w:tr>
      <w:tr>
        <w:tc>
          <w:tcPr>
            <w:tcW w:type="dxa" w:w="3600"/>
            <w:vAlign w:val="top"/>
          </w:tcPr>
          <w:p>
            <w:pPr>
              <w:spacing w:after="0"/>
            </w:pPr>
            <w:r>
              <w:rPr>
                <w:sz w:val="17"/>
              </w:rPr>
            </w:r>
            <w:r>
              <w:rPr>
                <w:b w:val="0"/>
                <w:sz w:val="17"/>
              </w:rPr>
              <w:t>XML parse success rate</w:t>
            </w:r>
          </w:p>
        </w:tc>
        <w:tc>
          <w:tcPr>
            <w:tcW w:type="dxa" w:w="6768"/>
            <w:vAlign w:val="top"/>
          </w:tcPr>
          <w:p>
            <w:pPr>
              <w:spacing w:after="0"/>
            </w:pPr>
            <w:r>
              <w:rPr>
                <w:sz w:val="17"/>
              </w:rPr>
            </w:r>
            <w:r>
              <w:rPr>
                <w:b w:val="0"/>
                <w:sz w:val="17"/>
              </w:rPr>
              <w:t>All valid records parsed; malformed records captured in [pronto].[xml_parse_error] with clear error text.</w:t>
            </w:r>
          </w:p>
        </w:tc>
      </w:tr>
      <w:tr>
        <w:tc>
          <w:tcPr>
            <w:tcW w:type="dxa" w:w="3600"/>
            <w:vAlign w:val="top"/>
          </w:tcPr>
          <w:p>
            <w:pPr>
              <w:spacing w:after="0"/>
            </w:pPr>
            <w:r>
              <w:rPr>
                <w:sz w:val="17"/>
              </w:rPr>
            </w:r>
            <w:r>
              <w:rPr>
                <w:b w:val="0"/>
                <w:sz w:val="17"/>
              </w:rPr>
              <w:t>Document count</w:t>
            </w:r>
          </w:p>
        </w:tc>
        <w:tc>
          <w:tcPr>
            <w:tcW w:type="dxa" w:w="6768"/>
            <w:vAlign w:val="top"/>
          </w:tcPr>
          <w:p>
            <w:pPr>
              <w:spacing w:after="0"/>
            </w:pPr>
            <w:r>
              <w:rPr>
                <w:sz w:val="17"/>
              </w:rPr>
            </w:r>
            <w:r>
              <w:rPr>
                <w:b w:val="0"/>
                <w:sz w:val="17"/>
              </w:rPr>
              <w:t>For each valid sample report, nested Document rows in [pronto].[xml_document] match the source XML structure.</w:t>
            </w:r>
          </w:p>
        </w:tc>
      </w:tr>
      <w:tr>
        <w:tc>
          <w:tcPr>
            <w:tcW w:type="dxa" w:w="3600"/>
            <w:vAlign w:val="top"/>
          </w:tcPr>
          <w:p>
            <w:pPr>
              <w:spacing w:after="0"/>
            </w:pPr>
            <w:r>
              <w:rPr>
                <w:sz w:val="17"/>
              </w:rPr>
            </w:r>
            <w:r>
              <w:rPr>
                <w:b w:val="0"/>
                <w:sz w:val="17"/>
              </w:rPr>
              <w:t>Primitive count repeatability</w:t>
            </w:r>
          </w:p>
        </w:tc>
        <w:tc>
          <w:tcPr>
            <w:tcW w:type="dxa" w:w="6768"/>
            <w:vAlign w:val="top"/>
          </w:tcPr>
          <w:p>
            <w:pPr>
              <w:spacing w:after="0"/>
            </w:pPr>
            <w:r>
              <w:rPr>
                <w:sz w:val="17"/>
              </w:rPr>
            </w:r>
            <w:r>
              <w:rPr>
                <w:b w:val="0"/>
                <w:sz w:val="17"/>
              </w:rPr>
              <w:t>Primitive extraction should be repeatable across reruns for the same content_hash.</w:t>
            </w:r>
          </w:p>
        </w:tc>
      </w:tr>
      <w:tr>
        <w:tc>
          <w:tcPr>
            <w:tcW w:type="dxa" w:w="3600"/>
            <w:vAlign w:val="top"/>
          </w:tcPr>
          <w:p>
            <w:pPr>
              <w:spacing w:after="0"/>
            </w:pPr>
            <w:r>
              <w:rPr>
                <w:sz w:val="17"/>
              </w:rPr>
            </w:r>
            <w:r>
              <w:rPr>
                <w:b w:val="0"/>
                <w:sz w:val="17"/>
              </w:rPr>
              <w:t>Validation views</w:t>
            </w:r>
          </w:p>
        </w:tc>
        <w:tc>
          <w:tcPr>
            <w:tcW w:type="dxa" w:w="6768"/>
            <w:vAlign w:val="top"/>
          </w:tcPr>
          <w:p>
            <w:pPr>
              <w:spacing w:after="0"/>
            </w:pPr>
            <w:r>
              <w:rPr>
                <w:sz w:val="17"/>
              </w:rPr>
            </w:r>
            <w:r>
              <w:rPr>
                <w:b w:val="0"/>
                <w:sz w:val="17"/>
              </w:rPr>
              <w:t>[pronto_vw] views should expose enough information to test field coverage and identify missing fields.</w:t>
            </w:r>
          </w:p>
        </w:tc>
      </w:tr>
      <w:tr>
        <w:tc>
          <w:tcPr>
            <w:tcW w:type="dxa" w:w="3600"/>
            <w:vAlign w:val="top"/>
          </w:tcPr>
          <w:p>
            <w:pPr>
              <w:spacing w:after="0"/>
            </w:pPr>
            <w:r>
              <w:rPr>
                <w:sz w:val="17"/>
              </w:rPr>
            </w:r>
            <w:r>
              <w:rPr>
                <w:b w:val="0"/>
                <w:sz w:val="17"/>
              </w:rPr>
              <w:t>Power BI views</w:t>
            </w:r>
          </w:p>
        </w:tc>
        <w:tc>
          <w:tcPr>
            <w:tcW w:type="dxa" w:w="6768"/>
            <w:vAlign w:val="top"/>
          </w:tcPr>
          <w:p>
            <w:pPr>
              <w:spacing w:after="0"/>
            </w:pPr>
            <w:r>
              <w:rPr>
                <w:sz w:val="17"/>
              </w:rPr>
            </w:r>
            <w:r>
              <w:rPr>
                <w:b w:val="0"/>
                <w:sz w:val="17"/>
              </w:rPr>
              <w:t>[pbi_vw] views should contain agreed business columns, data types and no duplicate-grain problems.</w:t>
            </w:r>
          </w:p>
        </w:tc>
      </w:tr>
    </w:tbl>
    <w:p/>
    <w:p>
      <w:pPr>
        <w:pStyle w:val="Heading1"/>
      </w:pPr>
      <w:r>
        <w:t>13. Design decisions</w:t>
      </w:r>
    </w:p>
    <w:tbl>
      <w:tblPr>
        <w:tblStyle w:val="TableGrid"/>
        <w:tblW w:type="auto" w:w="0"/>
        <w:jc w:val="center"/>
        <w:tblLook w:firstColumn="1" w:firstRow="1" w:lastColumn="0" w:lastRow="0" w:noHBand="0" w:noVBand="1" w:val="04A0"/>
      </w:tblPr>
      <w:tblGrid>
        <w:gridCol w:w="5112"/>
        <w:gridCol w:w="5112"/>
      </w:tblGrid>
      <w:tr>
        <w:tc>
          <w:tcPr>
            <w:tcW w:type="dxa" w:w="3744"/>
            <w:vAlign w:val="top"/>
            <w:shd w:fill="D9EAF7"/>
          </w:tcPr>
          <w:p>
            <w:pPr>
              <w:spacing w:after="0"/>
            </w:pPr>
            <w:r>
              <w:rPr>
                <w:sz w:val="17"/>
              </w:rPr>
            </w:r>
            <w:r>
              <w:rPr>
                <w:b/>
                <w:sz w:val="17"/>
              </w:rPr>
              <w:t>Decision</w:t>
            </w:r>
          </w:p>
        </w:tc>
        <w:tc>
          <w:tcPr>
            <w:tcW w:type="dxa" w:w="6624"/>
            <w:vAlign w:val="top"/>
            <w:shd w:fill="D9EAF7"/>
          </w:tcPr>
          <w:p>
            <w:pPr>
              <w:spacing w:after="0"/>
            </w:pPr>
            <w:r>
              <w:rPr>
                <w:sz w:val="17"/>
              </w:rPr>
            </w:r>
            <w:r>
              <w:rPr>
                <w:b/>
                <w:sz w:val="17"/>
              </w:rPr>
              <w:t>Reason</w:t>
            </w:r>
          </w:p>
        </w:tc>
      </w:tr>
      <w:tr>
        <w:tc>
          <w:tcPr>
            <w:tcW w:type="dxa" w:w="3744"/>
            <w:vAlign w:val="top"/>
          </w:tcPr>
          <w:p>
            <w:pPr>
              <w:spacing w:after="0"/>
            </w:pPr>
            <w:r>
              <w:rPr>
                <w:sz w:val="17"/>
              </w:rPr>
            </w:r>
            <w:r>
              <w:rPr>
                <w:b w:val="0"/>
                <w:sz w:val="17"/>
              </w:rPr>
              <w:t>Use existing [pronto] source tables as raw/bronze-equivalent inputs</w:t>
            </w:r>
          </w:p>
        </w:tc>
        <w:tc>
          <w:tcPr>
            <w:tcW w:type="dxa" w:w="6624"/>
            <w:vAlign w:val="top"/>
          </w:tcPr>
          <w:p>
            <w:pPr>
              <w:spacing w:after="0"/>
            </w:pPr>
            <w:r>
              <w:rPr>
                <w:sz w:val="17"/>
              </w:rPr>
            </w:r>
            <w:r>
              <w:rPr>
                <w:b w:val="0"/>
                <w:sz w:val="17"/>
              </w:rPr>
              <w:t>The platform already exposes decoded XML source data through [pronto].[ddform_connectsr_va] and [pronto].[ddform_connectsr_vc].</w:t>
            </w:r>
          </w:p>
        </w:tc>
      </w:tr>
      <w:tr>
        <w:tc>
          <w:tcPr>
            <w:tcW w:type="dxa" w:w="3744"/>
            <w:vAlign w:val="top"/>
          </w:tcPr>
          <w:p>
            <w:pPr>
              <w:spacing w:after="0"/>
            </w:pPr>
            <w:r>
              <w:rPr>
                <w:sz w:val="17"/>
              </w:rPr>
            </w:r>
            <w:r>
              <w:rPr>
                <w:b w:val="0"/>
                <w:sz w:val="17"/>
              </w:rPr>
              <w:t>Use flexible parsed outputs in [pronto]</w:t>
            </w:r>
          </w:p>
        </w:tc>
        <w:tc>
          <w:tcPr>
            <w:tcW w:type="dxa" w:w="6624"/>
            <w:vAlign w:val="top"/>
          </w:tcPr>
          <w:p>
            <w:pPr>
              <w:spacing w:after="0"/>
            </w:pPr>
            <w:r>
              <w:rPr>
                <w:sz w:val="17"/>
              </w:rPr>
            </w:r>
            <w:r>
              <w:rPr>
                <w:b w:val="0"/>
                <w:sz w:val="17"/>
              </w:rPr>
              <w:t>The XML has variable report types, nested records and unpredictable repeating structures. A name/value parsed model avoids constant schema rewrites.</w:t>
            </w:r>
          </w:p>
        </w:tc>
      </w:tr>
      <w:tr>
        <w:tc>
          <w:tcPr>
            <w:tcW w:type="dxa" w:w="3744"/>
            <w:vAlign w:val="top"/>
          </w:tcPr>
          <w:p>
            <w:pPr>
              <w:spacing w:after="0"/>
            </w:pPr>
            <w:r>
              <w:rPr>
                <w:sz w:val="17"/>
              </w:rPr>
            </w:r>
            <w:r>
              <w:rPr>
                <w:b w:val="0"/>
                <w:sz w:val="17"/>
              </w:rPr>
              <w:t>Use [pronto_vw] for validation/review</w:t>
            </w:r>
          </w:p>
        </w:tc>
        <w:tc>
          <w:tcPr>
            <w:tcW w:type="dxa" w:w="6624"/>
            <w:vAlign w:val="top"/>
          </w:tcPr>
          <w:p>
            <w:pPr>
              <w:spacing w:after="0"/>
            </w:pPr>
            <w:r>
              <w:rPr>
                <w:sz w:val="17"/>
              </w:rPr>
            </w:r>
            <w:r>
              <w:rPr>
                <w:b w:val="0"/>
                <w:sz w:val="17"/>
              </w:rPr>
              <w:t>Keeps engineering QA and SME checks separate from Power BI-specific objects.</w:t>
            </w:r>
          </w:p>
        </w:tc>
      </w:tr>
      <w:tr>
        <w:tc>
          <w:tcPr>
            <w:tcW w:type="dxa" w:w="3744"/>
            <w:vAlign w:val="top"/>
          </w:tcPr>
          <w:p>
            <w:pPr>
              <w:spacing w:after="0"/>
            </w:pPr>
            <w:r>
              <w:rPr>
                <w:sz w:val="17"/>
              </w:rPr>
            </w:r>
            <w:r>
              <w:rPr>
                <w:b w:val="0"/>
                <w:sz w:val="17"/>
              </w:rPr>
              <w:t>Use [pbi_vw] for Power BI reporting</w:t>
            </w:r>
          </w:p>
        </w:tc>
        <w:tc>
          <w:tcPr>
            <w:tcW w:type="dxa" w:w="6624"/>
            <w:vAlign w:val="top"/>
          </w:tcPr>
          <w:p>
            <w:pPr>
              <w:spacing w:after="0"/>
            </w:pPr>
            <w:r>
              <w:rPr>
                <w:sz w:val="17"/>
              </w:rPr>
            </w:r>
            <w:r>
              <w:rPr>
                <w:b w:val="0"/>
                <w:sz w:val="17"/>
              </w:rPr>
              <w:t>Provides stable, business-friendly views that the Power BI engineer can model without XML complexity.</w:t>
            </w:r>
          </w:p>
        </w:tc>
      </w:tr>
      <w:tr>
        <w:tc>
          <w:tcPr>
            <w:tcW w:type="dxa" w:w="3744"/>
            <w:vAlign w:val="top"/>
          </w:tcPr>
          <w:p>
            <w:pPr>
              <w:spacing w:after="0"/>
            </w:pPr>
            <w:r>
              <w:rPr>
                <w:sz w:val="17"/>
              </w:rPr>
            </w:r>
            <w:r>
              <w:rPr>
                <w:b w:val="0"/>
                <w:sz w:val="17"/>
              </w:rPr>
              <w:t>Do not rely on strict XSD for runtime processing</w:t>
            </w:r>
          </w:p>
        </w:tc>
        <w:tc>
          <w:tcPr>
            <w:tcW w:type="dxa" w:w="6624"/>
            <w:vAlign w:val="top"/>
          </w:tcPr>
          <w:p>
            <w:pPr>
              <w:spacing w:after="0"/>
            </w:pPr>
            <w:r>
              <w:rPr>
                <w:sz w:val="17"/>
              </w:rPr>
            </w:r>
            <w:r>
              <w:rPr>
                <w:b w:val="0"/>
                <w:sz w:val="17"/>
              </w:rPr>
              <w:t>A strict schema would be fragile. XSD can be retained for documentation and optional validation, but not as the core extraction method.</w:t>
            </w:r>
          </w:p>
        </w:tc>
      </w:tr>
      <w:tr>
        <w:tc>
          <w:tcPr>
            <w:tcW w:type="dxa" w:w="3744"/>
            <w:vAlign w:val="top"/>
          </w:tcPr>
          <w:p>
            <w:pPr>
              <w:spacing w:after="0"/>
            </w:pPr>
            <w:r>
              <w:rPr>
                <w:sz w:val="17"/>
              </w:rPr>
            </w:r>
            <w:r>
              <w:rPr>
                <w:b w:val="0"/>
                <w:sz w:val="17"/>
              </w:rPr>
              <w:t>Quarantine malformed XML by default</w:t>
            </w:r>
          </w:p>
        </w:tc>
        <w:tc>
          <w:tcPr>
            <w:tcW w:type="dxa" w:w="6624"/>
            <w:vAlign w:val="top"/>
          </w:tcPr>
          <w:p>
            <w:pPr>
              <w:spacing w:after="0"/>
            </w:pPr>
            <w:r>
              <w:rPr>
                <w:sz w:val="17"/>
              </w:rPr>
            </w:r>
            <w:r>
              <w:rPr>
                <w:b w:val="0"/>
                <w:sz w:val="17"/>
              </w:rPr>
              <w:t>Silent parser recovery can create misleading reporting data. Parse failures should be visible and reconcilable.</w:t>
            </w:r>
          </w:p>
        </w:tc>
      </w:tr>
    </w:tbl>
    <w:p/>
    <w:p>
      <w:pPr>
        <w:pStyle w:val="Heading1"/>
      </w:pPr>
      <w:r>
        <w:t>14. Delivery checklist for the data engineer</w:t>
      </w:r>
    </w:p>
    <w:p>
      <w:pPr>
        <w:pStyle w:val="ListBullet"/>
      </w:pPr>
      <w:r>
        <w:t>Confirm the actual XML payload column and business/source key columns in [pronto].[ddform_connectsr_va] and [pronto].[ddform_connectsr_vc].</w:t>
      </w:r>
    </w:p>
    <w:p>
      <w:pPr>
        <w:pStyle w:val="ListBullet"/>
      </w:pPr>
      <w:r>
        <w:t>Confirm how the XML is encoded and implement a reusable decode_xml_payload() function.</w:t>
      </w:r>
    </w:p>
    <w:p>
      <w:pPr>
        <w:pStyle w:val="ListBullet"/>
      </w:pPr>
      <w:r>
        <w:t>Create or confirm processed output objects in [pronto]: xml_report, xml_document, xml_header_field, xml_primitive_field, xml_relationship_ref and xml_parse_error.</w:t>
      </w:r>
    </w:p>
    <w:p>
      <w:pPr>
        <w:pStyle w:val="ListBullet"/>
      </w:pPr>
      <w:r>
        <w:t>Update the Synapse notebook parameters to use synw-symdp-data-d-uksouth-001, synw-syp-lakehouse, [pronto], [pronto_vw] and [pbi_vw].</w:t>
      </w:r>
    </w:p>
    <w:p>
      <w:pPr>
        <w:pStyle w:val="ListBullet"/>
      </w:pPr>
      <w:r>
        <w:t>Run the notebook against a small VA sample and confirm the parsed objects are populated.</w:t>
      </w:r>
    </w:p>
    <w:p>
      <w:pPr>
        <w:pStyle w:val="ListBullet"/>
      </w:pPr>
      <w:r>
        <w:t>Run against the malformed sample and confirm [pronto].[xml_parse_error] is populated.</w:t>
      </w:r>
    </w:p>
    <w:p>
      <w:pPr>
        <w:pStyle w:val="ListBullet"/>
      </w:pPr>
      <w:r>
        <w:t>Create [pronto_vw] validation views for parse errors, field coverage, header checks and primitive sampling.</w:t>
      </w:r>
    </w:p>
    <w:p>
      <w:pPr>
        <w:pStyle w:val="ListBullet"/>
      </w:pPr>
      <w:r>
        <w:t>Create first-pass [pbi_vw] reporting views for VA incident, VC incident, person, location, relationships and risk assessment.</w:t>
      </w:r>
    </w:p>
    <w:p>
      <w:pPr>
        <w:pStyle w:val="ListBullet"/>
      </w:pPr>
      <w:r>
        <w:t>Agree the first Power BI field list with the Power BI engineer and business SMEs.</w:t>
      </w:r>
    </w:p>
    <w:p>
      <w:pPr>
        <w:pStyle w:val="ListBullet"/>
      </w:pPr>
      <w:r>
        <w:t>Add data quality checks, run logging and Azure DevOps source control for the notebook and SQL view scripts.</w:t>
      </w:r>
    </w:p>
    <w:p>
      <w:pPr>
        <w:pStyle w:val="Heading1"/>
      </w:pPr>
      <w:r>
        <w:t>15. Open questions</w:t>
      </w:r>
    </w:p>
    <w:p>
      <w:pPr>
        <w:pStyle w:val="ListBullet"/>
      </w:pPr>
      <w:r>
        <w:t>What are the exact XML payload column names in [pronto].[ddform_connectsr_va] and [pronto].[ddform_connectsr_vc]?</w:t>
      </w:r>
    </w:p>
    <w:p>
      <w:pPr>
        <w:pStyle w:val="ListBullet"/>
      </w:pPr>
      <w:r>
        <w:t>Are the source XML values base64 encoded, compressed, escaped text, or stored using another encoding pattern?</w:t>
      </w:r>
    </w:p>
    <w:p>
      <w:pPr>
        <w:pStyle w:val="ListBullet"/>
      </w:pPr>
      <w:r>
        <w:t>What column should be treated as the source row key/watermark for incremental processing?</w:t>
      </w:r>
    </w:p>
    <w:p>
      <w:pPr>
        <w:pStyle w:val="ListBullet"/>
      </w:pPr>
      <w:r>
        <w:t>Should processed parsed outputs be physical external tables in [pronto], SQL views in [pronto], or a mixture?</w:t>
      </w:r>
    </w:p>
    <w:p>
      <w:pPr>
        <w:pStyle w:val="ListBullet"/>
      </w:pPr>
      <w:r>
        <w:t>Which exact VA and VC fields are required for the first Power BI report?</w:t>
      </w:r>
    </w:p>
    <w:p>
      <w:pPr>
        <w:pStyle w:val="ListBullet"/>
      </w:pPr>
      <w:r>
        <w:t>Should malformed XML always be rejected, or is controlled best-effort repair acceptable for specific known source defects?</w:t>
      </w:r>
    </w:p>
    <w:p>
      <w:pPr>
        <w:pStyle w:val="ListBullet"/>
      </w:pPr>
      <w:r>
        <w:t>Should PII be masked, tokenised or restricted in [pbi_vw] outputs?</w:t>
      </w:r>
    </w:p>
    <w:p>
      <w:pPr>
        <w:pStyle w:val="Heading1"/>
      </w:pPr>
      <w:r>
        <w:t>Appendix A - Minimal SQL object examples</w:t>
      </w:r>
    </w:p>
    <w:p>
      <w:pPr>
        <w:pStyle w:val="CodeBlock"/>
      </w:pPr>
      <w:r>
        <w:t>CREATE SCHEMA [pronto_vw];</w:t>
        <w:br/>
        <w:t>GO</w:t>
        <w:br/>
        <w:t>CREATE SCHEMA [pbi_vw];</w:t>
        <w:br/>
        <w:t>GO</w:t>
        <w:br/>
        <w:br/>
        <w:t>-- Generic validation query over parsed primitive output</w:t>
        <w:br/>
        <w:t>CREATE OR ALTER VIEW [pronto_vw].[vw_xml_sample_primitives] AS</w:t>
        <w:br/>
        <w:t>SELECT TOP (1000)</w:t>
        <w:br/>
        <w:t xml:space="preserve">    source_table,</w:t>
        <w:br/>
        <w:t xml:space="preserve">    source_record_key,</w:t>
        <w:br/>
        <w:t xml:space="preserve">    report_id,</w:t>
        <w:br/>
        <w:t xml:space="preserve">    document_form_name,</w:t>
        <w:br/>
        <w:t xml:space="preserve">    record_path,</w:t>
        <w:br/>
        <w:t xml:space="preserve">    field_name,</w:t>
        <w:br/>
        <w:t xml:space="preserve">    field_value</w:t>
        <w:br/>
        <w:t>FROM [pronto].[xml_primitive_field];</w:t>
        <w:br/>
        <w:t>GO</w:t>
      </w:r>
    </w:p>
    <w:p>
      <w:pPr>
        <w:pStyle w:val="Heading1"/>
      </w:pPr>
      <w:r>
        <w:t>Appendix B - Implementation principle</w:t>
      </w:r>
    </w:p>
    <w:p>
      <w:r>
        <w:t>Keep the notebook generic and reusable. The notebook should decode and parse XML into generic [pronto] outputs. Business meaning, naming, filtering, data types and Power BI-specific joins should be implemented in [pronto_vw] and [pbi_vw] SQL views where they are easier to review, amend and version-control.</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SYP XML Processing Design Document | Draft v0.2 | Internal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2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