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  <w:lang w:val="en-US" w:eastAsia="en-US" w:bidi="ar-SA"/>
        </w:rPr>
        <w:t>Результат расчета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 w:bidi="ar-SA"/>
        </w:rPr>
        <w:t>Методика расчета</w:t>
      </w:r>
      <w:r>
        <w:rPr>
          <w:rFonts w:ascii="Arial" w:hAnsi="Arial" w:eastAsia="Arial"/>
          <w:b/>
          <w:bCs/>
          <w:sz w:val="20"/>
          <w:szCs w:val="20"/>
          <w:lang w:val="en-US" w:eastAsia="zh-CN"/>
        </w:rPr>
        <w:t>：</w:t>
      </w:r>
      <w:r>
        <w:rPr>
          <w:rFonts w:eastAsia="Arial" w:ascii="Arial" w:hAnsi="Arial"/>
          <w:sz w:val="20"/>
          <w:szCs w:val="20"/>
          <w:lang w:val="en-US" w:eastAsia="zh-CN"/>
        </w:rPr>
        <w:t>{calcMethodName}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Общее количество аппаратуры или средств перекачки, шт.: </w:t>
      </w:r>
      <w:r>
        <w:rPr>
          <w:rFonts w:eastAsia="Arial" w:ascii="Arial" w:hAnsi="Arial"/>
          <w:sz w:val="20"/>
          <w:szCs w:val="20"/>
          <w:lang w:val="en-US" w:eastAsia="zh-CN"/>
        </w:rPr>
        <w:t>{pumpsTotalAmount}</w:t>
        <w:tab/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Одновременно работающее количество аппаратуры или средств перекачки, шт.: </w:t>
      </w:r>
      <w:r>
        <w:rPr>
          <w:rFonts w:eastAsia="Arial" w:ascii="Arial" w:hAnsi="Arial"/>
          <w:b/>
          <w:bCs/>
          <w:sz w:val="20"/>
          <w:szCs w:val="20"/>
          <w:lang w:val="en-US" w:eastAsia="zh-CN" w:bidi="ar-SA"/>
        </w:rPr>
        <w:t>{</w:t>
      </w:r>
      <w:r>
        <w:rPr>
          <w:rFonts w:eastAsia="Arial" w:ascii="Arial" w:hAnsi="Arial"/>
          <w:b w:val="false"/>
          <w:bCs w:val="false"/>
          <w:sz w:val="20"/>
          <w:szCs w:val="20"/>
          <w:lang w:val="en-US" w:eastAsia="zh-CN" w:bidi="ar-SA"/>
        </w:rPr>
        <w:t>sameTimeOperatingPumpsQty</w:t>
      </w:r>
      <w:r>
        <w:rPr>
          <w:rFonts w:eastAsia="Arial" w:ascii="Arial" w:hAnsi="Arial"/>
          <w:sz w:val="20"/>
          <w:szCs w:val="20"/>
          <w:lang w:val="en-US" w:eastAsia="zh-CN" w:bidi="ar-SA"/>
        </w:rPr>
        <w:t>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</w:rPr>
        <w:t xml:space="preserve">Время работы одной единицы оборудования, час/год: </w:t>
      </w:r>
      <w:r>
        <w:rPr>
          <w:rFonts w:eastAsia="Arial" w:ascii="Arial" w:hAnsi="Arial"/>
          <w:sz w:val="20"/>
          <w:szCs w:val="20"/>
        </w:rPr>
        <w:t>{hourWorked}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</w:rPr>
        <w:t xml:space="preserve">Максимальный из разовых выбросов, г/с (8.1): G = </w:t>
      </w:r>
      <w:r>
        <w:rPr>
          <w:rFonts w:eastAsia="Arial" w:ascii="Arial" w:hAnsi="Arial"/>
          <w:sz w:val="20"/>
          <w:szCs w:val="20"/>
        </w:rPr>
        <w:t>{maxOneTimeEmissionGsec}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</w:rPr>
        <w:t xml:space="preserve">Валовый выброс, т/год (8.2): M = </w:t>
      </w:r>
      <w:r>
        <w:rPr>
          <w:rFonts w:eastAsia="Arial" w:ascii="Arial" w:hAnsi="Arial"/>
          <w:sz w:val="20"/>
          <w:szCs w:val="20"/>
        </w:rPr>
        <w:t xml:space="preserve"> {grossEmissionTyear}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</w:rPr>
        <w:t>Продукт</w:t>
      </w:r>
      <w:r>
        <w:rPr>
          <w:rFonts w:eastAsia="Arial" w:ascii="Arial" w:hAnsi="Arial"/>
          <w:b/>
          <w:bCs/>
          <w:sz w:val="20"/>
          <w:szCs w:val="20"/>
        </w:rPr>
        <w:t>:</w:t>
      </w:r>
      <w:r>
        <w:rPr>
          <w:rFonts w:eastAsia="Arial" w:ascii="Arial" w:hAnsi="Arial"/>
          <w:sz w:val="20"/>
          <w:szCs w:val="20"/>
        </w:rPr>
        <w:t xml:space="preserve"> </w:t>
      </w:r>
      <w:r>
        <w:rPr>
          <w:rFonts w:eastAsia="Arial"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>selectedCoefficientName</w:t>
      </w:r>
      <w:r>
        <w:rPr>
          <w:rFonts w:eastAsia="Arial" w:ascii="Arial" w:hAnsi="Arial"/>
          <w:sz w:val="20"/>
          <w:szCs w:val="20"/>
        </w:rPr>
        <w:t>}</w:t>
      </w:r>
    </w:p>
    <w:p>
      <w:pPr>
        <w:pStyle w:val="Normal"/>
        <w:bidi w:val="0"/>
        <w:rPr>
          <w:rFonts w:ascii="Arial" w:hAnsi="Arial" w:eastAsia="Arial" w:cs="Times New Roman"/>
          <w:b/>
          <w:b/>
          <w:bCs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Times New Roman" w:ascii="Arial" w:hAnsi="Arial"/>
          <w:b/>
          <w:bCs/>
          <w:color w:val="auto"/>
          <w:kern w:val="0"/>
          <w:sz w:val="20"/>
          <w:szCs w:val="20"/>
          <w:lang w:val="en-US" w:eastAsia="en-US" w:bidi="ar-SA"/>
        </w:rPr>
        <w:t>Таблица выбранных коэффициентов: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3570"/>
        <w:gridCol w:w="1829"/>
      </w:tblGrid>
      <w:tr>
        <w:trPr>
          <w:tblHeader w:val="true"/>
        </w:trPr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Код ЗВ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ЗВ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>
                <w:rFonts w:ascii="Arial" w:hAnsi="Arial" w:eastAsia="Calibri" w:cs="Times New Roman"/>
                <w:b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Times New Roman" w:ascii="Arial" w:hAnsi="Arial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Коэффициент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{#polCoefficents</w:t>
            </w:r>
          </w:p>
          <w:p>
            <w:pPr>
              <w:pStyle w:val="Style23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}{</w:t>
            </w:r>
            <w:r>
              <w:rPr>
                <w:rFonts w:ascii="Arial" w:hAnsi="Arial"/>
                <w:sz w:val="20"/>
                <w:szCs w:val="20"/>
                <w:lang w:val="en-US" w:eastAsia="en-US" w:bidi="ar-SA"/>
              </w:rPr>
              <w:t>polCode</w:t>
            </w:r>
            <w:r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</w:t>
            </w:r>
            <w:r>
              <w:rPr>
                <w:rFonts w:ascii="Arial" w:hAnsi="Arial"/>
                <w:sz w:val="20"/>
                <w:szCs w:val="20"/>
                <w:lang w:val="en-US" w:eastAsia="en-US" w:bidi="ar-SA"/>
              </w:rPr>
              <w:t>polName</w:t>
            </w:r>
            <w:r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18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</w:t>
            </w:r>
            <w:r>
              <w:rPr>
                <w:rFonts w:ascii="Arial" w:hAnsi="Arial"/>
                <w:sz w:val="20"/>
                <w:szCs w:val="20"/>
                <w:lang w:val="en-US" w:eastAsia="en-US" w:bidi="ar-SA"/>
              </w:rPr>
              <w:t>coef</w:t>
            </w:r>
            <w:r>
              <w:rPr>
                <w:rFonts w:ascii="Arial" w:hAnsi="Arial"/>
                <w:sz w:val="20"/>
                <w:szCs w:val="20"/>
              </w:rPr>
              <w:t>}{/polCoefficents}</w:t>
            </w:r>
          </w:p>
        </w:tc>
      </w:tr>
    </w:tbl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</w:rPr>
        <w:t>Теплообменный аппарат или средство перекачки в зависимости от вида нефтепродукта и средней температуры кипения жидкости, Удельный выброс, кг/час(табл. 8.1):</w:t>
      </w:r>
      <w:r>
        <w:rPr>
          <w:rFonts w:eastAsia="Arial" w:ascii="Arial" w:hAnsi="Arial"/>
          <w:sz w:val="20"/>
          <w:szCs w:val="20"/>
        </w:rPr>
        <w:t xml:space="preserve"> </w:t>
      </w:r>
      <w:r>
        <w:rPr>
          <w:rFonts w:eastAsia="Arial" w:ascii="Arial" w:hAnsi="Arial"/>
          <w:sz w:val="20"/>
          <w:szCs w:val="20"/>
        </w:rPr>
        <w:t>{specificEmissionKgh} {</w:t>
      </w:r>
      <w:r>
        <w:rPr>
          <w:rFonts w:ascii="Arial" w:hAnsi="Arial"/>
          <w:sz w:val="20"/>
          <w:szCs w:val="20"/>
        </w:rPr>
        <w:t>specificEmissionKghName</w:t>
      </w:r>
      <w:r>
        <w:rPr>
          <w:rFonts w:eastAsia="Arial" w:ascii="Arial" w:hAnsi="Arial"/>
          <w:sz w:val="20"/>
          <w:szCs w:val="20"/>
        </w:rPr>
        <w:t>}</w:t>
      </w:r>
    </w:p>
    <w:p>
      <w:pPr>
        <w:pStyle w:val="Normal"/>
        <w:bidi w:val="0"/>
        <w:rPr>
          <w:b/>
          <w:b/>
          <w:bCs/>
        </w:rPr>
      </w:pPr>
      <w:r>
        <w:rPr>
          <w:rFonts w:eastAsia="Arial" w:ascii="Arial" w:hAnsi="Arial"/>
          <w:b/>
          <w:bCs/>
          <w:sz w:val="20"/>
          <w:szCs w:val="20"/>
        </w:rPr>
        <w:t>Результат расчета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59"/>
      </w:tblGrid>
      <w:tr>
        <w:trPr>
          <w:tblHeader w:val="true"/>
        </w:trPr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Код ЗВ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ЗВ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Выбросы, г/сек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Выбросы, т/год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{#calcRez}{code}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{name}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{gseccoef}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{tyearcoef}{/calcRez}</w:t>
            </w:r>
          </w:p>
        </w:tc>
      </w:tr>
    </w:tbl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</w:r>
    </w:p>
    <w:p>
      <w:pPr>
        <w:pStyle w:val="Normal"/>
        <w:bidi w:val="0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1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200"/>
      <w:rPr/>
    </w:pPr>
    <w:hyperlink r:id="rId1">
      <w:r>
        <w:rPr>
          <w:rStyle w:val="Style13"/>
          <w:rFonts w:ascii="Arial" w:hAnsi="Arial"/>
          <w:sz w:val="16"/>
          <w:szCs w:val="16"/>
        </w:rPr>
        <w:t>https://promo.ecomarine.kz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2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uiPriority w:val="1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5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link w:val="4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link w:val="12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Normal"/>
    <w:link w:val="11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1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romo.ecomarine.kz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LibreOffice/6.3.5.2$Linux_X86_64 LibreOffice_project/30$Build-2</Application>
  <Pages>1</Pages>
  <Words>96</Words>
  <Characters>851</Characters>
  <CharactersWithSpaces>920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ru-RU</dc:language>
  <cp:lastModifiedBy/>
  <dcterms:modified xsi:type="dcterms:W3CDTF">2020-04-21T20:12:33Z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