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barrenjoey-accounting-validation-report"/>
      <w:r>
        <w:t xml:space="preserve">Barrenjoey — Accounting Validation Report</w:t>
      </w:r>
      <w:bookmarkEnd w:id="2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Independent first-principles calculation of expected accounting outputs for both deals, to validate the app’s</w:t>
      </w:r>
      <w:r>
        <w:t xml:space="preserve"> </w:t>
      </w:r>
      <w:r>
        <w:rPr>
          <w:rStyle w:val="VerbatimChar"/>
        </w:rPr>
        <w:t xml:space="preserve">Run Accounting</w:t>
      </w:r>
      <w:r>
        <w:t xml:space="preserve"> </w:t>
      </w:r>
      <w:r>
        <w:t xml:space="preserve">results.</w:t>
      </w:r>
    </w:p>
    <w:p>
      <w:pPr>
        <w:pStyle w:val="BodyText"/>
      </w:pPr>
      <w:r>
        <w:rPr>
          <w:b/>
        </w:rPr>
        <w:t xml:space="preserve">Method:</w:t>
      </w:r>
      <w:r>
        <w:t xml:space="preserve"> </w:t>
      </w:r>
      <w:r>
        <w:t xml:space="preserve">Compute each figure from the DB-persisted inputs using the term-sheet mechanics. Compare against the app’s Evidence Pack / JE Trace / Cashflow output.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al-1-barrenjoey-re-mezzanine"/>
      <w:r>
        <w:t xml:space="preserve">Deal 1 — Barrenjoey RE Mezzanine</w:t>
      </w:r>
      <w:bookmarkEnd w:id="21"/>
    </w:p>
    <w:p>
      <w:pPr>
        <w:pStyle w:val="Heading3"/>
      </w:pPr>
      <w:bookmarkStart w:id="22" w:name="confirmed-db-inputs"/>
      <w:r>
        <w:t xml:space="preserve">Confirmed DB inputs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Settlement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2026-04-30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2028-11-30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Days to maturity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945 days</w:t>
            </w:r>
            <w:r>
              <w:t xml:space="preserve"> </w:t>
            </w:r>
            <w:r>
              <w:t xml:space="preserve">(= 2.589 years on ACT/365)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Facility commitment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$28,000,000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basis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ACT/365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Tranche A face</w:t>
            </w:r>
          </w:p>
        </w:tc>
        <w:tc>
          <w:p>
            <w:pPr>
              <w:pStyle w:val="Compact"/>
              <w:jc w:val="left"/>
            </w:pPr>
            <w:r>
              <w:t xml:space="preserve">$26,000,000 · PIK ✓ · monthly cap · FIXED 16.5% · cash-serviced 6% from Y2, cap $3,060,000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Tranche B face</w:t>
            </w:r>
          </w:p>
        </w:tc>
        <w:tc>
          <w:p>
            <w:pPr>
              <w:pStyle w:val="Compact"/>
              <w:jc w:val="left"/>
            </w:pPr>
            <w:r>
              <w:t xml:space="preserve">$2,060,000 · PIK ✓ · monthly cap · FIXED 16.5% · no cash servicing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face (both tranches)</w:t>
            </w:r>
          </w:p>
        </w:tc>
        <w:tc>
          <w:p>
            <w:pPr>
              <w:pStyle w:val="Compact"/>
              <w:jc w:val="left"/>
            </w:pPr>
            <w:r>
              <w:t xml:space="preserve">$28,060,000</w:t>
            </w:r>
          </w:p>
        </w:tc>
      </w:tr>
    </w:tbl>
    <w:p>
      <w:pPr>
        <w:pStyle w:val="Heading3"/>
      </w:pPr>
      <w:bookmarkStart w:id="23" w:name="expected-outputs"/>
      <w:r>
        <w:t xml:space="preserve">Expected outputs</w:t>
      </w:r>
      <w:bookmarkEnd w:id="23"/>
    </w:p>
    <w:p>
      <w:pPr>
        <w:pStyle w:val="Heading4"/>
      </w:pPr>
      <w:bookmarkStart w:id="24" w:name="eir-panel"/>
      <w:r>
        <w:t xml:space="preserve">EIR panel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Coupon (face-weighted across both tranches):</w:t>
      </w:r>
      <w:r>
        <w:t xml:space="preserve"> </w:t>
      </w:r>
      <w:r>
        <w:t xml:space="preserve">both tranches are 16.5%, so blended =</w:t>
      </w:r>
      <w:r>
        <w:t xml:space="preserve"> </w:t>
      </w:r>
      <w:r>
        <w:rPr>
          <w:b/>
        </w:rPr>
        <w:t xml:space="preserve">16.5000%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Effective yield:</w:t>
      </w:r>
      <w:r>
        <w:t xml:space="preserve"> </w:t>
      </w:r>
      <w:r>
        <w:t xml:space="preserve">likely</w:t>
      </w:r>
      <w:r>
        <w:t xml:space="preserve"> </w:t>
      </w:r>
      <w:r>
        <w:rPr>
          <w:b/>
        </w:rPr>
        <w:t xml:space="preserve">null</w:t>
      </w:r>
      <w:r>
        <w:t xml:space="preserve"> </w:t>
      </w:r>
      <w:r>
        <w:t xml:space="preserve">— both tranches have</w:t>
      </w:r>
      <w:r>
        <w:t xml:space="preserve"> </w:t>
      </w:r>
      <w:r>
        <w:rPr>
          <w:rStyle w:val="VerbatimChar"/>
        </w:rPr>
        <w:t xml:space="preserve">amort.method = 'none'</w:t>
      </w:r>
      <w:r>
        <w:t xml:space="preserve"> </w:t>
      </w:r>
      <w:r>
        <w:t xml:space="preserve">(default), so the engine returns coupon only. Display should read</w:t>
      </w:r>
      <w:r>
        <w:t xml:space="preserve"> </w:t>
      </w:r>
      <w:r>
        <w:rPr>
          <w:rStyle w:val="VerbatimChar"/>
        </w:rPr>
        <w:t xml:space="preserve">"16.5000% (coupon, no amort)"</w:t>
      </w:r>
      <w:r>
        <w:t xml:space="preserve"> </w:t>
      </w:r>
      <w:r>
        <w:t xml:space="preserve">OR the face-weighted aggregation string.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Note text:</w:t>
      </w:r>
      <w:r>
        <w:t xml:space="preserve"> </w:t>
      </w:r>
      <w:r>
        <w:rPr>
          <w:rStyle w:val="VerbatimChar"/>
        </w:rPr>
        <w:t xml:space="preserve">"Fixed coupon 16.5000%"</w:t>
      </w:r>
      <w:r>
        <w:t xml:space="preserve"> </w:t>
      </w:r>
      <w:r>
        <w:t xml:space="preserve">or similar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Nominal 16.5% p.a. compounded monthly → EAR = (1 + 0.165/12)^12 − 1 = 17.815%</w:t>
      </w:r>
      <w:r>
        <w:t xml:space="preserve"> </w:t>
      </w:r>
      <w:r>
        <w:t xml:space="preserve">— this is what the</w:t>
      </w:r>
      <w:r>
        <w:t xml:space="preserve"> </w:t>
      </w:r>
      <w:r>
        <w:rPr>
          <w:i/>
        </w:rPr>
        <w:t xml:space="preserve">effective</w:t>
      </w:r>
      <w:r>
        <w:t xml:space="preserve"> </w:t>
      </w:r>
      <w:r>
        <w:t xml:space="preserve">rate would be if the engine chose to surface it; useful benchmark</w:t>
      </w:r>
    </w:p>
    <w:p>
      <w:pPr>
        <w:pStyle w:val="Heading4"/>
      </w:pPr>
      <w:bookmarkStart w:id="25" w:name="daily-interest-accrual-once-drawn"/>
      <w:r>
        <w:t xml:space="preserve">Daily interest accrual (once drawn)</w:t>
      </w:r>
      <w:bookmarkEnd w:id="25"/>
    </w:p>
    <w:p>
      <w:pPr>
        <w:pStyle w:val="FirstParagraph"/>
      </w:pPr>
      <w:r>
        <w:t xml:space="preserve">For every $1m of principal: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Daily accrual: $1,000,000 × 16.5% / 365 = $452.05 per day per $1m drawn</w:t>
      </w:r>
      <w:r>
        <w:t xml:space="preserve"> </w:t>
      </w:r>
      <w:r>
        <w:t xml:space="preserve">- Per $10m:</w:t>
      </w:r>
      <w:r>
        <w:t xml:space="preserve"> </w:t>
      </w:r>
      <w:r>
        <w:rPr>
          <w:b/>
        </w:rPr>
        <w:t xml:space="preserve">$4,520.55/day</w:t>
      </w:r>
      <w:r>
        <w:t xml:space="preserve"> </w:t>
      </w:r>
      <w:r>
        <w:t xml:space="preserve">- Per $28m fully drawn:</w:t>
      </w:r>
      <w:r>
        <w:t xml:space="preserve"> </w:t>
      </w:r>
      <w:r>
        <w:rPr>
          <w:b/>
        </w:rPr>
        <w:t xml:space="preserve">$12,657.53/day</w:t>
      </w:r>
    </w:p>
    <w:p>
      <w:pPr>
        <w:pStyle w:val="Heading4"/>
      </w:pPr>
      <w:bookmarkStart w:id="26" w:name="Xe5f51b9e13ff71d3d43779ff7caeb5cd7494945"/>
      <w:r>
        <w:t xml:space="preserve">First month accrual (if $10m drawn at close)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31 days from 2026-04-30 → 2026-05-31</w:t>
      </w:r>
    </w:p>
    <w:p>
      <w:pPr>
        <w:numPr>
          <w:ilvl w:val="0"/>
          <w:numId w:val="1002"/>
        </w:numPr>
        <w:pStyle w:val="Compact"/>
      </w:pPr>
      <w:r>
        <w:t xml:space="preserve">Accrual: $10,000,000 × 16.5% × 31/365 =</w:t>
      </w:r>
      <w:r>
        <w:t xml:space="preserve"> </w:t>
      </w:r>
      <w:r>
        <w:rPr>
          <w:b/>
        </w:rPr>
        <w:t xml:space="preserve">$140,136.99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JEs at 2026-05-31:</w:t>
      </w:r>
    </w:p>
    <w:p>
      <w:pPr>
        <w:numPr>
          <w:ilvl w:val="1"/>
          <w:numId w:val="1003"/>
        </w:numPr>
        <w:pStyle w:val="Compact"/>
      </w:pPr>
      <w:r>
        <w:t xml:space="preserve">Dr Interest Receivable $140,136.99 / Cr Interest Income $140,136.99</w:t>
      </w:r>
    </w:p>
    <w:p>
      <w:pPr>
        <w:numPr>
          <w:ilvl w:val="1"/>
          <w:numId w:val="1003"/>
        </w:numPr>
        <w:pStyle w:val="Compact"/>
      </w:pPr>
      <w:r>
        <w:t xml:space="preserve">Dr Loan Receivable $140,136.99 / Cr Interest Receivable $140,136.99</w:t>
      </w:r>
      <w:r>
        <w:t xml:space="preserve"> </w:t>
      </w:r>
      <w:r>
        <w:rPr>
          <w:i/>
        </w:rPr>
        <w:t xml:space="preserve">(capitalisation)</w:t>
      </w:r>
    </w:p>
    <w:p>
      <w:pPr>
        <w:numPr>
          <w:ilvl w:val="0"/>
          <w:numId w:val="1002"/>
        </w:numPr>
        <w:pStyle w:val="Compact"/>
      </w:pPr>
      <w:r>
        <w:t xml:space="preserve">New Loan A balance after capitalisation:</w:t>
      </w:r>
      <w:r>
        <w:t xml:space="preserve"> </w:t>
      </w:r>
      <w:r>
        <w:rPr>
          <w:b/>
        </w:rPr>
        <w:t xml:space="preserve">$10,140,136.99</w:t>
      </w:r>
    </w:p>
    <w:p>
      <w:pPr>
        <w:pStyle w:val="Heading4"/>
      </w:pPr>
      <w:bookmarkStart w:id="27" w:name="X6b8e49bb116a8401da6d45020b4ee6587ca1d94"/>
      <w:r>
        <w:t xml:space="preserve">Y1 capitalised coupon (assuming $10m drawn on close, no other draws)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$10m × (1 + 0.165/12)^12 = $10m × 1.178141 =</w:t>
      </w:r>
      <w:r>
        <w:t xml:space="preserve"> </w:t>
      </w:r>
      <w:r>
        <w:rPr>
          <w:b/>
        </w:rPr>
        <w:t xml:space="preserve">$11,781,410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Capitalised coupon Y1: $1,781,410</w:t>
      </w:r>
    </w:p>
    <w:p>
      <w:pPr>
        <w:pStyle w:val="Heading4"/>
      </w:pPr>
      <w:bookmarkStart w:id="28" w:name="X7fa98b253140bce263d1ea4d6bdb81ae5080e29"/>
      <w:r>
        <w:t xml:space="preserve">Full-life capitalised coupon (illustrative — Tranche A only, drawn $10m at close, no cash servicing yet)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31 months monthly comp: $10m × (1 + 0.165/12)^31 =</w:t>
      </w:r>
      <w:r>
        <w:t xml:space="preserve"> </w:t>
      </w:r>
      <w:r>
        <w:rPr>
          <w:b/>
        </w:rPr>
        <w:t xml:space="preserve">$14,839,000</w:t>
      </w:r>
      <w:r>
        <w:t xml:space="preserve"> </w:t>
      </w:r>
      <w:r>
        <w:t xml:space="preserve">at maturity</w:t>
      </w:r>
    </w:p>
    <w:p>
      <w:pPr>
        <w:numPr>
          <w:ilvl w:val="0"/>
          <w:numId w:val="1005"/>
        </w:numPr>
        <w:pStyle w:val="Compact"/>
      </w:pPr>
      <w:r>
        <w:t xml:space="preserve">Capitalised coupon over life:</w:t>
      </w:r>
      <w:r>
        <w:t xml:space="preserve"> </w:t>
      </w:r>
      <w:r>
        <w:rPr>
          <w:b/>
        </w:rPr>
        <w:t xml:space="preserve">~$4,839,000</w:t>
      </w:r>
      <w:r>
        <w:t xml:space="preserve"> </w:t>
      </w:r>
      <w:r>
        <w:t xml:space="preserve">(before Investor A’s cash servicing carve-out)</w:t>
      </w:r>
    </w:p>
    <w:p>
      <w:pPr>
        <w:pStyle w:val="Heading4"/>
      </w:pPr>
      <w:bookmarkStart w:id="29" w:name="investor-a-cash-servicing-schedule"/>
      <w:r>
        <w:t xml:space="preserve">Investor A cash-servicing schedule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Nominal annual: $26,000,000 × 6% =</w:t>
      </w:r>
      <w:r>
        <w:t xml:space="preserve"> </w:t>
      </w:r>
      <w:r>
        <w:rPr>
          <w:b/>
        </w:rPr>
        <w:t xml:space="preserve">$1,560,000</w:t>
      </w:r>
    </w:p>
    <w:p>
      <w:pPr>
        <w:numPr>
          <w:ilvl w:val="0"/>
          <w:numId w:val="1006"/>
        </w:numPr>
        <w:pStyle w:val="Compact"/>
      </w:pPr>
      <w:r>
        <w:t xml:space="preserve">Payment date: 2 weeks before each anniversary of first utilisation</w:t>
      </w:r>
    </w:p>
    <w:p>
      <w:pPr>
        <w:numPr>
          <w:ilvl w:val="0"/>
          <w:numId w:val="1006"/>
        </w:numPr>
        <w:pStyle w:val="Compact"/>
      </w:pPr>
      <w:r>
        <w:t xml:space="preserve">Start: Year 2 →</w:t>
      </w:r>
      <w:r>
        <w:t xml:space="preserve"> </w:t>
      </w:r>
      <w:r>
        <w:rPr>
          <w:b/>
        </w:rPr>
        <w:t xml:space="preserve">2028-04-16</w:t>
      </w:r>
      <w:r>
        <w:t xml:space="preserve"> </w:t>
      </w:r>
      <w:r>
        <w:t xml:space="preserve">(14 days before 2028-04-30 anniversary)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1 payment before maturity (2028-11-30): $1,560,000 on 2028-04-16</w:t>
      </w:r>
    </w:p>
    <w:p>
      <w:pPr>
        <w:numPr>
          <w:ilvl w:val="1"/>
          <w:numId w:val="1007"/>
        </w:numPr>
        <w:pStyle w:val="Compact"/>
      </w:pPr>
      <w:r>
        <w:t xml:space="preserve">Cumulative cash-serviced at maturity: $1.56m (well under $3.06m cap)</w:t>
      </w:r>
    </w:p>
    <w:p>
      <w:pPr>
        <w:numPr>
          <w:ilvl w:val="0"/>
          <w:numId w:val="1006"/>
        </w:numPr>
        <w:pStyle w:val="Compact"/>
      </w:pPr>
      <w:r>
        <w:t xml:space="preserve">Waterfall input at exit: capitalised coupon balance is</w:t>
      </w:r>
      <w:r>
        <w:t xml:space="preserve"> </w:t>
      </w:r>
      <w:r>
        <w:rPr>
          <w:b/>
        </w:rPr>
        <w:t xml:space="preserve">net of</w:t>
      </w:r>
      <w:r>
        <w:t xml:space="preserve"> </w:t>
      </w:r>
      <w:r>
        <w:t xml:space="preserve">this $1.56m already paid in cash</w:t>
      </w:r>
    </w:p>
    <w:p>
      <w:pPr>
        <w:pStyle w:val="Heading4"/>
      </w:pPr>
      <w:bookmarkStart w:id="30" w:name="fees-at-close"/>
      <w:r>
        <w:t xml:space="preserve">Fees at close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IFRS treatment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Upfront fee (2% × commitment)</w:t>
            </w:r>
          </w:p>
        </w:tc>
        <w:tc>
          <w:p>
            <w:pPr>
              <w:pStyle w:val="Compact"/>
              <w:jc w:val="left"/>
            </w:pPr>
            <w:r>
              <w:t xml:space="preserve">$28m × 2% =</w:t>
            </w:r>
            <w:r>
              <w:t xml:space="preserve"> </w:t>
            </w:r>
            <w:r>
              <w:rPr>
                <w:b/>
              </w:rPr>
              <w:t xml:space="preserve">$560,000</w:t>
            </w:r>
          </w:p>
        </w:tc>
        <w:tc>
          <w:p>
            <w:pPr>
              <w:pStyle w:val="Compact"/>
              <w:jc w:val="left"/>
            </w:pPr>
            <w:r>
              <w:t xml:space="preserve">Investor A</w:t>
            </w:r>
          </w:p>
        </w:tc>
        <w:tc>
          <w:p>
            <w:pPr>
              <w:pStyle w:val="Compact"/>
              <w:jc w:val="left"/>
            </w:pPr>
            <w:r>
              <w:t xml:space="preserve">ASC310-20-pointInTime (or EIR — check app)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Barrenjoey origination fee (1.25%)</w:t>
            </w:r>
          </w:p>
        </w:tc>
        <w:tc>
          <w:p>
            <w:pPr>
              <w:pStyle w:val="Compact"/>
              <w:jc w:val="left"/>
            </w:pPr>
            <w:r>
              <w:t xml:space="preserve">$28m × 1.25% =</w:t>
            </w:r>
            <w:r>
              <w:t xml:space="preserve"> </w:t>
            </w:r>
            <w:r>
              <w:rPr>
                <w:b/>
              </w:rPr>
              <w:t xml:space="preserve">$350,000</w:t>
            </w:r>
          </w:p>
        </w:tc>
        <w:tc>
          <w:p>
            <w:pPr>
              <w:pStyle w:val="Compact"/>
              <w:jc w:val="left"/>
            </w:pPr>
            <w:r>
              <w:t xml:space="preserve">Barrenjoey</w:t>
            </w:r>
          </w:p>
        </w:tc>
        <w:tc>
          <w:p>
            <w:pPr>
              <w:pStyle w:val="Compact"/>
              <w:jc w:val="left"/>
            </w:pPr>
            <w:r>
              <w:t xml:space="preserve">ASC310-20-EIR (deferred, amortised)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Barrenjoey management fee (50 bps p.a.)</w:t>
            </w:r>
          </w:p>
        </w:tc>
        <w:tc>
          <w:p>
            <w:pPr>
              <w:pStyle w:val="Compact"/>
              <w:jc w:val="left"/>
            </w:pPr>
            <w:r>
              <w:t xml:space="preserve">on drawn balance, annual</w:t>
            </w:r>
          </w:p>
        </w:tc>
        <w:tc>
          <w:p>
            <w:pPr>
              <w:pStyle w:val="Compact"/>
              <w:jc w:val="left"/>
            </w:pPr>
            <w:r>
              <w:t xml:space="preserve">Barrenjoey</w:t>
            </w:r>
          </w:p>
        </w:tc>
        <w:tc>
          <w:p>
            <w:pPr>
              <w:pStyle w:val="Compact"/>
              <w:jc w:val="left"/>
            </w:pPr>
            <w:r>
              <w:t xml:space="preserve">ASC606-overTime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Barrenjoey performance fee (20% over 16% IRR)</w:t>
            </w:r>
          </w:p>
        </w:tc>
        <w:tc>
          <w:p>
            <w:pPr>
              <w:pStyle w:val="Compact"/>
              <w:jc w:val="left"/>
            </w:pPr>
            <w:r>
              <w:t xml:space="preserve">contingent on exit</w:t>
            </w:r>
          </w:p>
        </w:tc>
        <w:tc>
          <w:p>
            <w:pPr>
              <w:pStyle w:val="Compact"/>
              <w:jc w:val="left"/>
            </w:pPr>
            <w:r>
              <w:t xml:space="preserve">Barrenjoey</w:t>
            </w:r>
          </w:p>
        </w:tc>
        <w:tc>
          <w:p>
            <w:pPr>
              <w:pStyle w:val="Compact"/>
              <w:jc w:val="left"/>
            </w:pPr>
            <w:r>
              <w:t xml:space="preserve">One-off at maturity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Investor B tiered exit fees (20/22.5/20 IRR hurdles)</w:t>
            </w:r>
          </w:p>
        </w:tc>
        <w:tc>
          <w:p>
            <w:pPr>
              <w:pStyle w:val="Compact"/>
              <w:jc w:val="left"/>
            </w:pPr>
            <w:r>
              <w:t xml:space="preserve">waterfall</w:t>
            </w:r>
          </w:p>
        </w:tc>
        <w:tc>
          <w:p>
            <w:pPr>
              <w:pStyle w:val="Compact"/>
              <w:jc w:val="left"/>
            </w:pPr>
            <w:r>
              <w:t xml:space="preserve">Investor B</w:t>
            </w:r>
          </w:p>
        </w:tc>
        <w:tc>
          <w:p>
            <w:pPr>
              <w:pStyle w:val="Compact"/>
              <w:jc w:val="left"/>
            </w:pPr>
            <w:r>
              <w:t xml:space="preserve">One-off at maturity</w:t>
            </w:r>
          </w:p>
        </w:tc>
      </w:tr>
    </w:tbl>
    <w:p>
      <w:pPr>
        <w:pStyle w:val="Heading4"/>
      </w:pPr>
      <w:bookmarkStart w:id="31" w:name="X32a276366ad7ffd1ee1004f4c2c60040344e6f0"/>
      <w:r>
        <w:t xml:space="preserve">Base management fee — Barrenjoey (50 bps on drawn)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If average drawn = $15m over Y1:</w:t>
      </w:r>
      <w:r>
        <w:t xml:space="preserve"> </w:t>
      </w:r>
      <w:r>
        <w:rPr>
          <w:b/>
        </w:rPr>
        <w:t xml:space="preserve">$15m × 0.005 = $75,000/year</w:t>
      </w:r>
    </w:p>
    <w:p>
      <w:pPr>
        <w:numPr>
          <w:ilvl w:val="0"/>
          <w:numId w:val="1008"/>
        </w:numPr>
        <w:pStyle w:val="Compact"/>
      </w:pPr>
      <w:r>
        <w:t xml:space="preserve">Monthly: ~$6,250 recognised over time (ASC 606)</w:t>
      </w:r>
    </w:p>
    <w:p>
      <w:pPr>
        <w:pStyle w:val="Heading4"/>
      </w:pPr>
      <w:bookmarkStart w:id="32" w:name="X66f19d6659003fcac85beaee16b351104ecaa65"/>
      <w:r>
        <w:t xml:space="preserve">Expected JEs at close (2026-04-30) — sample $10m Tranche A + $2.06m Tranche B drawn</w:t>
      </w:r>
      <w:bookmarkEnd w:id="32"/>
    </w:p>
    <w:p>
      <w:pPr>
        <w:pStyle w:val="SourceCode"/>
      </w:pPr>
      <w:r>
        <w:rPr>
          <w:rStyle w:val="VerbatimChar"/>
        </w:rPr>
        <w:t xml:space="preserve">Dr  Loan Receivable — Investor A            $10,000,000</w:t>
      </w:r>
      <w:r>
        <w:br/>
      </w:r>
      <w:r>
        <w:rPr>
          <w:rStyle w:val="VerbatimChar"/>
        </w:rPr>
        <w:t xml:space="preserve">Dr  Loan Receivable — Investor B             $2,060,000</w:t>
      </w:r>
      <w:r>
        <w:br/>
      </w:r>
      <w:r>
        <w:rPr>
          <w:rStyle w:val="VerbatimChar"/>
        </w:rPr>
        <w:t xml:space="preserve">Cr    Cash                                  $12,060,000</w:t>
      </w:r>
      <w:r>
        <w:br/>
      </w:r>
      <w:r>
        <w:rPr>
          <w:rStyle w:val="VerbatimChar"/>
        </w:rPr>
        <w:t xml:space="preserve">                                           (initial funding)</w:t>
      </w:r>
      <w:r>
        <w:br/>
      </w:r>
      <w:r>
        <w:br/>
      </w:r>
      <w:r>
        <w:rPr>
          <w:rStyle w:val="VerbatimChar"/>
        </w:rPr>
        <w:t xml:space="preserve">Dr  Cash                                       $560,000</w:t>
      </w:r>
      <w:r>
        <w:br/>
      </w:r>
      <w:r>
        <w:rPr>
          <w:rStyle w:val="VerbatimChar"/>
        </w:rPr>
        <w:t xml:space="preserve">Cr    Fee Income (or Deferred Fee if EIR)     $560,000</w:t>
      </w:r>
      <w:r>
        <w:br/>
      </w:r>
      <w:r>
        <w:rPr>
          <w:rStyle w:val="VerbatimChar"/>
        </w:rPr>
        <w:t xml:space="preserve">                                           (Investor A upfront fee 2% × $28m)</w:t>
      </w:r>
      <w:r>
        <w:br/>
      </w:r>
      <w:r>
        <w:br/>
      </w:r>
      <w:r>
        <w:rPr>
          <w:rStyle w:val="VerbatimChar"/>
        </w:rPr>
        <w:t xml:space="preserve">Dr  Cash                                       $350,000</w:t>
      </w:r>
      <w:r>
        <w:br/>
      </w:r>
      <w:r>
        <w:rPr>
          <w:rStyle w:val="VerbatimChar"/>
        </w:rPr>
        <w:t xml:space="preserve">Cr    Deferred Fee — Barrenjoey                $350,000</w:t>
      </w:r>
      <w:r>
        <w:br/>
      </w:r>
      <w:r>
        <w:rPr>
          <w:rStyle w:val="VerbatimChar"/>
        </w:rPr>
        <w:t xml:space="preserve">                                           (Origination fee — EIR-deferred)</w:t>
      </w:r>
    </w:p>
    <w:p>
      <w:pPr>
        <w:pStyle w:val="Heading3"/>
      </w:pPr>
      <w:bookmarkStart w:id="33" w:name="validation-checklist-for-re-mezz"/>
      <w:r>
        <w:t xml:space="preserve">Validation checklist for RE Mezz</w:t>
      </w:r>
      <w:bookmarkEnd w:id="33"/>
    </w:p>
    <w:p>
      <w:pPr>
        <w:numPr>
          <w:ilvl w:val="0"/>
          <w:numId w:val="1009"/>
        </w:numPr>
        <w:pStyle w:val="Compact"/>
      </w:pPr>
      <w:r>
        <w:t xml:space="preserve">☐ EIR panel shows 16.5000% coupon (or face-weighted note)</w:t>
      </w:r>
    </w:p>
    <w:p>
      <w:pPr>
        <w:numPr>
          <w:ilvl w:val="0"/>
          <w:numId w:val="1009"/>
        </w:numPr>
        <w:pStyle w:val="Compact"/>
      </w:pPr>
      <w:r>
        <w:t xml:space="preserve">☐ JE Trace has drawdown JEs summing to sample-draw amount</w:t>
      </w:r>
    </w:p>
    <w:p>
      <w:pPr>
        <w:numPr>
          <w:ilvl w:val="0"/>
          <w:numId w:val="1009"/>
        </w:numPr>
        <w:pStyle w:val="Compact"/>
      </w:pPr>
      <w:r>
        <w:t xml:space="preserve">☐ JE Trace has upfront fee JE of $560,000 dated 2026-04-30</w:t>
      </w:r>
    </w:p>
    <w:p>
      <w:pPr>
        <w:numPr>
          <w:ilvl w:val="0"/>
          <w:numId w:val="1009"/>
        </w:numPr>
        <w:pStyle w:val="Compact"/>
      </w:pPr>
      <w:r>
        <w:t xml:space="preserve">☐ First-month interest accrual = $140,136.99 per $10m drawn (or pro-rata to actual draw)</w:t>
      </w:r>
    </w:p>
    <w:p>
      <w:pPr>
        <w:numPr>
          <w:ilvl w:val="0"/>
          <w:numId w:val="1009"/>
        </w:numPr>
        <w:pStyle w:val="Compact"/>
      </w:pPr>
      <w:r>
        <w:t xml:space="preserve">☐ Capitalisation JE runs on the last day of each month</w:t>
      </w:r>
    </w:p>
    <w:p>
      <w:pPr>
        <w:numPr>
          <w:ilvl w:val="0"/>
          <w:numId w:val="1009"/>
        </w:numPr>
        <w:pStyle w:val="Compact"/>
      </w:pPr>
      <w:r>
        <w:t xml:space="preserve">☐ Balance sheet at Y1 shows Loan A balance = $10m + accumulated capitalised coupon</w:t>
      </w:r>
    </w:p>
    <w:p>
      <w:pPr>
        <w:numPr>
          <w:ilvl w:val="0"/>
          <w:numId w:val="1009"/>
        </w:numPr>
        <w:pStyle w:val="Compact"/>
      </w:pPr>
      <w:r>
        <w:t xml:space="preserve">☐ Cashflow schedule shows 1 cash-servicing payment on 2028-04-16 of $1,560,000</w:t>
      </w:r>
    </w:p>
    <w:p>
      <w:pPr>
        <w:numPr>
          <w:ilvl w:val="0"/>
          <w:numId w:val="1009"/>
        </w:numPr>
        <w:pStyle w:val="Compact"/>
      </w:pPr>
      <w:r>
        <w:t xml:space="preserve">☐ Investor A + Investor B Loan Receivable accounts stay separate (not merged)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deal-2-barrenjoey-firstag-livestock"/>
      <w:r>
        <w:t xml:space="preserve">Deal 2 — Barrenjoey FirstAg Livestock</w:t>
      </w:r>
      <w:bookmarkEnd w:id="34"/>
    </w:p>
    <w:p>
      <w:pPr>
        <w:pStyle w:val="Heading3"/>
      </w:pPr>
      <w:bookmarkStart w:id="35" w:name="confirmed-db-inputs-1"/>
      <w:r>
        <w:t xml:space="preserve">Confirmed DB inputs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Settlement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2026-03-25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2027-03-24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364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Facility limit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$40,000,000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basis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ACT/365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Facility type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revolvingBorrowingBase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Tranche</w:t>
            </w:r>
          </w:p>
        </w:tc>
        <w:tc>
          <w:p>
            <w:pPr>
              <w:pStyle w:val="Compact"/>
              <w:jc w:val="left"/>
            </w:pPr>
            <w:r>
              <w:t xml:space="preserve">$40m face · $0 drawn initially ·</w:t>
            </w:r>
            <w:r>
              <w:t xml:space="preserve"> </w:t>
            </w:r>
            <w:r>
              <w:rPr>
                <w:b/>
              </w:rPr>
              <w:t xml:space="preserve">$12m drawn on 2026-04-01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index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BBSY 4.35%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700 bps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All-in rate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11.35% p.a.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Interest tenor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 days</w:t>
            </w:r>
            <w:r>
              <w:t xml:space="preserve"> </w:t>
            </w:r>
            <w:r>
              <w:t xml:space="preserve">(weekly)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Establishment fee</w:t>
            </w:r>
          </w:p>
        </w:tc>
        <w:tc>
          <w:p>
            <w:pPr>
              <w:pStyle w:val="Compact"/>
              <w:jc w:val="left"/>
            </w:pPr>
            <w:r>
              <w:t xml:space="preserve">$400,000 · deducted from first utilisation 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Undrawn fee</w:t>
            </w:r>
          </w:p>
        </w:tc>
        <w:tc>
          <w:p>
            <w:pPr>
              <w:pStyle w:val="Compact"/>
              <w:jc w:val="left"/>
            </w:pPr>
            <w:r>
              <w:t xml:space="preserve">280 bps (= 40% × 700) · ramp: $30m limit for first 4 months or until drawn &gt; $30m</w:t>
            </w:r>
          </w:p>
        </w:tc>
      </w:tr>
    </w:tbl>
    <w:p>
      <w:pPr>
        <w:pStyle w:val="Heading3"/>
      </w:pPr>
      <w:bookmarkStart w:id="36" w:name="expected-outputs-1"/>
      <w:r>
        <w:t xml:space="preserve">Expected outputs</w:t>
      </w:r>
      <w:bookmarkEnd w:id="36"/>
    </w:p>
    <w:p>
      <w:pPr>
        <w:pStyle w:val="Heading4"/>
      </w:pPr>
      <w:bookmarkStart w:id="37" w:name="eir-panel-1"/>
      <w:r>
        <w:t xml:space="preserve">EIR panel</w:t>
      </w:r>
      <w:bookmarkEnd w:id="37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Coupon:</w:t>
      </w:r>
      <w:r>
        <w:t xml:space="preserve"> </w:t>
      </w:r>
      <w:r>
        <w:t xml:space="preserve">11.3500% (base 4.35% + margin 7.00%) — Floating type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Effective yield:</w:t>
      </w:r>
      <w:r>
        <w:t xml:space="preserve"> </w:t>
      </w:r>
      <w:r>
        <w:t xml:space="preserve">likely</w:t>
      </w:r>
      <w:r>
        <w:t xml:space="preserve"> </w:t>
      </w:r>
      <w:r>
        <w:rPr>
          <w:b/>
        </w:rPr>
        <w:t xml:space="preserve">null</w:t>
      </w:r>
      <w:r>
        <w:t xml:space="preserve"> </w:t>
      </w:r>
      <w:r>
        <w:t xml:space="preserve">— amort.method =</w:t>
      </w:r>
      <w:r>
        <w:t xml:space="preserve"> </w:t>
      </w:r>
      <w:r>
        <w:t xml:space="preserve">‘</w:t>
      </w:r>
      <w:r>
        <w:t xml:space="preserve">none</w:t>
      </w:r>
      <w:r>
        <w:t xml:space="preserve">’</w:t>
      </w:r>
      <w:r>
        <w:t xml:space="preserve"> </w:t>
      </w:r>
      <w:r>
        <w:t xml:space="preserve">by default; engine returns coupon only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Rate breakdown:</w:t>
      </w:r>
      <w:r>
        <w:t xml:space="preserve"> </w:t>
      </w:r>
      <w:r>
        <w:rPr>
          <w:rStyle w:val="VerbatimChar"/>
        </w:rPr>
        <w:t xml:space="preserve">"Floating 4.3500% + spread 7.0000% = 11.3500%"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Note:</w:t>
      </w:r>
      <w:r>
        <w:t xml:space="preserve"> </w:t>
      </w:r>
      <w:r>
        <w:t xml:space="preserve">with the $400k establishment fee deferred over 364 days via EIR, the</w:t>
      </w:r>
      <w:r>
        <w:t xml:space="preserve"> </w:t>
      </w:r>
      <w:r>
        <w:rPr>
          <w:i/>
        </w:rPr>
        <w:t xml:space="preserve">true</w:t>
      </w:r>
      <w:r>
        <w:t xml:space="preserve"> </w:t>
      </w:r>
      <w:r>
        <w:t xml:space="preserve">EIR would be</w:t>
      </w:r>
      <w:r>
        <w:t xml:space="preserve"> </w:t>
      </w:r>
      <w:r>
        <w:rPr>
          <w:b/>
        </w:rPr>
        <w:t xml:space="preserve">~14.7%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Discount: net cash advanced = $12m − $400k = $11.6m</w:t>
      </w:r>
    </w:p>
    <w:p>
      <w:pPr>
        <w:numPr>
          <w:ilvl w:val="1"/>
          <w:numId w:val="1011"/>
        </w:numPr>
        <w:pStyle w:val="Compact"/>
      </w:pPr>
      <w:r>
        <w:t xml:space="preserve">Cashflows: annual coupon $1,362k + $12m principal at maturity</w:t>
      </w:r>
    </w:p>
    <w:p>
      <w:pPr>
        <w:numPr>
          <w:ilvl w:val="1"/>
          <w:numId w:val="1011"/>
        </w:numPr>
        <w:pStyle w:val="Compact"/>
      </w:pPr>
      <w:r>
        <w:t xml:space="preserve">IRR solving $11.6m = $1,362k + $12m at 1 year →</w:t>
      </w:r>
      <w:r>
        <w:t xml:space="preserve"> </w:t>
      </w:r>
      <w:r>
        <w:rPr>
          <w:b/>
        </w:rPr>
        <w:t xml:space="preserve">(1,362 + 12,000) / 11,600 − 1 ≈ 15.19%</w:t>
      </w:r>
    </w:p>
    <w:p>
      <w:pPr>
        <w:numPr>
          <w:ilvl w:val="1"/>
          <w:numId w:val="1011"/>
        </w:numPr>
        <w:pStyle w:val="Compact"/>
      </w:pPr>
      <w:r>
        <w:t xml:space="preserve">The engine won’t show this unless</w:t>
      </w:r>
      <w:r>
        <w:t xml:space="preserve"> </w:t>
      </w:r>
      <w:r>
        <w:rPr>
          <w:rStyle w:val="VerbatimChar"/>
        </w:rPr>
        <w:t xml:space="preserve">amort.method = 'effectiveInterestPrice'</w:t>
      </w:r>
      <w:r>
        <w:t xml:space="preserve"> </w:t>
      </w:r>
      <w:r>
        <w:t xml:space="preserve">is set on the instrument</w:t>
      </w:r>
    </w:p>
    <w:p>
      <w:pPr>
        <w:pStyle w:val="Heading4"/>
      </w:pPr>
      <w:bookmarkStart w:id="38" w:name="daily-interest-accrual-on-12m-drawn"/>
      <w:r>
        <w:t xml:space="preserve">Daily interest accrual (on $12m drawn)</w:t>
      </w:r>
      <w:bookmarkEnd w:id="38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Daily: $12m × 11.35% / 365 = $3,731.51/day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Weekly: $26,120.55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Monthly (30 days): $111,945.21</w:t>
      </w:r>
    </w:p>
    <w:p>
      <w:pPr>
        <w:pStyle w:val="Heading4"/>
      </w:pPr>
      <w:bookmarkStart w:id="39" w:name="Xb901e72d043a355ed42a2bda07295aecfe464d4"/>
      <w:r>
        <w:t xml:space="preserve">Interest per 7-day period (verified via</w:t>
      </w:r>
      <w:r>
        <w:t xml:space="preserve"> </w:t>
      </w:r>
      <w:r>
        <w:rPr>
          <w:rStyle w:val="VerbatimChar"/>
        </w:rPr>
        <w:t xml:space="preserve">PCS.reconcileInterest</w:t>
      </w:r>
      <w:r>
        <w:t xml:space="preserve">)</w:t>
      </w:r>
      <w:bookmarkEnd w:id="39"/>
    </w:p>
    <w:p>
      <w:pPr>
        <w:numPr>
          <w:ilvl w:val="0"/>
          <w:numId w:val="1013"/>
        </w:numPr>
        <w:pStyle w:val="Compact"/>
      </w:pPr>
      <w:r>
        <w:t xml:space="preserve">Principal: $12,000,000</w:t>
      </w:r>
    </w:p>
    <w:p>
      <w:pPr>
        <w:numPr>
          <w:ilvl w:val="0"/>
          <w:numId w:val="1013"/>
        </w:numPr>
        <w:pStyle w:val="Compact"/>
      </w:pPr>
      <w:r>
        <w:t xml:space="preserve">Rate: 11.35% ACT/365</w:t>
      </w:r>
    </w:p>
    <w:p>
      <w:pPr>
        <w:numPr>
          <w:ilvl w:val="0"/>
          <w:numId w:val="1013"/>
        </w:numPr>
        <w:pStyle w:val="Compact"/>
      </w:pPr>
      <w:r>
        <w:t xml:space="preserve">Period: 7 days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Period interest: $12,000,000 × 11.35% × 7 / 365 = $26,120.55</w:t>
      </w:r>
    </w:p>
    <w:p>
      <w:pPr>
        <w:pStyle w:val="Heading4"/>
      </w:pPr>
      <w:bookmarkStart w:id="40" w:name="jes-close-2026-03-25"/>
      <w:r>
        <w:t xml:space="preserve">JEs — close (2026-03-25)</w:t>
      </w:r>
      <w:bookmarkEnd w:id="40"/>
    </w:p>
    <w:p>
      <w:pPr>
        <w:pStyle w:val="FirstParagraph"/>
      </w:pPr>
      <w:r>
        <w:t xml:space="preserve">Establishment fee deducted from first utilisation — so no fee JE at close. Fee is recognised on 2026-04-01 when the first draw settles.</w:t>
      </w:r>
    </w:p>
    <w:p>
      <w:pPr>
        <w:pStyle w:val="Heading4"/>
      </w:pPr>
      <w:bookmarkStart w:id="41" w:name="jes-first-draw-2026-04-01"/>
      <w:r>
        <w:t xml:space="preserve">JEs — first draw (2026-04-01)</w:t>
      </w:r>
      <w:bookmarkEnd w:id="41"/>
    </w:p>
    <w:p>
      <w:pPr>
        <w:pStyle w:val="SourceCode"/>
      </w:pPr>
      <w:r>
        <w:rPr>
          <w:rStyle w:val="VerbatimChar"/>
        </w:rPr>
        <w:t xml:space="preserve">Dr  Loan Receivable                          $12,000,000</w:t>
      </w:r>
      <w:r>
        <w:br/>
      </w:r>
      <w:r>
        <w:rPr>
          <w:rStyle w:val="VerbatimChar"/>
        </w:rPr>
        <w:t xml:space="preserve">Cr    Cash                                    $11,600,000</w:t>
      </w:r>
      <w:r>
        <w:br/>
      </w:r>
      <w:r>
        <w:rPr>
          <w:rStyle w:val="VerbatimChar"/>
        </w:rPr>
        <w:t xml:space="preserve">Cr    Deferred Fee (establishment)              $400,000</w:t>
      </w:r>
      <w:r>
        <w:br/>
      </w:r>
      <w:r>
        <w:rPr>
          <w:rStyle w:val="VerbatimChar"/>
        </w:rPr>
        <w:t xml:space="preserve">                                           (net cash to borrower = $11.6m)</w:t>
      </w:r>
    </w:p>
    <w:p>
      <w:pPr>
        <w:pStyle w:val="FirstParagraph"/>
      </w:pPr>
      <w:r>
        <w:t xml:space="preserve">Alternative if the engine posts fee immediately to P&amp;L (not EIR-deferred):</w:t>
      </w:r>
    </w:p>
    <w:p>
      <w:pPr>
        <w:pStyle w:val="SourceCode"/>
      </w:pPr>
      <w:r>
        <w:rPr>
          <w:rStyle w:val="VerbatimChar"/>
        </w:rPr>
        <w:t xml:space="preserve">Dr  Loan Receivable                          $12,000,000</w:t>
      </w:r>
      <w:r>
        <w:br/>
      </w:r>
      <w:r>
        <w:rPr>
          <w:rStyle w:val="VerbatimChar"/>
        </w:rPr>
        <w:t xml:space="preserve">Cr    Cash                                    $11,600,000</w:t>
      </w:r>
      <w:r>
        <w:br/>
      </w:r>
      <w:r>
        <w:rPr>
          <w:rStyle w:val="VerbatimChar"/>
        </w:rPr>
        <w:t xml:space="preserve">Cr    Fee Income                                $400,000</w:t>
      </w:r>
    </w:p>
    <w:p>
      <w:pPr>
        <w:pStyle w:val="Heading4"/>
      </w:pPr>
      <w:bookmarkStart w:id="42" w:name="Xd19ec0384fe66860b9881a1e9f70ac2b2d8f01b"/>
      <w:r>
        <w:t xml:space="preserve">Weekly interest accrual (first week 2026-04-01 → 2026-04-08)</w:t>
      </w:r>
      <w:bookmarkEnd w:id="42"/>
    </w:p>
    <w:p>
      <w:pPr>
        <w:pStyle w:val="SourceCode"/>
      </w:pPr>
      <w:r>
        <w:rPr>
          <w:rStyle w:val="VerbatimChar"/>
        </w:rPr>
        <w:t xml:space="preserve">Dr  Interest Receivable                          $26,120.55</w:t>
      </w:r>
      <w:r>
        <w:br/>
      </w:r>
      <w:r>
        <w:rPr>
          <w:rStyle w:val="VerbatimChar"/>
        </w:rPr>
        <w:t xml:space="preserve">Cr    Interest Income                            $26,120.55</w:t>
      </w:r>
      <w:r>
        <w:br/>
      </w:r>
      <w:r>
        <w:br/>
      </w:r>
      <w:r>
        <w:rPr>
          <w:rStyle w:val="VerbatimChar"/>
        </w:rPr>
        <w:t xml:space="preserve">Dr  Deferred Fee (amortise)                       $7,692.31</w:t>
      </w:r>
      <w:r>
        <w:br/>
      </w:r>
      <w:r>
        <w:rPr>
          <w:rStyle w:val="VerbatimChar"/>
        </w:rPr>
        <w:t xml:space="preserve">Cr    Interest Income                             $7,692.31</w:t>
      </w:r>
      <w:r>
        <w:br/>
      </w:r>
      <w:r>
        <w:rPr>
          <w:rStyle w:val="VerbatimChar"/>
        </w:rPr>
        <w:t xml:space="preserve">                                           (fee × 7/364 days)</w:t>
      </w:r>
    </w:p>
    <w:p>
      <w:pPr>
        <w:pStyle w:val="Heading4"/>
      </w:pPr>
      <w:bookmarkStart w:id="43" w:name="Xb34bfba0a2d53a2bd8d60b55f393171df54351b"/>
      <w:r>
        <w:t xml:space="preserve">Monthly interest payment (paid on last day of each month)</w:t>
      </w:r>
      <w:bookmarkEnd w:id="43"/>
    </w:p>
    <w:p>
      <w:pPr>
        <w:pStyle w:val="FirstParagraph"/>
      </w:pPr>
      <w:r>
        <w:t xml:space="preserve">If May 2026 (30 days at 11.35% on $12m):</w:t>
      </w:r>
      <w:r>
        <w:t xml:space="preserve"> </w:t>
      </w:r>
      <w:r>
        <w:t xml:space="preserve">- Interest paid:</w:t>
      </w:r>
      <w:r>
        <w:t xml:space="preserve"> </w:t>
      </w:r>
      <w:r>
        <w:rPr>
          <w:b/>
        </w:rPr>
        <w:t xml:space="preserve">$111,945.21</w:t>
      </w:r>
    </w:p>
    <w:p>
      <w:pPr>
        <w:pStyle w:val="SourceCode"/>
      </w:pPr>
      <w:r>
        <w:rPr>
          <w:rStyle w:val="VerbatimChar"/>
        </w:rPr>
        <w:t xml:space="preserve">Dr  Cash                                        $111,945.21</w:t>
      </w:r>
      <w:r>
        <w:br/>
      </w:r>
      <w:r>
        <w:rPr>
          <w:rStyle w:val="VerbatimChar"/>
        </w:rPr>
        <w:t xml:space="preserve">Cr    Interest Receivable                       $111,945.21</w:t>
      </w:r>
    </w:p>
    <w:p>
      <w:pPr>
        <w:pStyle w:val="Heading4"/>
      </w:pPr>
      <w:bookmarkStart w:id="44" w:name="X91a1b887da1f16a150ba374bb3278535e09bcdb"/>
      <w:r>
        <w:t xml:space="preserve">Undrawn fee — ramp period (Apr–Jul 2026, ~4 months)</w:t>
      </w:r>
      <w:bookmarkEnd w:id="44"/>
    </w:p>
    <w:p>
      <w:pPr>
        <w:numPr>
          <w:ilvl w:val="0"/>
          <w:numId w:val="1014"/>
        </w:numPr>
        <w:pStyle w:val="Compact"/>
      </w:pPr>
      <w:r>
        <w:t xml:space="preserve">Undrawn calculation:</w:t>
      </w:r>
      <w:r>
        <w:t xml:space="preserve"> </w:t>
      </w:r>
      <w:r>
        <w:rPr>
          <w:b/>
        </w:rPr>
        <w:t xml:space="preserve">ramp limit $30m − drawn $12m = $18m</w:t>
      </w:r>
    </w:p>
    <w:p>
      <w:pPr>
        <w:numPr>
          <w:ilvl w:val="0"/>
          <w:numId w:val="1014"/>
        </w:numPr>
        <w:pStyle w:val="Compact"/>
      </w:pPr>
      <w:r>
        <w:t xml:space="preserve">Monthly fee:</w:t>
      </w:r>
      <w:r>
        <w:t xml:space="preserve"> </w:t>
      </w:r>
      <w:r>
        <w:rPr>
          <w:b/>
        </w:rPr>
        <w:t xml:space="preserve">$18m × 280 bps × 30/365 = $41,424.66/month</w:t>
      </w:r>
    </w:p>
    <w:p>
      <w:pPr>
        <w:numPr>
          <w:ilvl w:val="0"/>
          <w:numId w:val="1014"/>
        </w:numPr>
        <w:pStyle w:val="Compact"/>
      </w:pPr>
      <w:r>
        <w:t xml:space="preserve">Total 4-month ramp:</w:t>
      </w:r>
      <w:r>
        <w:t xml:space="preserve"> </w:t>
      </w:r>
      <w:r>
        <w:rPr>
          <w:b/>
        </w:rPr>
        <w:t xml:space="preserve">~$165,698</w:t>
      </w:r>
    </w:p>
    <w:p>
      <w:pPr>
        <w:pStyle w:val="SourceCode"/>
      </w:pPr>
      <w:r>
        <w:rPr>
          <w:rStyle w:val="VerbatimChar"/>
        </w:rPr>
        <w:t xml:space="preserve">Dr  Undrawn Fee Expense                          $41,424.66</w:t>
      </w:r>
      <w:r>
        <w:br/>
      </w:r>
      <w:r>
        <w:rPr>
          <w:rStyle w:val="VerbatimChar"/>
        </w:rPr>
        <w:t xml:space="preserve">Cr    Cash                                       $41,424.66</w:t>
      </w:r>
      <w:r>
        <w:br/>
      </w:r>
      <w:r>
        <w:rPr>
          <w:rStyle w:val="VerbatimChar"/>
        </w:rPr>
        <w:t xml:space="preserve">                                           (paid monthly in arrears)</w:t>
      </w:r>
    </w:p>
    <w:p>
      <w:pPr>
        <w:pStyle w:val="Heading4"/>
      </w:pPr>
      <w:bookmarkStart w:id="45" w:name="undrawn-fee-post-ramp-aug-2026-onwards"/>
      <w:r>
        <w:t xml:space="preserve">Undrawn fee — post-ramp (Aug 2026 onwards)</w:t>
      </w:r>
      <w:bookmarkEnd w:id="45"/>
    </w:p>
    <w:p>
      <w:pPr>
        <w:numPr>
          <w:ilvl w:val="0"/>
          <w:numId w:val="1015"/>
        </w:numPr>
        <w:pStyle w:val="Compact"/>
      </w:pPr>
      <w:r>
        <w:t xml:space="preserve">Undrawn:</w:t>
      </w:r>
      <w:r>
        <w:t xml:space="preserve"> </w:t>
      </w:r>
      <w:r>
        <w:rPr>
          <w:b/>
        </w:rPr>
        <w:t xml:space="preserve">$40m − $12m = $28m</w:t>
      </w:r>
    </w:p>
    <w:p>
      <w:pPr>
        <w:numPr>
          <w:ilvl w:val="0"/>
          <w:numId w:val="1015"/>
        </w:numPr>
        <w:pStyle w:val="Compact"/>
      </w:pPr>
      <w:r>
        <w:t xml:space="preserve">Monthly fee:</w:t>
      </w:r>
      <w:r>
        <w:t xml:space="preserve"> </w:t>
      </w:r>
      <w:r>
        <w:rPr>
          <w:b/>
        </w:rPr>
        <w:t xml:space="preserve">$28m × 280 bps × 30/365 = $64,438.36/month</w:t>
      </w:r>
    </w:p>
    <w:p>
      <w:pPr>
        <w:numPr>
          <w:ilvl w:val="0"/>
          <w:numId w:val="1015"/>
        </w:numPr>
        <w:pStyle w:val="Compact"/>
      </w:pPr>
      <w:r>
        <w:t xml:space="preserve">Remaining ~8 months of the year: ~$515,507 in undrawn fees</w:t>
      </w:r>
    </w:p>
    <w:p>
      <w:pPr>
        <w:pStyle w:val="Heading4"/>
      </w:pPr>
      <w:bookmarkStart w:id="46" w:name="X420d879e71727230a544ec4ea56ba0106627194"/>
      <w:r>
        <w:t xml:space="preserve">Full-year cashflow summary (assuming $12m stays drawn all year, no additional draws/repayments)</w:t>
      </w:r>
      <w:bookmarkEnd w:id="4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Interest income</w:t>
            </w:r>
          </w:p>
        </w:tc>
        <w:tc>
          <w:p>
            <w:pPr>
              <w:pStyle w:val="Compact"/>
              <w:jc w:val="left"/>
            </w:pPr>
            <w:r>
              <w:t xml:space="preserve">$12m × 11.35% × 364/365 =</w:t>
            </w:r>
            <w:r>
              <w:t xml:space="preserve"> </w:t>
            </w:r>
            <w:r>
              <w:rPr>
                <w:b/>
              </w:rPr>
              <w:t xml:space="preserve">$1,358,268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Establishment fee amortised into interest income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$400,000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Undrawn fee income (4mo ramp + 8mo full)</w:t>
            </w:r>
          </w:p>
        </w:tc>
        <w:tc>
          <w:p>
            <w:pPr>
              <w:pStyle w:val="Compact"/>
              <w:jc w:val="left"/>
            </w:pPr>
            <w:r>
              <w:t xml:space="preserve">~$165,698 + ~$515,507 =</w:t>
            </w:r>
            <w:r>
              <w:t xml:space="preserve"> </w:t>
            </w:r>
            <w:r>
              <w:rPr>
                <w:b/>
              </w:rPr>
              <w:t xml:space="preserve">~$681,205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revenue to Barrenjoey First Ag Credit Fund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~$2,439,473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Return on drawn capital ($12m)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~20.3%</w:t>
            </w:r>
            <w:r>
              <w:t xml:space="preserve"> </w:t>
            </w:r>
            <w:r>
              <w:t xml:space="preserve">— reflects establishment fee + undrawn fee yield uplift</w:t>
            </w:r>
          </w:p>
        </w:tc>
      </w:tr>
    </w:tbl>
    <w:p>
      <w:pPr>
        <w:pStyle w:val="Heading4"/>
      </w:pPr>
      <w:bookmarkStart w:id="47" w:name="utilisation-covenant"/>
      <w:r>
        <w:t xml:space="preserve">Utilisation covenant</w:t>
      </w:r>
      <w:bookmarkEnd w:id="47"/>
    </w:p>
    <w:p>
      <w:pPr>
        <w:numPr>
          <w:ilvl w:val="0"/>
          <w:numId w:val="1016"/>
        </w:numPr>
        <w:pStyle w:val="Compact"/>
      </w:pPr>
      <w:r>
        <w:t xml:space="preserve">Utilisations outstanding: 1 (the $12m draw)</w:t>
      </w:r>
    </w:p>
    <w:p>
      <w:pPr>
        <w:numPr>
          <w:ilvl w:val="0"/>
          <w:numId w:val="1016"/>
        </w:numPr>
        <w:pStyle w:val="Compact"/>
      </w:pPr>
      <w:r>
        <w:t xml:space="preserve">Threshold: 26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Compliant with 25 utilisations of headroom</w:t>
      </w:r>
    </w:p>
    <w:p>
      <w:pPr>
        <w:pStyle w:val="Heading4"/>
      </w:pPr>
      <w:bookmarkStart w:id="48" w:name="livestock-aging-covenants"/>
      <w:r>
        <w:t xml:space="preserve">Livestock aging covenants</w:t>
      </w:r>
      <w:bookmarkEnd w:id="48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Contracted aging:</w:t>
      </w:r>
      <w:r>
        <w:t xml:space="preserve"> </w:t>
      </w:r>
      <w:r>
        <w:t xml:space="preserve">max days on feed among contracted rows. Sample data:</w:t>
      </w:r>
    </w:p>
    <w:p>
      <w:pPr>
        <w:numPr>
          <w:ilvl w:val="1"/>
          <w:numId w:val="1018"/>
        </w:numPr>
        <w:pStyle w:val="Compact"/>
      </w:pPr>
      <w:r>
        <w:t xml:space="preserve">Feedlot contracted @ Location 4: 60 days</w:t>
      </w:r>
    </w:p>
    <w:p>
      <w:pPr>
        <w:numPr>
          <w:ilvl w:val="1"/>
          <w:numId w:val="1018"/>
        </w:numPr>
        <w:pStyle w:val="Compact"/>
      </w:pPr>
      <w:r>
        <w:t xml:space="preserve">Feedlot contracted @ Location 5: 45 days</w:t>
      </w:r>
    </w:p>
    <w:p>
      <w:pPr>
        <w:numPr>
          <w:ilvl w:val="1"/>
          <w:numId w:val="1018"/>
        </w:numPr>
        <w:pStyle w:val="Compact"/>
      </w:pPr>
      <w:r>
        <w:t xml:space="preserve">Max =</w:t>
      </w:r>
      <w:r>
        <w:t xml:space="preserve"> </w:t>
      </w:r>
      <w:r>
        <w:rPr>
          <w:b/>
        </w:rPr>
        <w:t xml:space="preserve">60 days</w:t>
      </w:r>
      <w:r>
        <w:t xml:space="preserve"> </w:t>
      </w:r>
      <w:r>
        <w:t xml:space="preserve">vs threshold</w:t>
      </w:r>
      <w:r>
        <w:t xml:space="preserve"> </w:t>
      </w:r>
      <w:r>
        <w:rPr>
          <w:b/>
        </w:rPr>
        <w:t xml:space="preserve">180</w:t>
      </w:r>
      <w:r>
        <w:t xml:space="preserve"> </w:t>
      </w:r>
      <w:r>
        <w:t xml:space="preserve">(target 150 + 30 grace) →</w:t>
      </w:r>
      <w:r>
        <w:t xml:space="preserve"> </w:t>
      </w:r>
      <w:r>
        <w:rPr>
          <w:b/>
        </w:rPr>
        <w:t xml:space="preserve">compliant</w:t>
      </w:r>
      <w:r>
        <w:t xml:space="preserve"> </w:t>
      </w:r>
      <w:r>
        <w:t xml:space="preserve">(120d headroom)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Uncontracted aging:</w:t>
      </w:r>
      <w:r>
        <w:t xml:space="preserve"> </w:t>
      </w:r>
      <w:r>
        <w:t xml:space="preserve">max days among uncontracted:</w:t>
      </w:r>
    </w:p>
    <w:p>
      <w:pPr>
        <w:numPr>
          <w:ilvl w:val="1"/>
          <w:numId w:val="1019"/>
        </w:numPr>
        <w:pStyle w:val="Compact"/>
      </w:pPr>
      <w:r>
        <w:t xml:space="preserve">Backgrounding @ Location 10: 30 days</w:t>
      </w:r>
    </w:p>
    <w:p>
      <w:pPr>
        <w:numPr>
          <w:ilvl w:val="1"/>
          <w:numId w:val="1019"/>
        </w:numPr>
        <w:pStyle w:val="Compact"/>
      </w:pPr>
      <w:r>
        <w:t xml:space="preserve">Backgrounding @ Location 11: 55 days</w:t>
      </w:r>
    </w:p>
    <w:p>
      <w:pPr>
        <w:numPr>
          <w:ilvl w:val="1"/>
          <w:numId w:val="1019"/>
        </w:numPr>
        <w:pStyle w:val="Compact"/>
      </w:pPr>
      <w:r>
        <w:t xml:space="preserve">Max =</w:t>
      </w:r>
      <w:r>
        <w:t xml:space="preserve"> </w:t>
      </w:r>
      <w:r>
        <w:rPr>
          <w:b/>
        </w:rPr>
        <w:t xml:space="preserve">55 days</w:t>
      </w:r>
      <w:r>
        <w:t xml:space="preserve"> </w:t>
      </w:r>
      <w:r>
        <w:t xml:space="preserve">vs threshold</w:t>
      </w:r>
      <w:r>
        <w:t xml:space="preserve"> </w:t>
      </w:r>
      <w:r>
        <w:rPr>
          <w:b/>
        </w:rPr>
        <w:t xml:space="preserve">90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compliant</w:t>
      </w:r>
      <w:r>
        <w:t xml:space="preserve"> </w:t>
      </w:r>
      <w:r>
        <w:t xml:space="preserve">(35d headroom)</w:t>
      </w:r>
    </w:p>
    <w:p>
      <w:pPr>
        <w:pStyle w:val="Heading3"/>
      </w:pPr>
      <w:bookmarkStart w:id="49" w:name="validation-checklist-for-firstag"/>
      <w:r>
        <w:t xml:space="preserve">Validation checklist for FirstAg</w:t>
      </w:r>
      <w:bookmarkEnd w:id="49"/>
    </w:p>
    <w:p>
      <w:pPr>
        <w:numPr>
          <w:ilvl w:val="0"/>
          <w:numId w:val="1020"/>
        </w:numPr>
        <w:pStyle w:val="Compact"/>
      </w:pPr>
      <w:r>
        <w:t xml:space="preserve">☐ EIR panel shows 11.3500% coupon with rate breakdown</w:t>
      </w:r>
      <w:r>
        <w:t xml:space="preserve"> </w:t>
      </w:r>
      <w:r>
        <w:t xml:space="preserve">“</w:t>
      </w:r>
      <w:r>
        <w:t xml:space="preserve">Floating 4.3500% + spread 7.0000%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☐ JE Trace has $12m drawdown JE dated 2026-04-01</w:t>
      </w:r>
    </w:p>
    <w:p>
      <w:pPr>
        <w:numPr>
          <w:ilvl w:val="0"/>
          <w:numId w:val="1020"/>
        </w:numPr>
        <w:pStyle w:val="Compact"/>
      </w:pPr>
      <w:r>
        <w:t xml:space="preserve">☐ JE Trace has establishment fee JE ($400k, either at close or netted against draw)</w:t>
      </w:r>
    </w:p>
    <w:p>
      <w:pPr>
        <w:numPr>
          <w:ilvl w:val="0"/>
          <w:numId w:val="1020"/>
        </w:numPr>
        <w:pStyle w:val="Compact"/>
      </w:pPr>
      <w:r>
        <w:t xml:space="preserve">☐ Weekly interest accrual = $26,120.55 (visible in cashflow schedule)</w:t>
      </w:r>
    </w:p>
    <w:p>
      <w:pPr>
        <w:numPr>
          <w:ilvl w:val="0"/>
          <w:numId w:val="1020"/>
        </w:numPr>
        <w:pStyle w:val="Compact"/>
      </w:pPr>
      <w:r>
        <w:t xml:space="preserve">☐ Monthly interest payment ~$112k in a full-month period</w:t>
      </w:r>
    </w:p>
    <w:p>
      <w:pPr>
        <w:numPr>
          <w:ilvl w:val="0"/>
          <w:numId w:val="1020"/>
        </w:numPr>
        <w:pStyle w:val="Compact"/>
      </w:pPr>
      <w:r>
        <w:t xml:space="preserve">☐ Undrawn fee accrual $41,424/month during ramp, $64,438/month post-ramp</w:t>
      </w:r>
    </w:p>
    <w:p>
      <w:pPr>
        <w:numPr>
          <w:ilvl w:val="0"/>
          <w:numId w:val="1020"/>
        </w:numPr>
        <w:pStyle w:val="Compact"/>
      </w:pPr>
      <w:r>
        <w:t xml:space="preserve">☐ Watchlist: utilisation count = 1 (compliant vs 26)</w:t>
      </w:r>
    </w:p>
    <w:p>
      <w:pPr>
        <w:numPr>
          <w:ilvl w:val="0"/>
          <w:numId w:val="1020"/>
        </w:numPr>
        <w:pStyle w:val="Compact"/>
      </w:pPr>
      <w:r>
        <w:t xml:space="preserve">☐ Watchlist: livestock aging covenants show compliant with headroom values above</w:t>
      </w:r>
    </w:p>
    <w:p>
      <w:pPr>
        <w:numPr>
          <w:ilvl w:val="0"/>
          <w:numId w:val="1020"/>
        </w:numPr>
        <w:pStyle w:val="Compact"/>
      </w:pPr>
      <w:r>
        <w:t xml:space="preserve">☐ Borrowing base modal cashflow simulator: Outstanding $12m, Utilisation 30%, all-in 11.35%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what-to-compare-against-in-the-app"/>
      <w:r>
        <w:t xml:space="preserve">What to compare against in the app</w:t>
      </w:r>
      <w:bookmarkEnd w:id="50"/>
    </w:p>
    <w:p>
      <w:pPr>
        <w:pStyle w:val="FirstParagraph"/>
      </w:pPr>
      <w:r>
        <w:t xml:space="preserve">For each deal, run</w:t>
      </w:r>
      <w:r>
        <w:t xml:space="preserve"> </w:t>
      </w:r>
      <w:r>
        <w:rPr>
          <w:b/>
        </w:rPr>
        <w:t xml:space="preserve">Stage 2 → Accounting → Run accounting</w:t>
      </w:r>
      <w:r>
        <w:t xml:space="preserve"> </w:t>
      </w:r>
      <w:r>
        <w:t xml:space="preserve">and check: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 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 against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EIR panel</w:t>
            </w:r>
            <w:r>
              <w:t xml:space="preserve"> </w:t>
            </w:r>
            <w:r>
              <w:t xml:space="preserve">(top of Stage 2)</w:t>
            </w:r>
          </w:p>
        </w:tc>
        <w:tc>
          <w:p>
            <w:pPr>
              <w:pStyle w:val="Compact"/>
              <w:jc w:val="left"/>
            </w:pPr>
            <w:r>
              <w:t xml:space="preserve">RE Mezz: 16.5000%. FirstAg: 11.3500%.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JE Trace</w:t>
            </w:r>
            <w:r>
              <w:t xml:space="preserve"> </w:t>
            </w:r>
            <w:r>
              <w:t xml:space="preserve">subtab</w:t>
            </w:r>
          </w:p>
        </w:tc>
        <w:tc>
          <w:p>
            <w:pPr>
              <w:pStyle w:val="Compact"/>
              <w:jc w:val="left"/>
            </w:pPr>
            <w:r>
              <w:t xml:space="preserve">Line-by-line JEs against the samples above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Evidence Pack</w:t>
            </w:r>
            <w:r>
              <w:t xml:space="preserve"> </w:t>
            </w:r>
            <w:r>
              <w:t xml:space="preserve">subtab</w:t>
            </w:r>
          </w:p>
        </w:tc>
        <w:tc>
          <w:p>
            <w:pPr>
              <w:pStyle w:val="Compact"/>
              <w:jc w:val="left"/>
            </w:pPr>
            <w:r>
              <w:t xml:space="preserve">Modification history table renders (was crashing before recent fix)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Stage 1 → Cashflow tab</w:t>
            </w:r>
          </w:p>
        </w:tc>
        <w:tc>
          <w:p>
            <w:pPr>
              <w:pStyle w:val="Compact"/>
              <w:jc w:val="left"/>
            </w:pPr>
            <w:r>
              <w:t xml:space="preserve">Interest accrual per day/week/month matches the per-$1m factors above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Borrowing base modal → Cashflow simulator</w:t>
            </w:r>
            <w:r>
              <w:t xml:space="preserve"> </w:t>
            </w:r>
            <w:r>
              <w:t xml:space="preserve">(FirstAg only)</w:t>
            </w:r>
          </w:p>
        </w:tc>
        <w:tc>
          <w:p>
            <w:pPr>
              <w:pStyle w:val="Compact"/>
              <w:jc w:val="left"/>
            </w:pPr>
            <w:r>
              <w:t xml:space="preserve">Outstanding $12m, Interest/7d = $26,120.55, Interest/30d = $111,945.21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Dashboard KPIs</w:t>
            </w:r>
          </w:p>
        </w:tc>
        <w:tc>
          <w:p>
            <w:pPr>
              <w:pStyle w:val="Compact"/>
              <w:jc w:val="left"/>
            </w:pPr>
            <w:r>
              <w:t xml:space="preserve">Utilisation %, covenant status, LVR/LTC/RLVR for RE Mezz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Watchlist</w:t>
            </w:r>
          </w:p>
        </w:tc>
        <w:tc>
          <w:p>
            <w:pPr>
              <w:pStyle w:val="Compact"/>
              <w:jc w:val="left"/>
            </w:pPr>
            <w:r>
              <w:t xml:space="preserve">Both deals appear with correct covenant compliance status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known-caveats"/>
      <w:r>
        <w:t xml:space="preserve">Known caveats</w:t>
      </w:r>
      <w:bookmarkEnd w:id="51"/>
    </w:p>
    <w:p>
      <w:pPr>
        <w:numPr>
          <w:ilvl w:val="0"/>
          <w:numId w:val="1021"/>
        </w:numPr>
      </w:pPr>
      <w:r>
        <w:rPr>
          <w:b/>
        </w:rPr>
        <w:t xml:space="preserve">EIR won’t reflect fee-driven uplift</w:t>
      </w:r>
      <w:r>
        <w:t xml:space="preserve"> </w:t>
      </w:r>
      <w:r>
        <w:t xml:space="preserve">unless the instrument’s amort method is explicitly set to</w:t>
      </w:r>
      <w:r>
        <w:t xml:space="preserve"> </w:t>
      </w:r>
      <w:r>
        <w:rPr>
          <w:rStyle w:val="VerbatimChar"/>
        </w:rPr>
        <w:t xml:space="preserve">effectiveInterestPrice</w:t>
      </w:r>
      <w:r>
        <w:t xml:space="preserve"> </w:t>
      </w:r>
      <w:r>
        <w:t xml:space="preserve">in Stage 2 Treatment panel. Currently both deals will show coupon-only EIR. This is IFRS 9 compliant when purchase price = par and there are no significant origination fees on the borrower side — but Barrenjoey’s establishment fee ($400k) and Barrenjoey’s origination fee ($350k)</w:t>
      </w:r>
      <w:r>
        <w:t xml:space="preserve"> </w:t>
      </w:r>
      <w:r>
        <w:rPr>
          <w:i/>
        </w:rPr>
        <w:t xml:space="preserve">should</w:t>
      </w:r>
      <w:r>
        <w:t xml:space="preserve"> </w:t>
      </w:r>
      <w:r>
        <w:t xml:space="preserve">fold into EIR under IFRS 9 §B5.4.1. The engine’s ASC310-20-EIR tag on those fees defers them, but the display may still show coupon-only until Treatment→EIR method is switched.</w:t>
      </w:r>
    </w:p>
    <w:p>
      <w:pPr>
        <w:numPr>
          <w:ilvl w:val="0"/>
          <w:numId w:val="1021"/>
        </w:numPr>
      </w:pPr>
      <w:r>
        <w:rPr>
          <w:b/>
        </w:rPr>
        <w:t xml:space="preserve">Cash-servicing schedule</w:t>
      </w:r>
      <w:r>
        <w:t xml:space="preserve"> </w:t>
      </w:r>
      <w:r>
        <w:t xml:space="preserve">for Investor A is projected by</w:t>
      </w:r>
      <w:r>
        <w:t xml:space="preserve"> </w:t>
      </w:r>
      <w:r>
        <w:rPr>
          <w:rStyle w:val="VerbatimChar"/>
        </w:rPr>
        <w:t xml:space="preserve">PCS.projectCouponServicingSchedule</w:t>
      </w:r>
      <w:r>
        <w:t xml:space="preserve"> </w:t>
      </w:r>
      <w:r>
        <w:t xml:space="preserve">and pre-fills the Waterfall coupon input — but doesn’t currently generate journal entries on the servicing payment dates. To fully account for it, the demo needs one additional JE on 2028-04-16: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Dr  Loan Receivable — Investor A capitalised coupon      $1,560,000</w:t>
      </w:r>
      <w:r>
        <w:br/>
      </w:r>
      <w:r>
        <w:rPr>
          <w:rStyle w:val="VerbatimChar"/>
        </w:rPr>
        <w:t xml:space="preserve">Cr    Loan Receivable — Investor A (principal side)      $1,560,000</w:t>
      </w:r>
      <w:r>
        <w:br/>
      </w:r>
      <w:r>
        <w:rPr>
          <w:rStyle w:val="VerbatimChar"/>
        </w:rPr>
        <w:t xml:space="preserve">Dr  Cash                                                  $1,560,000</w:t>
      </w:r>
      <w:r>
        <w:br/>
      </w:r>
      <w:r>
        <w:rPr>
          <w:rStyle w:val="VerbatimChar"/>
        </w:rPr>
        <w:t xml:space="preserve">Cr    Loan Receivable — Investor A                        $1,560,000</w:t>
      </w:r>
    </w:p>
    <w:p>
      <w:pPr>
        <w:numPr>
          <w:ilvl w:val="0"/>
          <w:numId w:val="1000"/>
        </w:numPr>
      </w:pPr>
      <w:r>
        <w:t xml:space="preserve">Net effect: cash coupon serviced from principal balance, reducing the capitalised coupon that will otherwise flow through the waterfall at exit.</w:t>
      </w:r>
    </w:p>
    <w:p>
      <w:pPr>
        <w:numPr>
          <w:ilvl w:val="0"/>
          <w:numId w:val="1021"/>
        </w:numPr>
      </w:pPr>
      <w:r>
        <w:rPr>
          <w:b/>
        </w:rPr>
        <w:t xml:space="preserve">BBSY rate is a snapshot</w:t>
      </w:r>
      <w:r>
        <w:t xml:space="preserve"> </w:t>
      </w:r>
      <w:r>
        <w:t xml:space="preserve">(4.35%) — real production would ingest daily fixings via</w:t>
      </w:r>
      <w:r>
        <w:t xml:space="preserve"> </w:t>
      </w:r>
      <w:r>
        <w:rPr>
          <w:rStyle w:val="VerbatimChar"/>
        </w:rPr>
        <w:t xml:space="preserve">rfr.fixings</w:t>
      </w:r>
      <w:r>
        <w:t xml:space="preserve">. The engine supports this (</w:t>
      </w:r>
      <w:r>
        <w:rPr>
          <w:rStyle w:val="VerbatimChar"/>
        </w:rPr>
        <w:t xml:space="preserve">computeCompoundedRFR</w:t>
      </w:r>
      <w:r>
        <w:t xml:space="preserve">), but for the demo the single baseRate is used.</w:t>
      </w:r>
    </w:p>
    <w:p>
      <w:pPr>
        <w:numPr>
          <w:ilvl w:val="0"/>
          <w:numId w:val="1021"/>
        </w:numPr>
      </w:pPr>
      <w:r>
        <w:rPr>
          <w:b/>
        </w:rPr>
        <w:t xml:space="preserve">RE Mezz drawdowns</w:t>
      </w:r>
      <w:r>
        <w:t xml:space="preserve"> </w:t>
      </w:r>
      <w:r>
        <w:t xml:space="preserve">in the sample deal are illustrative — $8m Apr + $6m Aug + $6m Dec + $5m May 2027. Actual accounting will accrue interest from each draw date on the incremental balance. The full life capitalised coupon depends on the exact draw schedule.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2026-07-27T19:40:54Z</dcterms:created>
  <dcterms:modified xsi:type="dcterms:W3CDTF">2026-07-27T19:40:54Z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