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barrenjoey-rfp-demo-script"/>
      <w:r>
        <w:t xml:space="preserve">Barrenjoey RFP — Demo Script</w:t>
      </w:r>
      <w:bookmarkEnd w:id="20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Barrenjoey Private Capital review panel</w:t>
      </w:r>
      <w:r>
        <w:t xml:space="preserve"> </w:t>
      </w:r>
      <w:r>
        <w:rPr>
          <w:b/>
        </w:rPr>
        <w:t xml:space="preserve">Length:</w:t>
      </w:r>
      <w:r>
        <w:t xml:space="preserve"> </w:t>
      </w:r>
      <w:r>
        <w:t xml:space="preserve">~40–45 minutes for both deals + 10 min Q&amp;A</w:t>
      </w:r>
      <w:r>
        <w:t xml:space="preserve"> </w:t>
      </w:r>
      <w:r>
        <w:rPr>
          <w:b/>
        </w:rPr>
        <w:t xml:space="preserve">Deals covered:</w:t>
      </w:r>
      <w:r>
        <w:t xml:space="preserve"> </w:t>
      </w:r>
      <w:r>
        <w:t xml:space="preserve">Example 1 (RE Mezzanine construction finance) · Example 2 (FirstAg Livestock borrowing base)</w:t>
      </w:r>
      <w:r>
        <w:t xml:space="preserve"> </w:t>
      </w:r>
      <w:r>
        <w:rPr>
          <w:b/>
        </w:rPr>
        <w:t xml:space="preserve">Presenter:</w:t>
      </w:r>
      <w:r>
        <w:t xml:space="preserve"> </w:t>
      </w:r>
      <w:r>
        <w:t xml:space="preserve">Ferhat Ansari (product lead, FIS PCS Loan Module V4)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8266113701878cc33560b54e734ab0fb67b4b02"/>
      <w:r>
        <w:t xml:space="preserve">Pre-flight checklist (5 min before you start)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☐ App loaded at</w:t>
      </w:r>
      <w:r>
        <w:t xml:space="preserve"> </w:t>
      </w:r>
      <w:r>
        <w:rPr>
          <w:rStyle w:val="VerbatimChar"/>
        </w:rPr>
        <w:t xml:space="preserve">loan-module-v4-builder.html</w:t>
      </w:r>
      <w:r>
        <w:t xml:space="preserve"> </w:t>
      </w:r>
      <w:r>
        <w:t xml:space="preserve">— hard-refresh (Cmd+Shift+R)</w:t>
      </w:r>
    </w:p>
    <w:p>
      <w:pPr>
        <w:numPr>
          <w:ilvl w:val="0"/>
          <w:numId w:val="1001"/>
        </w:numPr>
        <w:pStyle w:val="Compact"/>
      </w:pPr>
      <w:r>
        <w:t xml:space="preserve">☐ Signed in as</w:t>
      </w:r>
      <w:r>
        <w:t xml:space="preserve"> </w:t>
      </w:r>
      <w:r>
        <w:rPr>
          <w:rStyle w:val="VerbatimChar"/>
        </w:rPr>
        <w:t xml:space="preserve">ansari1@gmail.com</w:t>
      </w:r>
      <w:r>
        <w:t xml:space="preserve"> </w:t>
      </w:r>
      <w:r>
        <w:t xml:space="preserve">(admin — shows Manage teams sidebar entry)</w:t>
      </w:r>
    </w:p>
    <w:p>
      <w:pPr>
        <w:numPr>
          <w:ilvl w:val="0"/>
          <w:numId w:val="1001"/>
        </w:numPr>
        <w:pStyle w:val="Compact"/>
      </w:pPr>
      <w:r>
        <w:t xml:space="preserve">☐ Console open in DevTools</w:t>
      </w:r>
      <w:r>
        <w:t xml:space="preserve"> </w:t>
      </w:r>
      <w:r>
        <w:rPr>
          <w:b/>
        </w:rPr>
        <w:t xml:space="preserve">just in case</w:t>
      </w:r>
      <w:r>
        <w:t xml:space="preserve"> </w:t>
      </w:r>
      <w:r>
        <w:t xml:space="preserve">— not shown to audience unless helping debug</w:t>
      </w:r>
    </w:p>
    <w:p>
      <w:pPr>
        <w:numPr>
          <w:ilvl w:val="0"/>
          <w:numId w:val="1001"/>
        </w:numPr>
        <w:pStyle w:val="Compact"/>
      </w:pPr>
      <w:r>
        <w:t xml:space="preserve">☐ Both deals visible in the deal picker:</w:t>
      </w:r>
      <w:r>
        <w:t xml:space="preserve"> </w:t>
      </w:r>
      <w:r>
        <w:rPr>
          <w:b/>
        </w:rPr>
        <w:t xml:space="preserve">Barrenjoey RE Mezz — Example 1 (anonymised)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Barrenjoey FirstAg Livestock — Example 2 (anonymised)</w:t>
      </w:r>
    </w:p>
    <w:p>
      <w:pPr>
        <w:numPr>
          <w:ilvl w:val="0"/>
          <w:numId w:val="1001"/>
        </w:numPr>
        <w:pStyle w:val="Compact"/>
      </w:pPr>
      <w:r>
        <w:t xml:space="preserve">☐ Test the Waterfall modal opens (deal picker populated) and the Borrowing base modal opens</w:t>
      </w:r>
    </w:p>
    <w:p>
      <w:pPr>
        <w:numPr>
          <w:ilvl w:val="0"/>
          <w:numId w:val="1001"/>
        </w:numPr>
        <w:pStyle w:val="Compact"/>
      </w:pPr>
      <w:r>
        <w:t xml:space="preserve">☐ Backup: if BB modal cashflow simulator shows $0 outstanding, run in console: check the drawdown seed landed — should show 30% utilisation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pening-2-min"/>
      <w:r>
        <w:t xml:space="preserve">Opening (2 min)</w:t>
      </w:r>
      <w:bookmarkEnd w:id="22"/>
    </w:p>
    <w:p>
      <w:pPr>
        <w:pStyle w:val="FirstParagraph"/>
      </w:pPr>
      <w:r>
        <w:rPr>
          <w:b/>
        </w:rPr>
        <w:t xml:space="preserve">Setup slide / verbal:</w:t>
      </w:r>
    </w:p>
    <w:p>
      <w:pPr>
        <w:pStyle w:val="BlockText"/>
      </w:pPr>
      <w:r>
        <w:t xml:space="preserve">Barrenjoey shared two anonymised term sheets in the RFP: one construction-mezzanine deal and one revolving borrowing-base livestock facility. They picked those two on purpose — they’re structurally very different from each other and neither looks like a plain corporate term loan. That’s the test.</w:t>
      </w:r>
    </w:p>
    <w:p>
      <w:pPr>
        <w:pStyle w:val="BlockText"/>
      </w:pPr>
      <w:r>
        <w:t xml:space="preserve">What I’m going to show you today is those two deals built out end-to-end in our loan admin platform — not modelled, not summarised. Live deals, live covenants, live waterfalls, live borrowing-base compute. Same platform, one code base, two very different structures.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deal-1-barrenjoey-re-mezzanine-20-min"/>
      <w:r>
        <w:t xml:space="preserve">DEAL 1 — Barrenjoey RE Mezzanine (~20 min)</w:t>
      </w:r>
      <w:bookmarkEnd w:id="23"/>
    </w:p>
    <w:p>
      <w:pPr>
        <w:pStyle w:val="Heading2"/>
      </w:pPr>
      <w:bookmarkStart w:id="24" w:name="act-1-deal-shape-3-min"/>
      <w:r>
        <w:t xml:space="preserve">Act 1 — Deal shape (3 min)</w:t>
      </w:r>
      <w:bookmarkEnd w:id="24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From the header deal picker, select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Barrenjoey RE Mezz — Example 1 (anonymised)</w:t>
      </w:r>
      <w:r>
        <w:rPr>
          <w:b/>
        </w:rPr>
        <w:t xml:space="preserve">”</w:t>
      </w:r>
      <w:r>
        <w:t xml:space="preserve">. Wait for the Loan Builder to load.</w:t>
      </w:r>
    </w:p>
    <w:p>
      <w:pPr>
        <w:pStyle w:val="BodyText"/>
      </w:pPr>
      <w:r>
        <w:rPr>
          <w:b/>
        </w:rPr>
        <w:t xml:space="preserve">What to point out: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Deal Setup header</w:t>
      </w:r>
      <w:r>
        <w:t xml:space="preserve"> </w:t>
      </w:r>
      <w:r>
        <w:t xml:space="preserve">— Deal structure dropdown =</w:t>
      </w:r>
      <w:r>
        <w:t xml:space="preserve"> </w:t>
      </w:r>
      <w:r>
        <w:t xml:space="preserve">“</w:t>
      </w:r>
      <w:r>
        <w:t xml:space="preserve">Construction / mezzanine finance</w:t>
      </w:r>
      <w:r>
        <w:t xml:space="preserve">”</w:t>
      </w:r>
      <w:r>
        <w:t xml:space="preserve">. This drives which config panels appear below.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Facility limit $37.7m, principal $28m</w:t>
      </w:r>
      <w:r>
        <w:t xml:space="preserve"> </w:t>
      </w:r>
      <w:r>
        <w:t xml:space="preserve">— matches the term sheet.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Two tranches</w:t>
      </w:r>
      <w:r>
        <w:t xml:space="preserve"> </w:t>
      </w:r>
      <w:r>
        <w:t xml:space="preserve">side-by-side:</w:t>
      </w:r>
    </w:p>
    <w:p>
      <w:pPr>
        <w:numPr>
          <w:ilvl w:val="1"/>
          <w:numId w:val="1003"/>
        </w:numPr>
        <w:pStyle w:val="Compact"/>
      </w:pPr>
      <w:r>
        <w:t xml:space="preserve">Tranche A — Investor A · $26m</w:t>
      </w:r>
    </w:p>
    <w:p>
      <w:pPr>
        <w:numPr>
          <w:ilvl w:val="1"/>
          <w:numId w:val="1003"/>
        </w:numPr>
        <w:pStyle w:val="Compact"/>
      </w:pPr>
      <w:r>
        <w:t xml:space="preserve">Tranche B — Investor B · $2.06m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Barrenjoey’s role</w:t>
      </w:r>
      <w:r>
        <w:t xml:space="preserve"> </w:t>
      </w:r>
      <w:r>
        <w:t xml:space="preserve">— Lender role dropdown =</w:t>
      </w:r>
      <w:r>
        <w:t xml:space="preserve"> </w:t>
      </w:r>
      <w:r>
        <w:rPr>
          <w:b/>
        </w:rPr>
        <w:t xml:space="preserve">Arranger / manager</w:t>
      </w:r>
      <w:r>
        <w:t xml:space="preserve">, not Lender of record. This is critical: the platform correctly represents that Barrenjoey isn’t the principal lender — the two investors are.</w:t>
      </w:r>
    </w:p>
    <w:p>
      <w:pPr>
        <w:pStyle w:val="FirstParagraph"/>
      </w:pPr>
      <w:r>
        <w:rPr>
          <w:b/>
        </w:rPr>
        <w:t xml:space="preserve">Talking point:</w:t>
      </w:r>
    </w:p>
    <w:p>
      <w:pPr>
        <w:pStyle w:val="BlockText"/>
      </w:pPr>
      <w:r>
        <w:t xml:space="preserve">Notice how the Deal structure at the top drives which config sections appear. If I pick a corporate term loan or bilateral facility, all the mezz-specific fields go away. FirstAg later will show the same platform with a totally different set of panels — Borrowing base configuration instead of Construction / mezz support.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ct-2-coupon-mechanics-the-split-2-min"/>
      <w:r>
        <w:t xml:space="preserve">Act 2 — Coupon mechanics: the split (2 min)</w:t>
      </w:r>
      <w:bookmarkEnd w:id="25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Scroll to</w:t>
      </w:r>
      <w:r>
        <w:t xml:space="preserve"> </w:t>
      </w:r>
      <w:r>
        <w:rPr>
          <w:b/>
        </w:rPr>
        <w:t xml:space="preserve">Tranches</w:t>
      </w:r>
      <w:r>
        <w:t xml:space="preserve"> </w:t>
      </w:r>
      <w:r>
        <w:t xml:space="preserve">section. Click on Tranche A to expand. Scroll to the</w:t>
      </w:r>
      <w:r>
        <w:t xml:space="preserve"> </w:t>
      </w:r>
      <w:r>
        <w:rPr>
          <w:b/>
        </w:rPr>
        <w:t xml:space="preserve">PIK / Capitalise coupon</w:t>
      </w:r>
      <w:r>
        <w:t xml:space="preserve"> </w:t>
      </w:r>
      <w:r>
        <w:t xml:space="preserve">subsection.</w:t>
      </w:r>
    </w:p>
    <w:p>
      <w:pPr>
        <w:pStyle w:val="BodyText"/>
      </w:pPr>
      <w:r>
        <w:rPr>
          <w:b/>
        </w:rPr>
        <w:t xml:space="preserve">What to point out: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PIK / capitalise coupon = on</w:t>
      </w:r>
      <w:r>
        <w:t xml:space="preserve">, capitalisation frequency = monthly.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Interest component</w:t>
      </w:r>
      <w:r>
        <w:t xml:space="preserve"> </w:t>
      </w:r>
      <w:r>
        <w:t xml:space="preserve">shows 16.5% p.a. FIXED — capitalised in arrears.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Cash-serviced coupon</w:t>
      </w:r>
      <w:r>
        <w:t xml:space="preserve"> </w:t>
      </w:r>
      <w:r>
        <w:t xml:space="preserve">= 6% p.a.,</w:t>
      </w:r>
      <w:r>
        <w:t xml:space="preserve"> </w:t>
      </w:r>
      <w:r>
        <w:rPr>
          <w:b/>
        </w:rPr>
        <w:t xml:space="preserve">Start year</w:t>
      </w:r>
      <w:r>
        <w:t xml:space="preserve"> </w:t>
      </w:r>
      <w:r>
        <w:t xml:space="preserve">= 2,</w:t>
      </w:r>
      <w:r>
        <w:t xml:space="preserve"> </w:t>
      </w:r>
      <w:r>
        <w:rPr>
          <w:b/>
        </w:rPr>
        <w:t xml:space="preserve">Cap on cash servicing</w:t>
      </w:r>
      <w:r>
        <w:t xml:space="preserve"> </w:t>
      </w:r>
      <w:r>
        <w:t xml:space="preserve">= $3,060,000.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Live schedule preview</w:t>
      </w:r>
      <w:r>
        <w:t xml:space="preserve"> </w:t>
      </w:r>
      <w:r>
        <w:t xml:space="preserve">below shows the projected annual cash-servicing payments — first payment 2 weeks before year-2 anniversary, then each subsequent year, stopping when cap is reached.</w:t>
      </w:r>
    </w:p>
    <w:p>
      <w:pPr>
        <w:pStyle w:val="FirstParagraph"/>
      </w:pPr>
      <w:r>
        <w:rPr>
          <w:b/>
        </w:rPr>
        <w:t xml:space="preserve">Talking point:</w:t>
      </w:r>
    </w:p>
    <w:p>
      <w:pPr>
        <w:pStyle w:val="BlockText"/>
      </w:pPr>
      <w:r>
        <w:t xml:space="preserve">This is one of the trickiest parts of the term sheet. The 16.5% coupon is capitalised monthly — normal. But Investor A’s 6% cost-of-capital carve-out gets</w:t>
      </w:r>
      <w:r>
        <w:t xml:space="preserve"> </w:t>
      </w:r>
      <w:r>
        <w:rPr>
          <w:b/>
        </w:rPr>
        <w:t xml:space="preserve">cash-serviced annually from year 2</w:t>
      </w:r>
      <w:r>
        <w:t xml:space="preserve">, capped at $3.06m. Our engine projects that schedule live. When we run the waterfall in a few minutes, the capitalised coupon balance you see there will already be</w:t>
      </w:r>
      <w:r>
        <w:t xml:space="preserve"> </w:t>
      </w:r>
      <w:r>
        <w:rPr>
          <w:b/>
        </w:rPr>
        <w:t xml:space="preserve">net of the cash-serviced payments</w:t>
      </w:r>
      <w:r>
        <w:t xml:space="preserve"> </w:t>
      </w:r>
      <w:r>
        <w:t xml:space="preserve">that have already been made. You’ll see the number pre-fill exactly that way.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ct-3-cost-overrun-drawdown-gating-3-min"/>
      <w:r>
        <w:t xml:space="preserve">Act 3 — Cost overrun + drawdown gating (3 min)</w:t>
      </w:r>
      <w:bookmarkEnd w:id="26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Scroll up to</w:t>
      </w:r>
      <w:r>
        <w:t xml:space="preserve"> </w:t>
      </w:r>
      <w:r>
        <w:rPr>
          <w:b/>
        </w:rPr>
        <w:t xml:space="preserve">Construction / mezz support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</w:rPr>
        <w:t xml:space="preserve">What to point out:</w:t>
      </w:r>
    </w:p>
    <w:p>
      <w:pPr>
        <w:numPr>
          <w:ilvl w:val="0"/>
          <w:numId w:val="1005"/>
        </w:numPr>
        <w:pStyle w:val="Compact"/>
      </w:pPr>
      <w:r>
        <w:t xml:space="preserve">Senior debt provider, senior limit ($130m illustrative), as-if-complete value ($187.5m), TDC ($181m), QPS ($46.5m), NRV ($187.5m), MinNAV ($15m).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Cost-overrun guarantee</w:t>
      </w:r>
      <w:r>
        <w:t xml:space="preserve"> </w:t>
      </w:r>
      <w:r>
        <w:t xml:space="preserve">= 10% of TDC — the field shows a live-computed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Obligor guarantee: $18.1m</w:t>
      </w:r>
      <w:r>
        <w:rPr>
          <w:b/>
        </w:rPr>
        <w:t xml:space="preserve">”</w:t>
      </w:r>
      <w:r>
        <w:t xml:space="preserve"> </w:t>
      </w:r>
      <w:r>
        <w:t xml:space="preserve">underneath.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Overrun funding rate</w:t>
      </w:r>
      <w:r>
        <w:t xml:space="preserve"> </w:t>
      </w:r>
      <w:r>
        <w:t xml:space="preserve">= 500 bps (facility IRR + 5%) — the rate the investor charges if they choose to fund an overrun the obligors didn’t.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Availability period</w:t>
      </w:r>
      <w:r>
        <w:t xml:space="preserve"> </w:t>
      </w:r>
      <w:r>
        <w:t xml:space="preserve">= 30 days → live text underneath shows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Window closes 2026-05-30</w:t>
      </w:r>
      <w:r>
        <w:rPr>
          <w:i/>
        </w:rP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Minimum drawdown</w:t>
      </w:r>
      <w:r>
        <w:t xml:space="preserve"> </w:t>
      </w:r>
      <w:r>
        <w:t xml:space="preserve">= $5,000,000.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Drawdown basis</w:t>
      </w:r>
      <w:r>
        <w:t xml:space="preserve"> </w:t>
      </w:r>
      <w:r>
        <w:t xml:space="preserve">= Cost-to-complete (QS-verified).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Require QS progress evidence on each drawdown</w:t>
      </w:r>
      <w:r>
        <w:t xml:space="preserve"> </w:t>
      </w:r>
      <w:r>
        <w:t xml:space="preserve">= ✓.</w:t>
      </w:r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Scroll back to Tranche A → Drawdowns.</w:t>
      </w:r>
    </w:p>
    <w:p>
      <w:pPr>
        <w:pStyle w:val="BodyText"/>
      </w:pPr>
      <w:r>
        <w:rPr>
          <w:b/>
        </w:rPr>
        <w:t xml:space="preserve">What to point out:</w:t>
      </w:r>
    </w:p>
    <w:p>
      <w:pPr>
        <w:numPr>
          <w:ilvl w:val="0"/>
          <w:numId w:val="1006"/>
        </w:numPr>
        <w:pStyle w:val="Compact"/>
      </w:pPr>
      <w:r>
        <w:t xml:space="preserve">Each drawdown row has an</w:t>
      </w:r>
      <w:r>
        <w:t xml:space="preserve"> </w:t>
      </w:r>
      <w:r>
        <w:rPr>
          <w:b/>
        </w:rPr>
        <w:t xml:space="preserve">inline shield icon</w:t>
      </w:r>
      <w:r>
        <w:t xml:space="preserve"> </w:t>
      </w:r>
      <w:r>
        <w:t xml:space="preserve">— green = passes gating, amber = warnings (e.g. QS evidence missing), red = hard errors (e.g. below min draw or outside window with non-CTC basis).</w:t>
      </w:r>
    </w:p>
    <w:p>
      <w:pPr>
        <w:numPr>
          <w:ilvl w:val="0"/>
          <w:numId w:val="1006"/>
        </w:numPr>
        <w:pStyle w:val="Compact"/>
      </w:pPr>
      <w:r>
        <w:t xml:space="preserve">Each row has a</w:t>
      </w:r>
      <w:r>
        <w:t xml:space="preserve"> </w:t>
      </w:r>
      <w:r>
        <w:rPr>
          <w:b/>
        </w:rPr>
        <w:t xml:space="preserve">reason / QS evidence</w:t>
      </w:r>
      <w:r>
        <w:t xml:space="preserve"> </w:t>
      </w:r>
      <w:r>
        <w:t xml:space="preserve">field. If left blank on a QS-required deal, an amber warning fires with a hover tooltip.</w:t>
      </w:r>
    </w:p>
    <w:p>
      <w:pPr>
        <w:pStyle w:val="FirstParagraph"/>
      </w:pPr>
      <w:r>
        <w:rPr>
          <w:b/>
        </w:rPr>
        <w:t xml:space="preserve">Talking point:</w:t>
      </w:r>
    </w:p>
    <w:p>
      <w:pPr>
        <w:pStyle w:val="BlockText"/>
      </w:pPr>
      <w:r>
        <w:t xml:space="preserve">The term sheet is very specific about drawdown mechanics — 30-day availability, $5m minimum, progressive on cost-to-complete against QS-verified progress. The platform enforces those rules</w:t>
      </w:r>
      <w:r>
        <w:t xml:space="preserve"> </w:t>
      </w:r>
      <w:r>
        <w:rPr>
          <w:b/>
        </w:rPr>
        <w:t xml:space="preserve">at the row level</w:t>
      </w:r>
      <w:r>
        <w:t xml:space="preserve">. If a Barrenjoey ops person tries to log a $2m draw or a draw after the window closed, they get a shield-x with a specific error.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ct-4-guarantors-nav-covenant-2-min"/>
      <w:r>
        <w:t xml:space="preserve">Act 4 — Guarantors + NAV covenant (2 min)</w:t>
      </w:r>
      <w:bookmarkEnd w:id="27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Scroll to</w:t>
      </w:r>
      <w:r>
        <w:t xml:space="preserve"> </w:t>
      </w:r>
      <w:r>
        <w:rPr>
          <w:b/>
        </w:rPr>
        <w:t xml:space="preserve">Guarantors &amp; NAV covenant</w:t>
      </w:r>
      <w:r>
        <w:t xml:space="preserve"> </w:t>
      </w:r>
      <w:r>
        <w:t xml:space="preserve">section (should be auto-open because data exists).</w:t>
      </w:r>
    </w:p>
    <w:p>
      <w:pPr>
        <w:pStyle w:val="BodyText"/>
      </w:pPr>
      <w:r>
        <w:rPr>
          <w:b/>
        </w:rPr>
        <w:t xml:space="preserve">What to point out: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Summary strip</w:t>
      </w:r>
      <w:r>
        <w:t xml:space="preserve"> </w:t>
      </w:r>
      <w:r>
        <w:t xml:space="preserve">at top:</w:t>
      </w:r>
    </w:p>
    <w:p>
      <w:pPr>
        <w:numPr>
          <w:ilvl w:val="1"/>
          <w:numId w:val="1008"/>
        </w:numPr>
        <w:pStyle w:val="Compact"/>
      </w:pPr>
      <w:r>
        <w:t xml:space="preserve">Total qualifying assets:</w:t>
      </w:r>
      <w:r>
        <w:t xml:space="preserve"> </w:t>
      </w:r>
      <w:r>
        <w:rPr>
          <w:b/>
        </w:rPr>
        <w:t xml:space="preserve">$18,600,000</w:t>
      </w:r>
    </w:p>
    <w:p>
      <w:pPr>
        <w:numPr>
          <w:ilvl w:val="1"/>
          <w:numId w:val="1008"/>
        </w:numPr>
        <w:pStyle w:val="Compact"/>
      </w:pPr>
      <w:r>
        <w:t xml:space="preserve">Min NAV covenant:</w:t>
      </w:r>
      <w:r>
        <w:t xml:space="preserve"> </w:t>
      </w:r>
      <w:r>
        <w:rPr>
          <w:b/>
        </w:rPr>
        <w:t xml:space="preserve">$15,000,000</w:t>
      </w:r>
    </w:p>
    <w:p>
      <w:pPr>
        <w:numPr>
          <w:ilvl w:val="1"/>
          <w:numId w:val="1008"/>
        </w:numPr>
        <w:pStyle w:val="Compact"/>
      </w:pPr>
      <w:r>
        <w:t xml:space="preserve">Badge:</w:t>
      </w:r>
      <w:r>
        <w:t xml:space="preserve"> </w:t>
      </w:r>
      <w:r>
        <w:rPr>
          <w:b/>
        </w:rPr>
        <w:t xml:space="preserve">Compliant</w:t>
      </w:r>
      <w:r>
        <w:t xml:space="preserve"> </w:t>
      </w:r>
      <w:r>
        <w:t xml:space="preserve">(green pill)</w:t>
      </w:r>
    </w:p>
    <w:p>
      <w:pPr>
        <w:numPr>
          <w:ilvl w:val="1"/>
          <w:numId w:val="1008"/>
        </w:numPr>
        <w:pStyle w:val="Compact"/>
      </w:pPr>
      <w:r>
        <w:t xml:space="preserve">“</w:t>
      </w:r>
      <w:r>
        <w:t xml:space="preserve">$18.6m vs $15m Min NAV covenant · 2 guarantors · tested at financial close + every 6 months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Two guarantor cards: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Sponsor Holdings Pty Ltd</w:t>
      </w:r>
      <w:r>
        <w:t xml:space="preserve"> </w:t>
      </w:r>
      <w:r>
        <w:t xml:space="preserve">(corporate) — $3.5m cash (ANZ) + $8.2m Sydney CBD commercial (CBRE) =</w:t>
      </w:r>
      <w:r>
        <w:t xml:space="preserve"> </w:t>
      </w:r>
      <w:r>
        <w:rPr>
          <w:b/>
        </w:rPr>
        <w:t xml:space="preserve">$11.7m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Individual Guarantor (redacted)</w:t>
      </w:r>
      <w:r>
        <w:t xml:space="preserve"> </w:t>
      </w:r>
      <w:r>
        <w:t xml:space="preserve">— $4.8m Mosman residence (Herron Todd White) + $2.1m ASX securities (CommSec) =</w:t>
      </w:r>
      <w:r>
        <w:t xml:space="preserve"> </w:t>
      </w:r>
      <w:r>
        <w:rPr>
          <w:b/>
        </w:rPr>
        <w:t xml:space="preserve">$6.9m</w:t>
      </w:r>
    </w:p>
    <w:p>
      <w:pPr>
        <w:numPr>
          <w:ilvl w:val="0"/>
          <w:numId w:val="1007"/>
        </w:numPr>
        <w:pStyle w:val="Compact"/>
      </w:pPr>
      <w:r>
        <w:t xml:space="preserve">Each qualifying-asset row: kind (cash / AU real estate / liquid securities / other), description, valuation, valuation date, valuer name, doc ref.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Next NAV test</w:t>
      </w:r>
      <w:r>
        <w:t xml:space="preserve"> </w:t>
      </w:r>
      <w:r>
        <w:t xml:space="preserve">badge on each card — auto-computed = last test + 6 months.</w:t>
      </w:r>
    </w:p>
    <w:p>
      <w:pPr>
        <w:pStyle w:val="FirstParagraph"/>
      </w:pPr>
      <w:r>
        <w:rPr>
          <w:b/>
        </w:rPr>
        <w:t xml:space="preserve">Talking point:</w:t>
      </w:r>
    </w:p>
    <w:p>
      <w:pPr>
        <w:pStyle w:val="BlockText"/>
      </w:pPr>
      <w:r>
        <w:t xml:space="preserve">Each guarantor’s qualifying assets are itemised — cash, real estate, securities — with independent valuer names and doc references. The MinNAV covenant on the Watchlist reads this sum live, not a manually-entered</w:t>
      </w:r>
      <w:r>
        <w:t xml:space="preserve"> </w:t>
      </w:r>
      <w:r>
        <w:t xml:space="preserve">“</w:t>
      </w:r>
      <w:r>
        <w:t xml:space="preserve">last reported value</w:t>
      </w:r>
      <w:r>
        <w:t xml:space="preserve">”</w:t>
      </w:r>
      <w:r>
        <w:t xml:space="preserve"> </w:t>
      </w:r>
      <w:r>
        <w:t xml:space="preserve">field. When a new valuation comes in, you overwrite one row, the summary updates, the covenant re-evaluates.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ct-5-legal-compliance-1-min"/>
      <w:r>
        <w:t xml:space="preserve">Act 5 — Legal &amp; compliance (1 min)</w:t>
      </w:r>
      <w:bookmarkEnd w:id="28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Scroll to</w:t>
      </w:r>
      <w:r>
        <w:t xml:space="preserve"> </w:t>
      </w:r>
      <w:r>
        <w:rPr>
          <w:b/>
        </w:rPr>
        <w:t xml:space="preserve">Legal &amp; compliance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</w:rPr>
        <w:t xml:space="preserve">What to point out (quick):</w:t>
      </w:r>
    </w:p>
    <w:p>
      <w:pPr>
        <w:numPr>
          <w:ilvl w:val="0"/>
          <w:numId w:val="1010"/>
        </w:numPr>
        <w:pStyle w:val="Compact"/>
      </w:pPr>
      <w:r>
        <w:t xml:space="preserve">Target financial close date: 2026-04-30</w:t>
      </w:r>
    </w:p>
    <w:p>
      <w:pPr>
        <w:numPr>
          <w:ilvl w:val="0"/>
          <w:numId w:val="1010"/>
        </w:numPr>
        <w:pStyle w:val="Compact"/>
      </w:pPr>
      <w:r>
        <w:t xml:space="preserve">Intercreditor deed ref: placeholder for post-execution</w:t>
      </w:r>
    </w:p>
    <w:p>
      <w:pPr>
        <w:numPr>
          <w:ilvl w:val="0"/>
          <w:numId w:val="1010"/>
        </w:numPr>
        <w:pStyle w:val="Compact"/>
      </w:pPr>
      <w:r>
        <w:t xml:space="preserve">Reimbursement min budget: $60,000</w:t>
      </w:r>
    </w:p>
    <w:p>
      <w:pPr>
        <w:numPr>
          <w:ilvl w:val="0"/>
          <w:numId w:val="1010"/>
        </w:numPr>
        <w:pStyle w:val="Compact"/>
      </w:pPr>
      <w:r>
        <w:t xml:space="preserve">Governing law: NSW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s128F Public Offer</w:t>
      </w:r>
      <w:r>
        <w:t xml:space="preserve"> </w:t>
      </w:r>
      <w:r>
        <w:t xml:space="preserve">= ✓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No prepayment without investor consent</w:t>
      </w:r>
      <w:r>
        <w:t xml:space="preserve"> </w:t>
      </w:r>
      <w:r>
        <w:t xml:space="preserve">= ✓</w:t>
      </w:r>
    </w:p>
    <w:p>
      <w:pPr>
        <w:pStyle w:val="FirstParagraph"/>
      </w:pPr>
      <w:r>
        <w:rPr>
          <w:b/>
        </w:rPr>
        <w:t xml:space="preserve">Talking point:</w:t>
      </w:r>
    </w:p>
    <w:p>
      <w:pPr>
        <w:pStyle w:val="BlockText"/>
      </w:pPr>
      <w:r>
        <w:t xml:space="preserve">All the binding-provision metadata from the term sheet is captured as first-class fields, not stuffed into a notes column. Filterable, reportable, auditable.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ct-6-fees-2-min"/>
      <w:r>
        <w:t xml:space="preserve">Act 6 — Fees (2 min)</w:t>
      </w:r>
      <w:bookmarkEnd w:id="29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Scroll to</w:t>
      </w:r>
      <w:r>
        <w:t xml:space="preserve"> </w:t>
      </w:r>
      <w:r>
        <w:rPr>
          <w:b/>
        </w:rPr>
        <w:t xml:space="preserve">Fees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</w:rPr>
        <w:t xml:space="preserve">What to point out:</w:t>
      </w:r>
    </w:p>
    <w:p>
      <w:pPr>
        <w:pStyle w:val="BodyText"/>
      </w:pPr>
      <w:r>
        <w:t xml:space="preserve">Five fees, each with per-tranche attribution + IFRS treatment tags: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Upfront Fee — Investor A</w:t>
      </w:r>
      <w:r>
        <w:t xml:space="preserve"> </w:t>
      </w:r>
      <w:r>
        <w:t xml:space="preserve">· 2% × Facility Limit · one-off at close ·</w:t>
      </w:r>
      <w:r>
        <w:t xml:space="preserve"> </w:t>
      </w:r>
      <w:r>
        <w:rPr>
          <w:b/>
        </w:rPr>
        <w:t xml:space="preserve">Investor A only</w:t>
      </w:r>
      <w:r>
        <w:t xml:space="preserve"> </w:t>
      </w:r>
      <w:r>
        <w:t xml:space="preserve">(trancheRef = Tranche A)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Barrenjoey origination fee</w:t>
      </w:r>
      <w:r>
        <w:t xml:space="preserve"> </w:t>
      </w:r>
      <w:r>
        <w:t xml:space="preserve">· 1.25% · from proceeds of Upfront Fee · ASC310-20 EIR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Barrenjoey base management fee</w:t>
      </w:r>
      <w:r>
        <w:t xml:space="preserve"> </w:t>
      </w:r>
      <w:r>
        <w:t xml:space="preserve">· 50 bps p.a. on drawn balance · annual · ASC606 over time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Barrenjoey performance fee</w:t>
      </w:r>
      <w:r>
        <w:t xml:space="preserve"> </w:t>
      </w:r>
      <w:r>
        <w:t xml:space="preserve">· 20% over 16% IRR hurdle · IRR-hurdle mode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Investor B tiered exit fees</w:t>
      </w:r>
      <w:r>
        <w:t xml:space="preserve"> </w:t>
      </w:r>
      <w:r>
        <w:t xml:space="preserve">· IRR-hurdle tiers editor showing all three tiers verbatim:</w:t>
      </w:r>
    </w:p>
    <w:p>
      <w:pPr>
        <w:numPr>
          <w:ilvl w:val="1"/>
          <w:numId w:val="1012"/>
        </w:numPr>
        <w:pStyle w:val="Compact"/>
      </w:pPr>
      <w:r>
        <w:t xml:space="preserve">Tier 1: 20% until Investor B 20% IRR</w:t>
      </w:r>
    </w:p>
    <w:p>
      <w:pPr>
        <w:numPr>
          <w:ilvl w:val="1"/>
          <w:numId w:val="1012"/>
        </w:numPr>
        <w:pStyle w:val="Compact"/>
      </w:pPr>
      <w:r>
        <w:t xml:space="preserve">Tier 2: 22.5% until Investor B 30% IRR</w:t>
      </w:r>
    </w:p>
    <w:p>
      <w:pPr>
        <w:numPr>
          <w:ilvl w:val="1"/>
          <w:numId w:val="1012"/>
        </w:numPr>
        <w:pStyle w:val="Compact"/>
      </w:pPr>
      <w:r>
        <w:t xml:space="preserve">Tier 3: 20% residual (paid to Borrower as Exit Fee)</w:t>
      </w:r>
    </w:p>
    <w:p>
      <w:pPr>
        <w:pStyle w:val="FirstParagraph"/>
      </w:pPr>
      <w:r>
        <w:rPr>
          <w:b/>
        </w:rPr>
        <w:t xml:space="preserve">Talking point:</w:t>
      </w:r>
    </w:p>
    <w:p>
      <w:pPr>
        <w:pStyle w:val="BlockText"/>
      </w:pPr>
      <w:r>
        <w:t xml:space="preserve">Two things to highlight. First, Barrenjoey’s fees (origination, management, performance) are correctly attributed to Barrenjoey the manager, not the lending investors. Second, the Investor B exit-fee tiers aren’t a text description — they’re a structured editor. The waterfall engine reads those tiers directly and applies them in the cash cascade.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b42582bfcdd6f9874d92fa048419c49200ed575"/>
      <w:r>
        <w:t xml:space="preserve">Act 7 — Waterfall of Payments (5 min) —</w:t>
      </w:r>
      <w:r>
        <w:t xml:space="preserve"> </w:t>
      </w:r>
      <w:r>
        <w:rPr>
          <w:b/>
        </w:rPr>
        <w:t xml:space="preserve">the money shot</w:t>
      </w:r>
      <w:bookmarkEnd w:id="30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Click</w:t>
      </w:r>
      <w:r>
        <w:t xml:space="preserve"> </w:t>
      </w:r>
      <w:r>
        <w:rPr>
          <w:b/>
        </w:rPr>
        <w:t xml:space="preserve">Waterfall</w:t>
      </w:r>
      <w:r>
        <w:t xml:space="preserve"> </w:t>
      </w:r>
      <w:r>
        <w:t xml:space="preserve">in the sidebar (with the hierarchy icon). Barrenjoey should be pre-selected in the deal picker.</w:t>
      </w:r>
    </w:p>
    <w:p>
      <w:pPr>
        <w:pStyle w:val="BodyText"/>
      </w:pPr>
      <w:r>
        <w:rPr>
          <w:b/>
        </w:rPr>
        <w:t xml:space="preserve">What to point out on the modal:</w:t>
      </w:r>
    </w:p>
    <w:p>
      <w:pPr>
        <w:numPr>
          <w:ilvl w:val="0"/>
          <w:numId w:val="1013"/>
        </w:numPr>
        <w:pStyle w:val="Compact"/>
      </w:pPr>
      <w:r>
        <w:t xml:space="preserve">Deal picker at top shows Barrenjoey selected.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Left pane</w:t>
      </w:r>
      <w:r>
        <w:t xml:space="preserve"> </w:t>
      </w:r>
      <w:r>
        <w:t xml:space="preserve">— 7 tiers configured per term sheet:</w:t>
      </w:r>
    </w:p>
    <w:p>
      <w:pPr>
        <w:numPr>
          <w:ilvl w:val="1"/>
          <w:numId w:val="1014"/>
        </w:numPr>
        <w:pStyle w:val="Compact"/>
      </w:pPr>
      <w:r>
        <w:t xml:space="preserve">Tier 1: Sales / project costs / GST (deduction)</w:t>
      </w:r>
    </w:p>
    <w:p>
      <w:pPr>
        <w:numPr>
          <w:ilvl w:val="1"/>
          <w:numId w:val="1014"/>
        </w:numPr>
        <w:pStyle w:val="Compact"/>
      </w:pPr>
      <w:r>
        <w:t xml:space="preserve">Tier 2: Senior debt (debt service)</w:t>
      </w:r>
    </w:p>
    <w:p>
      <w:pPr>
        <w:numPr>
          <w:ilvl w:val="1"/>
          <w:numId w:val="1014"/>
        </w:numPr>
        <w:pStyle w:val="Compact"/>
      </w:pPr>
      <w:r>
        <w:t xml:space="preserve">Tier 3: Cost Overrun Funding (debt service)</w:t>
      </w:r>
    </w:p>
    <w:p>
      <w:pPr>
        <w:numPr>
          <w:ilvl w:val="1"/>
          <w:numId w:val="1014"/>
        </w:numPr>
        <w:pStyle w:val="Compact"/>
      </w:pPr>
      <w:r>
        <w:t xml:space="preserve">Tier 4: Facility Principal pro-rata to Investor A + B</w:t>
      </w:r>
    </w:p>
    <w:p>
      <w:pPr>
        <w:numPr>
          <w:ilvl w:val="1"/>
          <w:numId w:val="1014"/>
        </w:numPr>
        <w:pStyle w:val="Compact"/>
      </w:pPr>
      <w:r>
        <w:t xml:space="preserve">Tier 5: Capitalised Coupon pro-rata to Investor A + B</w:t>
      </w:r>
    </w:p>
    <w:p>
      <w:pPr>
        <w:numPr>
          <w:ilvl w:val="1"/>
          <w:numId w:val="1014"/>
        </w:numPr>
        <w:pStyle w:val="Compact"/>
      </w:pPr>
      <w:r>
        <w:t xml:space="preserve">Tier 6: Borrower Equity</w:t>
      </w:r>
    </w:p>
    <w:p>
      <w:pPr>
        <w:numPr>
          <w:ilvl w:val="1"/>
          <w:numId w:val="1014"/>
        </w:numPr>
        <w:pStyle w:val="Compact"/>
      </w:pPr>
      <w:r>
        <w:t xml:space="preserve">Tier 7: IRR-hurdle exit fees to Investor B (with 3 sub-tiers)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Right pane — inputs:</w:t>
      </w:r>
    </w:p>
    <w:p>
      <w:pPr>
        <w:numPr>
          <w:ilvl w:val="1"/>
          <w:numId w:val="1015"/>
        </w:numPr>
        <w:pStyle w:val="Compact"/>
      </w:pPr>
      <w:r>
        <w:t xml:space="preserve">Sale proceeds</w:t>
      </w:r>
    </w:p>
    <w:p>
      <w:pPr>
        <w:numPr>
          <w:ilvl w:val="1"/>
          <w:numId w:val="1015"/>
        </w:numPr>
        <w:pStyle w:val="Compact"/>
      </w:pPr>
      <w:r>
        <w:t xml:space="preserve">Costs (tier 1 override)</w:t>
      </w:r>
    </w:p>
    <w:p>
      <w:pPr>
        <w:numPr>
          <w:ilvl w:val="1"/>
          <w:numId w:val="1015"/>
        </w:numPr>
        <w:pStyle w:val="Compact"/>
      </w:pPr>
      <w:r>
        <w:t xml:space="preserve">Senior debt outstanding</w:t>
      </w:r>
    </w:p>
    <w:p>
      <w:pPr>
        <w:numPr>
          <w:ilvl w:val="1"/>
          <w:numId w:val="1015"/>
        </w:numPr>
        <w:pStyle w:val="Compact"/>
      </w:pPr>
      <w:r>
        <w:t xml:space="preserve">Cost overrun outstanding</w:t>
      </w:r>
    </w:p>
    <w:p>
      <w:pPr>
        <w:numPr>
          <w:ilvl w:val="1"/>
          <w:numId w:val="1015"/>
        </w:numPr>
        <w:pStyle w:val="Compact"/>
      </w:pPr>
      <w:r>
        <w:t xml:space="preserve">Per-tranche principal + capitalised coupon —</w:t>
      </w:r>
      <w:r>
        <w:t xml:space="preserve"> </w:t>
      </w:r>
      <w:r>
        <w:rPr>
          <w:b/>
        </w:rPr>
        <w:t xml:space="preserve">note the pre-filled coupon value is net of the cash-serviced payments already made</w:t>
      </w:r>
      <w:r>
        <w:t xml:space="preserve"> </w:t>
      </w:r>
      <w:r>
        <w:t xml:space="preserve">(small hint text under each field explains this)</w:t>
      </w:r>
    </w:p>
    <w:p>
      <w:pPr>
        <w:numPr>
          <w:ilvl w:val="1"/>
          <w:numId w:val="1015"/>
        </w:numPr>
        <w:pStyle w:val="Compact"/>
      </w:pPr>
      <w:r>
        <w:t xml:space="preserve">Borrower equity</w:t>
      </w:r>
    </w:p>
    <w:p>
      <w:pPr>
        <w:numPr>
          <w:ilvl w:val="1"/>
          <w:numId w:val="1015"/>
        </w:numPr>
        <w:pStyle w:val="Compact"/>
      </w:pPr>
      <w:r>
        <w:t xml:space="preserve">IRR-hurdle amounts per sub-tier</w:t>
      </w:r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Enter demo values: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 proceeds</w:t>
            </w:r>
          </w:p>
        </w:tc>
        <w:tc>
          <w:p>
            <w:pPr>
              <w:pStyle w:val="Compact"/>
              <w:jc w:val="left"/>
            </w:pPr>
            <w:r>
              <w:t xml:space="preserve">245,000,000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Costs (tier 1)</w:t>
            </w:r>
          </w:p>
        </w:tc>
        <w:tc>
          <w:p>
            <w:pPr>
              <w:pStyle w:val="Compact"/>
              <w:jc w:val="left"/>
            </w:pPr>
            <w:r>
              <w:t xml:space="preserve">8,500,000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Senior debt</w:t>
            </w:r>
          </w:p>
        </w:tc>
        <w:tc>
          <w:p>
            <w:pPr>
              <w:pStyle w:val="Compact"/>
              <w:jc w:val="left"/>
            </w:pPr>
            <w:r>
              <w:t xml:space="preserve">130,000,000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overrun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Borrower equity</w:t>
            </w:r>
          </w:p>
        </w:tc>
        <w:tc>
          <w:p>
            <w:pPr>
              <w:pStyle w:val="Compact"/>
              <w:jc w:val="left"/>
            </w:pPr>
            <w:r>
              <w:t xml:space="preserve">12,682,026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IRR-hurdle amount T1 (20% IRR)</w:t>
            </w:r>
          </w:p>
        </w:tc>
        <w:tc>
          <w:p>
            <w:pPr>
              <w:pStyle w:val="Compact"/>
              <w:jc w:val="left"/>
            </w:pPr>
            <w:r>
              <w:t xml:space="preserve">15,000,000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IRR-hurdle amount T2 (30% IRR)</w:t>
            </w:r>
          </w:p>
        </w:tc>
        <w:tc>
          <w:p>
            <w:pPr>
              <w:pStyle w:val="Compact"/>
              <w:jc w:val="left"/>
            </w:pPr>
            <w:r>
              <w:t xml:space="preserve">20,000,000</w:t>
            </w:r>
          </w:p>
        </w:tc>
      </w:tr>
    </w:tbl>
    <w:p>
      <w:pPr>
        <w:pStyle w:val="BodyText"/>
      </w:pPr>
      <w:r>
        <w:t xml:space="preserve">(Tranche A + B pre-fill their own principal + coupon. Leave them.)</w:t>
      </w:r>
    </w:p>
    <w:p>
      <w:pPr>
        <w:pStyle w:val="BodyText"/>
      </w:pPr>
      <w:r>
        <w:rPr>
          <w:b/>
        </w:rPr>
        <w:t xml:space="preserve">Click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Run waterfall</w:t>
      </w:r>
      <w:r>
        <w:rPr>
          <w:b/>
        </w:rPr>
        <w:t xml:space="preserve">”</w:t>
      </w:r>
    </w:p>
    <w:p>
      <w:pPr>
        <w:pStyle w:val="BodyText"/>
      </w:pPr>
      <w:r>
        <w:rPr>
          <w:b/>
        </w:rPr>
        <w:t xml:space="preserve">What to walk through in the result:</w:t>
      </w:r>
    </w:p>
    <w:p>
      <w:pPr>
        <w:numPr>
          <w:ilvl w:val="0"/>
          <w:numId w:val="1016"/>
        </w:numPr>
        <w:pStyle w:val="Compact"/>
      </w:pPr>
      <w:r>
        <w:t xml:space="preserve">Tier-by-tier cascade table shows: consumed at each tier, remaining after, notes.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Per-recipient totals</w:t>
      </w:r>
      <w:r>
        <w:t xml:space="preserve"> </w:t>
      </w:r>
      <w:r>
        <w:t xml:space="preserve">at the bottom — Sponsor + Senior lender + Cost overrun + Investor A + Investor B + Borrower — clearly broken out.</w:t>
      </w:r>
    </w:p>
    <w:p>
      <w:pPr>
        <w:numPr>
          <w:ilvl w:val="0"/>
          <w:numId w:val="1016"/>
        </w:numPr>
        <w:pStyle w:val="Compact"/>
      </w:pPr>
      <w:r>
        <w:t xml:space="preserve">Verify Investor A’s coupon return matches expectation (16.5% × time × principal minus cash-served).</w:t>
      </w:r>
    </w:p>
    <w:p>
      <w:pPr>
        <w:numPr>
          <w:ilvl w:val="0"/>
          <w:numId w:val="1016"/>
        </w:numPr>
        <w:pStyle w:val="Compact"/>
      </w:pPr>
      <w:r>
        <w:t xml:space="preserve">Verify Investor B receives their tiered exit fees on top of principal + coupon.</w:t>
      </w:r>
    </w:p>
    <w:p>
      <w:pPr>
        <w:pStyle w:val="FirstParagraph"/>
      </w:pPr>
      <w:r>
        <w:rPr>
          <w:b/>
        </w:rPr>
        <w:t xml:space="preserve">Talking point:</w:t>
      </w:r>
    </w:p>
    <w:p>
      <w:pPr>
        <w:pStyle w:val="BlockText"/>
      </w:pPr>
      <w:r>
        <w:t xml:space="preserve">This is the differentiator. Most loan-admin platforms model tranche accruals fine but stop at</w:t>
      </w:r>
      <w:r>
        <w:t xml:space="preserve"> </w:t>
      </w:r>
      <w:r>
        <w:t xml:space="preserve">“</w:t>
      </w:r>
      <w:r>
        <w:t xml:space="preserve">principal + coupon</w:t>
      </w:r>
      <w:r>
        <w:t xml:space="preserve">”</w:t>
      </w:r>
      <w:r>
        <w:t xml:space="preserve"> </w:t>
      </w:r>
      <w:r>
        <w:t xml:space="preserve">for exit. Barrenjoey’s mezz waterfall has 7 tiers with an IRR-hurdle profit-share at the end — that’s a hedge-fund-style computation grafted onto a bank-loan-admin platform. Ours runs it in one click and shows the recipient-level breakdown.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act-8-ongoing-monitoring-3-min"/>
      <w:r>
        <w:t xml:space="preserve">Act 8 — Ongoing monitoring (3 min)</w:t>
      </w:r>
      <w:bookmarkEnd w:id="31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Close the waterfall modal. Click the</w:t>
      </w:r>
      <w:r>
        <w:t xml:space="preserve"> </w:t>
      </w:r>
      <w:r>
        <w:rPr>
          <w:b/>
        </w:rPr>
        <w:t xml:space="preserve">Cashflow</w:t>
      </w:r>
      <w:r>
        <w:t xml:space="preserve"> </w:t>
      </w:r>
      <w:r>
        <w:t xml:space="preserve">tab (Stage 1).</w:t>
      </w:r>
    </w:p>
    <w:p>
      <w:pPr>
        <w:pStyle w:val="BodyText"/>
      </w:pPr>
      <w:r>
        <w:rPr>
          <w:b/>
        </w:rPr>
        <w:t xml:space="preserve">What to point out (quick tour):</w:t>
      </w:r>
    </w:p>
    <w:p>
      <w:pPr>
        <w:numPr>
          <w:ilvl w:val="0"/>
          <w:numId w:val="1017"/>
        </w:numPr>
        <w:pStyle w:val="Compact"/>
      </w:pPr>
      <w:r>
        <w:t xml:space="preserve">Daily accrual schedule</w:t>
      </w:r>
    </w:p>
    <w:p>
      <w:pPr>
        <w:numPr>
          <w:ilvl w:val="0"/>
          <w:numId w:val="1017"/>
        </w:numPr>
        <w:pStyle w:val="Compact"/>
      </w:pPr>
      <w:r>
        <w:t xml:space="preserve">Capitalised coupon events per tranche</w:t>
      </w:r>
    </w:p>
    <w:p>
      <w:pPr>
        <w:numPr>
          <w:ilvl w:val="0"/>
          <w:numId w:val="1017"/>
        </w:numPr>
        <w:pStyle w:val="Compact"/>
      </w:pPr>
      <w:r>
        <w:t xml:space="preserve">Rows tied back to source drawdowns</w:t>
      </w:r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</w:rPr>
        <w:t xml:space="preserve">Accounting</w:t>
      </w:r>
      <w:r>
        <w:t xml:space="preserve"> </w:t>
      </w:r>
      <w:r>
        <w:t xml:space="preserve">tab (Stage 2). Click</w:t>
      </w:r>
      <w:r>
        <w:t xml:space="preserve"> </w:t>
      </w:r>
      <w:r>
        <w:t xml:space="preserve">“</w:t>
      </w:r>
      <w:r>
        <w:t xml:space="preserve">Run accounting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What to point out:</w:t>
      </w:r>
    </w:p>
    <w:p>
      <w:pPr>
        <w:numPr>
          <w:ilvl w:val="0"/>
          <w:numId w:val="1018"/>
        </w:numPr>
        <w:pStyle w:val="Compact"/>
      </w:pPr>
      <w:r>
        <w:t xml:space="preserve">Journal entries post: drawdowns (Dr Loan / Cr Cash), coupon accruals (Dr Interest Rec / Cr Interest Income), fees (per IFRS treatment tag — arrangement into EIR, management into revenue over time).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JE Trace</w:t>
      </w:r>
      <w:r>
        <w:t xml:space="preserve"> </w:t>
      </w:r>
      <w:r>
        <w:t xml:space="preserve">subtab shows drill-down to source event.</w:t>
      </w:r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Click</w:t>
      </w:r>
      <w:r>
        <w:t xml:space="preserve"> </w:t>
      </w:r>
      <w:r>
        <w:rPr>
          <w:b/>
        </w:rPr>
        <w:t xml:space="preserve">Notices</w:t>
      </w:r>
      <w:r>
        <w:t xml:space="preserve"> </w:t>
      </w:r>
      <w:r>
        <w:t xml:space="preserve">in the sidebar. Filter to Barrenjoey.</w:t>
      </w:r>
    </w:p>
    <w:p>
      <w:pPr>
        <w:pStyle w:val="BodyText"/>
      </w:pPr>
      <w:r>
        <w:rPr>
          <w:b/>
        </w:rPr>
        <w:t xml:space="preserve">What to point out:</w:t>
      </w:r>
    </w:p>
    <w:p>
      <w:pPr>
        <w:numPr>
          <w:ilvl w:val="0"/>
          <w:numId w:val="1019"/>
        </w:numPr>
        <w:pStyle w:val="Compact"/>
      </w:pPr>
      <w:r>
        <w:t xml:space="preserve">36 notices already derived: drawdown notifications, coupon capitalisation events, upcoming payment reminders.</w:t>
      </w:r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Click</w:t>
      </w:r>
      <w:r>
        <w:t xml:space="preserve"> </w:t>
      </w:r>
      <w:r>
        <w:rPr>
          <w:b/>
        </w:rPr>
        <w:t xml:space="preserve">Watchlist</w:t>
      </w:r>
      <w:r>
        <w:t xml:space="preserve"> </w:t>
      </w:r>
      <w:r>
        <w:t xml:space="preserve">in the sidebar.</w:t>
      </w:r>
    </w:p>
    <w:p>
      <w:pPr>
        <w:pStyle w:val="BodyText"/>
      </w:pPr>
      <w:r>
        <w:rPr>
          <w:b/>
        </w:rPr>
        <w:t xml:space="preserve">What to point out:</w:t>
      </w:r>
    </w:p>
    <w:p>
      <w:pPr>
        <w:numPr>
          <w:ilvl w:val="0"/>
          <w:numId w:val="1020"/>
        </w:numPr>
        <w:pStyle w:val="Compact"/>
      </w:pPr>
      <w:r>
        <w:t xml:space="preserve">Barrenjoey appears with all 5 covenants tested:</w:t>
      </w:r>
    </w:p>
    <w:p>
      <w:pPr>
        <w:numPr>
          <w:ilvl w:val="1"/>
          <w:numId w:val="1021"/>
        </w:numPr>
        <w:pStyle w:val="Compact"/>
      </w:pPr>
      <w:r>
        <w:t xml:space="preserve">LVR (construction) vs 89.4% cap</w:t>
      </w:r>
    </w:p>
    <w:p>
      <w:pPr>
        <w:numPr>
          <w:ilvl w:val="1"/>
          <w:numId w:val="1021"/>
        </w:numPr>
        <w:pStyle w:val="Compact"/>
      </w:pPr>
      <w:r>
        <w:t xml:space="preserve">LTC vs 92.7% cap</w:t>
      </w:r>
    </w:p>
    <w:p>
      <w:pPr>
        <w:numPr>
          <w:ilvl w:val="1"/>
          <w:numId w:val="1021"/>
        </w:numPr>
        <w:pStyle w:val="Compact"/>
      </w:pPr>
      <w:r>
        <w:t xml:space="preserve">RLVR vs 86% cap</w:t>
      </w:r>
    </w:p>
    <w:p>
      <w:pPr>
        <w:numPr>
          <w:ilvl w:val="1"/>
          <w:numId w:val="1021"/>
        </w:numPr>
        <w:pStyle w:val="Compact"/>
      </w:pPr>
      <w:r>
        <w:t xml:space="preserve">MinNAV — reads guarantor sum ($18.6m ≥ $15m)</w:t>
      </w:r>
    </w:p>
    <w:p>
      <w:pPr>
        <w:numPr>
          <w:ilvl w:val="1"/>
          <w:numId w:val="1021"/>
        </w:numPr>
        <w:pStyle w:val="Compact"/>
      </w:pPr>
      <w:r>
        <w:t xml:space="preserve">MinPresales vs $46.5m</w:t>
      </w:r>
    </w:p>
    <w:p>
      <w:pPr>
        <w:pStyle w:val="FirstParagraph"/>
      </w:pPr>
      <w:r>
        <w:rPr>
          <w:b/>
        </w:rPr>
        <w:t xml:space="preserve">Talking point:</w:t>
      </w:r>
    </w:p>
    <w:p>
      <w:pPr>
        <w:pStyle w:val="BlockText"/>
      </w:pPr>
      <w:r>
        <w:t xml:space="preserve">Everything I’ve shown you so far — deal setup, guarantors, waterfall — feeds into Watchlist + Dashboard live. When a valuation certificate arrives, ops updates one field, the LVR covenant re-evaluates, if it breaches a notice auto-posts to the Notices inbox.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15f12bbcf88b416972235909878aae887777268"/>
      <w:r>
        <w:t xml:space="preserve">Act 9 — Access control (2 min) —</w:t>
      </w:r>
      <w:r>
        <w:t xml:space="preserve"> </w:t>
      </w:r>
      <w:r>
        <w:rPr>
          <w:b/>
        </w:rPr>
        <w:t xml:space="preserve">enterprise credibility</w:t>
      </w:r>
      <w:bookmarkEnd w:id="32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Scroll to</w:t>
      </w:r>
      <w:r>
        <w:t xml:space="preserve"> </w:t>
      </w:r>
      <w:r>
        <w:rPr>
          <w:b/>
        </w:rPr>
        <w:t xml:space="preserve">Deal Setup → Access &amp; assignments</w:t>
      </w:r>
      <w:r>
        <w:t xml:space="preserve">.</w:t>
      </w:r>
    </w:p>
    <w:p>
      <w:pPr>
        <w:pStyle w:val="BodyText"/>
      </w:pPr>
      <w:r>
        <w:rPr>
          <w:b/>
        </w:rPr>
        <w:t xml:space="preserve">What to point out: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Assigned team</w:t>
      </w:r>
      <w:r>
        <w:t xml:space="preserve"> </w:t>
      </w:r>
      <w:r>
        <w:t xml:space="preserve">dropdown — this deal can be attached to a team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User dropdown</w:t>
      </w:r>
      <w:r>
        <w:t xml:space="preserve"> </w:t>
      </w:r>
      <w:r>
        <w:t xml:space="preserve">with all workspace users (Ferhat, Paul, Marija) — grant direct access</w:t>
      </w:r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Click</w:t>
      </w:r>
      <w:r>
        <w:t xml:space="preserve"> </w:t>
      </w:r>
      <w:r>
        <w:rPr>
          <w:b/>
        </w:rPr>
        <w:t xml:space="preserve">Manage teams</w:t>
      </w:r>
      <w:r>
        <w:t xml:space="preserve"> </w:t>
      </w:r>
      <w:r>
        <w:t xml:space="preserve">in the sidebar (visible because you’re admin).</w:t>
      </w:r>
    </w:p>
    <w:p>
      <w:pPr>
        <w:pStyle w:val="BodyText"/>
      </w:pPr>
      <w:r>
        <w:rPr>
          <w:b/>
        </w:rPr>
        <w:t xml:space="preserve">What to point out: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Workspace admins</w:t>
      </w:r>
      <w:r>
        <w:t xml:space="preserve"> </w:t>
      </w:r>
      <w:r>
        <w:t xml:space="preserve">section at the top — every user with an admin toggle. Try flipping Paul to admin and back — instant, with the last-admin guardrail. Sign in and out logs show up.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Create team</w:t>
      </w:r>
      <w:r>
        <w:t xml:space="preserve"> </w:t>
      </w:r>
      <w:r>
        <w:t xml:space="preserve">+ assign members below.</w:t>
      </w:r>
    </w:p>
    <w:p>
      <w:pPr>
        <w:pStyle w:val="FirstParagraph"/>
      </w:pPr>
      <w:r>
        <w:rPr>
          <w:b/>
        </w:rPr>
        <w:t xml:space="preserve">Talking point:</w:t>
      </w:r>
    </w:p>
    <w:p>
      <w:pPr>
        <w:pStyle w:val="BlockText"/>
      </w:pPr>
      <w:r>
        <w:t xml:space="preserve">Row-level security on the DB — a non-admin user like Paul only sees deals he’s assigned to (directly or via a team). Ops teams for RE deals see the RE book, ag teams see the ag book. Admin sees everything. This is table-stakes for a shared workspace serving multiple deal desks.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X5db8b3bdfee54f4dbdbfb84c40d4a7d19f268c1"/>
      <w:r>
        <w:t xml:space="preserve">DEAL 2 — Barrenjoey FirstAg Livestock (~15–18 min)</w:t>
      </w:r>
      <w:bookmarkEnd w:id="33"/>
    </w:p>
    <w:p>
      <w:pPr>
        <w:pStyle w:val="Heading2"/>
      </w:pPr>
      <w:bookmarkStart w:id="34" w:name="transition-30-sec"/>
      <w:r>
        <w:t xml:space="preserve">Transition (30 sec)</w:t>
      </w:r>
      <w:bookmarkEnd w:id="34"/>
    </w:p>
    <w:p>
      <w:pPr>
        <w:pStyle w:val="BlockText"/>
      </w:pPr>
      <w:r>
        <w:t xml:space="preserve">Same platform. Different deal. From the picker, I’m switching to FirstAg Livestock.</w:t>
      </w:r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Header deal picker 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Barrenjoey FirstAg Livestock — Example 2 (anonymised)</w:t>
      </w:r>
      <w:r>
        <w:rPr>
          <w:b/>
        </w:rPr>
        <w:t xml:space="preserve">”</w:t>
      </w:r>
      <w:r>
        <w:t xml:space="preserve">.</w:t>
      </w:r>
    </w:p>
    <w:p>
      <w:pPr>
        <w:pStyle w:val="Heading2"/>
      </w:pPr>
      <w:bookmarkStart w:id="35" w:name="act-1-structure-difference-2-min"/>
      <w:r>
        <w:t xml:space="preserve">Act 1 — Structure difference (2 min)</w:t>
      </w:r>
      <w:bookmarkEnd w:id="35"/>
    </w:p>
    <w:p>
      <w:pPr>
        <w:pStyle w:val="FirstParagraph"/>
      </w:pPr>
      <w:r>
        <w:rPr>
          <w:b/>
        </w:rPr>
        <w:t xml:space="preserve">What to immediately point out: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Deal structure dropdown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Revolving borrowing base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Construction / mezz support panel is GONE</w:t>
      </w:r>
      <w:r>
        <w:t xml:space="preserve"> </w:t>
      </w:r>
      <w:r>
        <w:t xml:space="preserve">— irrelevant for this deal, so hidden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New panel visible: Borrowing base configuration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Guarantors + Legal panels still there</w:t>
      </w:r>
      <w:r>
        <w:t xml:space="preserve"> </w:t>
      </w:r>
      <w:r>
        <w:t xml:space="preserve">— those are universal</w:t>
      </w:r>
    </w:p>
    <w:p>
      <w:pPr>
        <w:pStyle w:val="FirstParagraph"/>
      </w:pPr>
      <w:r>
        <w:rPr>
          <w:b/>
        </w:rPr>
        <w:t xml:space="preserve">Talking point:</w:t>
      </w:r>
    </w:p>
    <w:p>
      <w:pPr>
        <w:pStyle w:val="BlockText"/>
      </w:pPr>
      <w:r>
        <w:t xml:space="preserve">This is what the Deal structure dropdown does — hides sections that don’t apply. FirstAg doesn’t have senior debt, LVR/LTC/RLVR, or cost-overrun mechanics. It has borrowing-base mechanics. So the UI changes accordingly.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d88bbbc42be482ecb93648b8b883fcdcda5bacd"/>
      <w:r>
        <w:t xml:space="preserve">Act 2 — Facility sizing + BB config panels (3 min)</w:t>
      </w:r>
      <w:bookmarkEnd w:id="36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Expand</w:t>
      </w:r>
      <w:r>
        <w:t xml:space="preserve"> </w:t>
      </w:r>
      <w:r>
        <w:rPr>
          <w:b/>
        </w:rPr>
        <w:t xml:space="preserve">Borrowing base configuration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</w:rPr>
        <w:t xml:space="preserve">What to point out:</w:t>
      </w:r>
    </w:p>
    <w:p>
      <w:pPr>
        <w:numPr>
          <w:ilvl w:val="0"/>
          <w:numId w:val="1025"/>
        </w:numPr>
        <w:pStyle w:val="Compact"/>
      </w:pPr>
      <w:r>
        <w:t xml:space="preserve">Facility limit</w:t>
      </w:r>
      <w:r>
        <w:t xml:space="preserve"> </w:t>
      </w:r>
      <w:r>
        <w:rPr>
          <w:b/>
        </w:rPr>
        <w:t xml:space="preserve">$40m</w:t>
      </w:r>
      <w:r>
        <w:t xml:space="preserve"> </w:t>
      </w:r>
      <w:r>
        <w:t xml:space="preserve">(on facility card above)</w:t>
      </w:r>
    </w:p>
    <w:p>
      <w:pPr>
        <w:numPr>
          <w:ilvl w:val="0"/>
          <w:numId w:val="1025"/>
        </w:numPr>
        <w:pStyle w:val="Compact"/>
      </w:pPr>
      <w:r>
        <w:t xml:space="preserve">Backgrounding sub-limit</w:t>
      </w:r>
      <w:r>
        <w:t xml:space="preserve"> </w:t>
      </w:r>
      <w:r>
        <w:rPr>
          <w:b/>
        </w:rPr>
        <w:t xml:space="preserve">$8m</w:t>
      </w:r>
      <w:r>
        <w:t xml:space="preserve"> </w:t>
      </w:r>
      <w:r>
        <w:t xml:space="preserve">· 60-day cap on uncontracted commodities</w:t>
      </w:r>
    </w:p>
    <w:p>
      <w:pPr>
        <w:numPr>
          <w:ilvl w:val="0"/>
          <w:numId w:val="1025"/>
        </w:numPr>
        <w:pStyle w:val="Compact"/>
      </w:pPr>
      <w:r>
        <w:t xml:space="preserve">Max utilisations outstanding</w:t>
      </w:r>
      <w:r>
        <w:t xml:space="preserve"> </w:t>
      </w:r>
      <w:r>
        <w:rPr>
          <w:b/>
        </w:rPr>
        <w:t xml:space="preserve">26</w:t>
      </w:r>
    </w:p>
    <w:p>
      <w:pPr>
        <w:numPr>
          <w:ilvl w:val="0"/>
          <w:numId w:val="1025"/>
        </w:numPr>
        <w:pStyle w:val="Compact"/>
      </w:pPr>
      <w:r>
        <w:t xml:space="preserve">Min utilisation amount</w:t>
      </w:r>
      <w:r>
        <w:t xml:space="preserve"> </w:t>
      </w:r>
      <w:r>
        <w:rPr>
          <w:b/>
        </w:rPr>
        <w:t xml:space="preserve">$100,000</w:t>
      </w:r>
    </w:p>
    <w:p>
      <w:pPr>
        <w:numPr>
          <w:ilvl w:val="0"/>
          <w:numId w:val="1025"/>
        </w:numPr>
        <w:pStyle w:val="Compact"/>
      </w:pPr>
      <w:r>
        <w:t xml:space="preserve">Extension option</w:t>
      </w:r>
      <w:r>
        <w:t xml:space="preserve"> </w:t>
      </w:r>
      <w:r>
        <w:rPr>
          <w:b/>
        </w:rPr>
        <w:t xml:space="preserve">364 days</w:t>
      </w:r>
      <w:r>
        <w:t xml:space="preserve"> </w:t>
      </w:r>
      <w:r>
        <w:t xml:space="preserve">· Extension notice</w:t>
      </w:r>
      <w:r>
        <w:t xml:space="preserve"> </w:t>
      </w:r>
      <w:r>
        <w:rPr>
          <w:b/>
        </w:rPr>
        <w:t xml:space="preserve">3 months</w:t>
      </w:r>
    </w:p>
    <w:p>
      <w:pPr>
        <w:numPr>
          <w:ilvl w:val="0"/>
          <w:numId w:val="1025"/>
        </w:numPr>
        <w:pStyle w:val="Compact"/>
      </w:pPr>
      <w:r>
        <w:t xml:space="preserve">Below the sizing fields,</w:t>
      </w:r>
      <w:r>
        <w:t xml:space="preserve"> </w:t>
      </w:r>
      <w:r>
        <w:rPr>
          <w:b/>
        </w:rPr>
        <w:t xml:space="preserve">three sub-panels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Eligible asset classes (6)</w:t>
      </w:r>
      <w:r>
        <w:t xml:space="preserve"> </w:t>
      </w:r>
      <w:r>
        <w:t xml:space="preserve">— table with add/edit/delete: breeding (0%), backgrounding uncontracted (100% × purchase), backgrounding contracted (80% × NRV), feedlot uncontracted (100%), feedlot contracted (80%), insured receivable (85%)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Approved locations (16)</w:t>
      </w:r>
      <w:r>
        <w:t xml:space="preserve"> </w:t>
      </w:r>
      <w:r>
        <w:t xml:space="preserve">— table showing Location 1..16 with access structure (guarantor-owned, third-party feedlot, third-party agistment) and commodity groups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Approved offtakers (7)</w:t>
      </w:r>
      <w:r>
        <w:t xml:space="preserve"> </w:t>
      </w:r>
      <w:r>
        <w:t xml:space="preserve">— 6 named offtakers + 1 Trade Credit Insurance policy fallback, each with contract method + target days on feed</w:t>
      </w:r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Click one asset class row — try editing the advance rate from 80 to 85, click save. Toast confirms. When we open the Borrowing base modal next, the live compute will pick up the new rate.</w:t>
      </w:r>
    </w:p>
    <w:p>
      <w:pPr>
        <w:pStyle w:val="BodyText"/>
      </w:pPr>
      <w:r>
        <w:rPr>
          <w:b/>
        </w:rPr>
        <w:t xml:space="preserve">Talking point:</w:t>
      </w:r>
    </w:p>
    <w:p>
      <w:pPr>
        <w:pStyle w:val="BlockText"/>
      </w:pPr>
      <w:r>
        <w:t xml:space="preserve">Every FirstAg-specific configuration is editable in the UI — asset classes, locations, offtakers. Not hardcoded, not in a config file. If Barrenjoey adds a 17th approved location or a new offtaker, an ops user makes the change without engineering.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act-3-guarantors-1-min"/>
      <w:r>
        <w:t xml:space="preserve">Act 3 — Guarantors (1 min)</w:t>
      </w:r>
      <w:bookmarkEnd w:id="37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Scroll to</w:t>
      </w:r>
      <w:r>
        <w:t xml:space="preserve"> </w:t>
      </w:r>
      <w:r>
        <w:rPr>
          <w:b/>
        </w:rPr>
        <w:t xml:space="preserve">Guarantors &amp; NAV covenant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</w:rPr>
        <w:t xml:space="preserve">What to point out: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5 guarantors seeded</w:t>
      </w:r>
      <w:r>
        <w:t xml:space="preserve"> </w:t>
      </w:r>
      <w:r>
        <w:t xml:space="preserve">matching the term sheet (Schedule 1): 1 corporate parent + 4 as trustees of property trusts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Total qualifying assets: $25.9m</w:t>
      </w:r>
    </w:p>
    <w:p>
      <w:pPr>
        <w:numPr>
          <w:ilvl w:val="0"/>
          <w:numId w:val="1027"/>
        </w:numPr>
        <w:pStyle w:val="Compact"/>
      </w:pPr>
      <w:r>
        <w:t xml:space="preserve">Each guarantor card shows sample AU real estate valuations from independent valuers</w:t>
      </w:r>
    </w:p>
    <w:p>
      <w:pPr>
        <w:pStyle w:val="FirstParagraph"/>
      </w:pPr>
      <w:r>
        <w:rPr>
          <w:b/>
        </w:rPr>
        <w:t xml:space="preserve">Talking point:</w:t>
      </w:r>
    </w:p>
    <w:p>
      <w:pPr>
        <w:pStyle w:val="BlockText"/>
      </w:pPr>
      <w:r>
        <w:t xml:space="preserve">Same guarantor registry pattern as RE Mezz. Every deal — mezz, revolver, borrowing base — can have guarantors with qualifying-asset breakdowns. Universal panel.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act-4-fees-2-min"/>
      <w:r>
        <w:t xml:space="preserve">Act 4 — Fees (2 min)</w:t>
      </w:r>
      <w:bookmarkEnd w:id="38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Scroll to</w:t>
      </w:r>
      <w:r>
        <w:t xml:space="preserve"> </w:t>
      </w:r>
      <w:r>
        <w:rPr>
          <w:b/>
        </w:rPr>
        <w:t xml:space="preserve">Fees</w:t>
      </w:r>
      <w:r>
        <w:t xml:space="preserve">.</w:t>
      </w:r>
    </w:p>
    <w:p>
      <w:pPr>
        <w:pStyle w:val="BodyText"/>
      </w:pPr>
      <w:r>
        <w:rPr>
          <w:b/>
        </w:rPr>
        <w:t xml:space="preserve">What to point out: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Establishment fee</w:t>
      </w:r>
      <w:r>
        <w:t xml:space="preserve"> </w:t>
      </w:r>
      <w:r>
        <w:t xml:space="preserve">· $400,000 flat · one-off at close ·</w:t>
      </w:r>
      <w:r>
        <w:t xml:space="preserve"> </w:t>
      </w:r>
      <w:r>
        <w:rPr>
          <w:b/>
        </w:rPr>
        <w:t xml:space="preserve">Deduct from 1st draw</w:t>
      </w:r>
      <w:r>
        <w:t xml:space="preserve"> </w:t>
      </w:r>
      <w:r>
        <w:t xml:space="preserve">= ✓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Undrawn fee (40% of margin, ramp mechanic)</w:t>
      </w:r>
      <w:r>
        <w:t xml:space="preserve"> </w:t>
      </w:r>
      <w:r>
        <w:t xml:space="preserve">· mode =</w:t>
      </w:r>
      <w:r>
        <w:t xml:space="preserve"> </w:t>
      </w:r>
      <w:r>
        <w:rPr>
          <w:b/>
        </w:rPr>
        <w:t xml:space="preserve">Undrawn (ramp)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Ramp limit $30m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Ramp months 4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Cancel trigger $30m drawn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280 bps</w:t>
      </w:r>
      <w:r>
        <w:t xml:space="preserve"> </w:t>
      </w:r>
      <w:r>
        <w:t xml:space="preserve">(= 40% × 700 bps margin)</w:t>
      </w:r>
    </w:p>
    <w:p>
      <w:pPr>
        <w:pStyle w:val="FirstParagraph"/>
      </w:pPr>
      <w:r>
        <w:rPr>
          <w:b/>
        </w:rPr>
        <w:t xml:space="preserve">Talking point:</w:t>
      </w:r>
    </w:p>
    <w:p>
      <w:pPr>
        <w:pStyle w:val="BlockText"/>
      </w:pPr>
      <w:r>
        <w:t xml:space="preserve">The undrawn-fee ramp is the term sheet’s most distinctive fee gimmick. During the first 4 months (or until loans exceed $30m), the undrawn fee is calculated as if the facility limit were $30m rather than $40m. Reduces borrower fee drag while they’re ramping utilisation. The engine handles it — first-class mode, not a workaround.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272b77115b1fe971c80886f195f7fe24d9ded40"/>
      <w:r>
        <w:t xml:space="preserve">Act 5 — Borrowing Base modal (5 min) —</w:t>
      </w:r>
      <w:r>
        <w:t xml:space="preserve"> </w:t>
      </w:r>
      <w:r>
        <w:rPr>
          <w:b/>
        </w:rPr>
        <w:t xml:space="preserve">the money shot for FirstAg</w:t>
      </w:r>
      <w:bookmarkEnd w:id="39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Click</w:t>
      </w:r>
      <w:r>
        <w:t xml:space="preserve"> </w:t>
      </w:r>
      <w:r>
        <w:rPr>
          <w:b/>
        </w:rPr>
        <w:t xml:space="preserve">Borrowing base</w:t>
      </w:r>
      <w:r>
        <w:t xml:space="preserve"> </w:t>
      </w:r>
      <w:r>
        <w:t xml:space="preserve">in the sidebar (scale icon).</w:t>
      </w:r>
    </w:p>
    <w:p>
      <w:pPr>
        <w:pStyle w:val="BodyText"/>
      </w:pPr>
      <w:r>
        <w:rPr>
          <w:b/>
        </w:rPr>
        <w:t xml:space="preserve">What to point out in the modal:</w:t>
      </w:r>
    </w:p>
    <w:p>
      <w:pPr>
        <w:numPr>
          <w:ilvl w:val="0"/>
          <w:numId w:val="1029"/>
        </w:numPr>
        <w:pStyle w:val="Compact"/>
      </w:pPr>
      <w:r>
        <w:t xml:space="preserve">Deal picker at top — FirstAg selected under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Borrowing-base deals</w:t>
      </w:r>
      <w:r>
        <w:rPr>
          <w:b/>
        </w:rPr>
        <w:t xml:space="preserve">”</w:t>
      </w:r>
      <w:r>
        <w:t xml:space="preserve"> </w:t>
      </w:r>
      <w:r>
        <w:t xml:space="preserve">group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Config summary strip</w:t>
      </w:r>
      <w:r>
        <w:t xml:space="preserve"> </w:t>
      </w:r>
      <w:r>
        <w:t xml:space="preserve">— facility limit, sub-limit, max util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Left pane — Live inventory (5 rows):</w:t>
      </w:r>
    </w:p>
    <w:p>
      <w:pPr>
        <w:numPr>
          <w:ilvl w:val="1"/>
          <w:numId w:val="1030"/>
        </w:numPr>
        <w:pStyle w:val="Compact"/>
      </w:pPr>
      <w:r>
        <w:t xml:space="preserve">Contracted feedlot @ Location 4 · 200 head · $480k NRV · 60d on feed</w:t>
      </w:r>
    </w:p>
    <w:p>
      <w:pPr>
        <w:numPr>
          <w:ilvl w:val="1"/>
          <w:numId w:val="1030"/>
        </w:numPr>
        <w:pStyle w:val="Compact"/>
      </w:pPr>
      <w:r>
        <w:t xml:space="preserve">Contracted feedlot @ Location 5 · 150 head · $360k NRV · 45d on feed</w:t>
      </w:r>
    </w:p>
    <w:p>
      <w:pPr>
        <w:numPr>
          <w:ilvl w:val="1"/>
          <w:numId w:val="1030"/>
        </w:numPr>
        <w:pStyle w:val="Compact"/>
      </w:pPr>
      <w:r>
        <w:t xml:space="preserve">Uncontracted backgrounding @ Location 10 · 80 head · $96k purchase · 30d</w:t>
      </w:r>
    </w:p>
    <w:p>
      <w:pPr>
        <w:numPr>
          <w:ilvl w:val="1"/>
          <w:numId w:val="1030"/>
        </w:numPr>
        <w:pStyle w:val="Compact"/>
      </w:pPr>
      <w:r>
        <w:t xml:space="preserve">Uncontracted backgrounding @ Location 11 · 60 head · $72k purchase · 55d</w:t>
      </w:r>
    </w:p>
    <w:p>
      <w:pPr>
        <w:numPr>
          <w:ilvl w:val="1"/>
          <w:numId w:val="1030"/>
        </w:numPr>
        <w:pStyle w:val="Compact"/>
      </w:pPr>
      <w:r>
        <w:t xml:space="preserve">Eligible insured receivable · $250k invoice face · 5d old</w:t>
      </w:r>
    </w:p>
    <w:p>
      <w:pPr>
        <w:numPr>
          <w:ilvl w:val="1"/>
          <w:numId w:val="1030"/>
        </w:numPr>
        <w:pStyle w:val="Compact"/>
      </w:pPr>
      <w:r>
        <w:t xml:space="preserve">Days-on-feed badges colour-coded (green under 60d, amber over 60d, red over 90d for uncontracted)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Right pane — Computed borrowing base: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$1,089,700</w:t>
      </w:r>
      <w:r>
        <w:t xml:space="preserve"> </w:t>
      </w:r>
      <w:r>
        <w:t xml:space="preserve">— headline number</w:t>
      </w:r>
    </w:p>
    <w:p>
      <w:pPr>
        <w:numPr>
          <w:ilvl w:val="1"/>
          <w:numId w:val="1031"/>
        </w:numPr>
        <w:pStyle w:val="Compact"/>
      </w:pPr>
      <w:r>
        <w:t xml:space="preserve">Breakdown by asset class with contribution per class</w:t>
      </w:r>
    </w:p>
    <w:p>
      <w:pPr>
        <w:numPr>
          <w:ilvl w:val="1"/>
          <w:numId w:val="1031"/>
        </w:numPr>
        <w:pStyle w:val="Compact"/>
      </w:pPr>
      <w:r>
        <w:t xml:space="preserve">Backgrounding sub-limit tracker (used vs $8m cap)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Certificates:</w:t>
      </w:r>
    </w:p>
    <w:p>
      <w:pPr>
        <w:numPr>
          <w:ilvl w:val="1"/>
          <w:numId w:val="1032"/>
        </w:numPr>
        <w:pStyle w:val="Compact"/>
      </w:pPr>
      <w:r>
        <w:t xml:space="preserve">1 approved certificate at today’s date</w:t>
      </w:r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Add a new inventory row → base updates live. Then edit an existing row’s value → base recomputes.</w:t>
      </w:r>
    </w:p>
    <w:p>
      <w:pPr>
        <w:pStyle w:val="BodyText"/>
      </w:pPr>
      <w:r>
        <w:rPr>
          <w:b/>
        </w:rPr>
        <w:t xml:space="preserve">Action:</w:t>
      </w:r>
      <w:r>
        <w:t xml:space="preserve"> </w:t>
      </w:r>
      <w:r>
        <w:t xml:space="preserve">Click</w:t>
      </w:r>
      <w:r>
        <w:t xml:space="preserve"> </w:t>
      </w:r>
      <w:r>
        <w:rPr>
          <w:b/>
        </w:rPr>
        <w:t xml:space="preserve">Submit certificate</w:t>
      </w:r>
      <w:r>
        <w:t xml:space="preserve">. Toast confirms. Row appears as</w:t>
      </w:r>
      <w:r>
        <w:t xml:space="preserve"> </w:t>
      </w:r>
      <w:r>
        <w:t xml:space="preserve">“</w:t>
      </w:r>
      <w:r>
        <w:t xml:space="preserve">submitted</w:t>
      </w:r>
      <w:r>
        <w:t xml:space="preserve">”</w:t>
      </w:r>
      <w:r>
        <w:t xml:space="preserve">. Click</w:t>
      </w:r>
      <w:r>
        <w:t xml:space="preserve"> </w:t>
      </w:r>
      <w:r>
        <w:rPr>
          <w:b/>
        </w:rPr>
        <w:t xml:space="preserve">Approve</w:t>
      </w:r>
      <w:r>
        <w:t xml:space="preserve"> </w:t>
      </w:r>
      <w:r>
        <w:t xml:space="preserve">on it. Moves to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pill.</w:t>
      </w:r>
    </w:p>
    <w:p>
      <w:pPr>
        <w:pStyle w:val="BodyText"/>
      </w:pPr>
      <w:r>
        <w:rPr>
          <w:b/>
        </w:rPr>
        <w:t xml:space="preserve">Talking point:</w:t>
      </w:r>
    </w:p>
    <w:p>
      <w:pPr>
        <w:pStyle w:val="BlockText"/>
      </w:pPr>
      <w:r>
        <w:t xml:space="preserve">The borrowing base is computed live from inventory rows. Any change — new stock in, receivables collected, prices updated — recomputes the base immediately. When the ops team submits a Borrowing Base Certificate, it captures a dated snapshot with the breakdown. The Facility Manager reviews and approves or rejects. That workflow drives what the borrower can draw against.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110c4c2225c446202320275314e4fdab220f962"/>
      <w:r>
        <w:t xml:space="preserve">Act 6 — Cashflow simulator (3 min) —</w:t>
      </w:r>
      <w:r>
        <w:t xml:space="preserve"> </w:t>
      </w:r>
      <w:r>
        <w:rPr>
          <w:b/>
        </w:rPr>
        <w:t xml:space="preserve">new for FirstAg</w:t>
      </w:r>
      <w:bookmarkEnd w:id="40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Stay in the Borrowing base modal. Scroll the right column to</w:t>
      </w:r>
      <w:r>
        <w:t xml:space="preserve"> </w:t>
      </w:r>
      <w:r>
        <w:rPr>
          <w:b/>
        </w:rPr>
        <w:t xml:space="preserve">Cashflow simulator</w:t>
      </w:r>
      <w:r>
        <w:t xml:space="preserve">.</w:t>
      </w:r>
    </w:p>
    <w:p>
      <w:pPr>
        <w:pStyle w:val="BodyText"/>
      </w:pPr>
      <w:r>
        <w:rPr>
          <w:b/>
        </w:rPr>
        <w:t xml:space="preserve">What to point out: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Summary strip:</w:t>
      </w:r>
    </w:p>
    <w:p>
      <w:pPr>
        <w:numPr>
          <w:ilvl w:val="1"/>
          <w:numId w:val="1034"/>
        </w:numPr>
        <w:pStyle w:val="Compact"/>
      </w:pPr>
      <w:r>
        <w:t xml:space="preserve">Outstanding</w:t>
      </w:r>
      <w:r>
        <w:t xml:space="preserve"> </w:t>
      </w:r>
      <w:r>
        <w:rPr>
          <w:b/>
        </w:rPr>
        <w:t xml:space="preserve">$12,000,000</w:t>
      </w:r>
      <w:r>
        <w:t xml:space="preserve"> </w:t>
      </w:r>
      <w:r>
        <w:t xml:space="preserve">(from the $12m drawdown seeded at close)</w:t>
      </w:r>
    </w:p>
    <w:p>
      <w:pPr>
        <w:numPr>
          <w:ilvl w:val="1"/>
          <w:numId w:val="1034"/>
        </w:numPr>
        <w:pStyle w:val="Compact"/>
      </w:pPr>
      <w:r>
        <w:t xml:space="preserve">Utilisation</w:t>
      </w:r>
      <w:r>
        <w:t xml:space="preserve"> </w:t>
      </w:r>
      <w:r>
        <w:rPr>
          <w:b/>
        </w:rPr>
        <w:t xml:space="preserve">30%</w:t>
      </w:r>
    </w:p>
    <w:p>
      <w:pPr>
        <w:numPr>
          <w:ilvl w:val="1"/>
          <w:numId w:val="1034"/>
        </w:numPr>
        <w:pStyle w:val="Compact"/>
      </w:pPr>
      <w:r>
        <w:t xml:space="preserve">All-in rate</w:t>
      </w:r>
      <w:r>
        <w:t xml:space="preserve"> </w:t>
      </w:r>
      <w:r>
        <w:rPr>
          <w:b/>
        </w:rPr>
        <w:t xml:space="preserve">11.35%</w:t>
      </w:r>
      <w:r>
        <w:t xml:space="preserve"> </w:t>
      </w:r>
      <w:r>
        <w:t xml:space="preserve">(BBSY 4.35% + 700 bps)</w:t>
      </w:r>
    </w:p>
    <w:p>
      <w:pPr>
        <w:numPr>
          <w:ilvl w:val="1"/>
          <w:numId w:val="1034"/>
        </w:numPr>
        <w:pStyle w:val="Compact"/>
      </w:pPr>
      <w:r>
        <w:t xml:space="preserve">Interest / 7 days:</w:t>
      </w:r>
      <w:r>
        <w:t xml:space="preserve"> </w:t>
      </w:r>
      <w:r>
        <w:rPr>
          <w:b/>
        </w:rPr>
        <w:t xml:space="preserve">$26,120</w:t>
      </w:r>
    </w:p>
    <w:p>
      <w:pPr>
        <w:numPr>
          <w:ilvl w:val="1"/>
          <w:numId w:val="1034"/>
        </w:numPr>
        <w:pStyle w:val="Compact"/>
      </w:pPr>
      <w:r>
        <w:t xml:space="preserve">Interest / 30 days:</w:t>
      </w:r>
      <w:r>
        <w:t xml:space="preserve"> </w:t>
      </w:r>
      <w:r>
        <w:rPr>
          <w:b/>
        </w:rPr>
        <w:t xml:space="preserve">$111,945</w:t>
      </w:r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In the Simulate inflow form:</w:t>
      </w:r>
      <w:r>
        <w:t xml:space="preserve"> </w:t>
      </w:r>
      <w:r>
        <w:t xml:space="preserve">- Days:</w:t>
      </w:r>
      <w:r>
        <w:t xml:space="preserve"> </w:t>
      </w:r>
      <w:r>
        <w:rPr>
          <w:b/>
        </w:rPr>
        <w:t xml:space="preserve">7</w:t>
      </w:r>
      <w:r>
        <w:t xml:space="preserve"> </w:t>
      </w:r>
      <w:r>
        <w:t xml:space="preserve">- Amount:</w:t>
      </w:r>
      <w:r>
        <w:t xml:space="preserve"> </w:t>
      </w:r>
      <w:r>
        <w:rPr>
          <w:b/>
        </w:rPr>
        <w:t xml:space="preserve">250000</w:t>
      </w:r>
      <w:r>
        <w:t xml:space="preserve"> </w:t>
      </w:r>
      <w:r>
        <w:t xml:space="preserve">- Kind:</w:t>
      </w:r>
      <w:r>
        <w:t xml:space="preserve"> </w:t>
      </w:r>
      <w:r>
        <w:rPr>
          <w:b/>
        </w:rPr>
        <w:t xml:space="preserve">Receivable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</w:rPr>
        <w:t xml:space="preserve">Apply</w:t>
      </w:r>
    </w:p>
    <w:p>
      <w:pPr>
        <w:pStyle w:val="BodyText"/>
      </w:pPr>
      <w:r>
        <w:rPr>
          <w:b/>
        </w:rPr>
        <w:t xml:space="preserve">What to point out in the result:</w:t>
      </w:r>
    </w:p>
    <w:p>
      <w:pPr>
        <w:numPr>
          <w:ilvl w:val="0"/>
          <w:numId w:val="1035"/>
        </w:numPr>
        <w:pStyle w:val="Compact"/>
      </w:pPr>
      <w:r>
        <w:t xml:space="preserve">Interest accrued (7d @ 11.35%): $26,120</w:t>
      </w:r>
    </w:p>
    <w:p>
      <w:pPr>
        <w:numPr>
          <w:ilvl w:val="0"/>
          <w:numId w:val="1035"/>
        </w:numPr>
        <w:pStyle w:val="Compact"/>
      </w:pPr>
      <w:r>
        <w:t xml:space="preserve">Interest paid from inflow: $26,120</w:t>
      </w:r>
    </w:p>
    <w:p>
      <w:pPr>
        <w:numPr>
          <w:ilvl w:val="0"/>
          <w:numId w:val="1035"/>
        </w:numPr>
        <w:pStyle w:val="Compact"/>
      </w:pPr>
      <w:r>
        <w:t xml:space="preserve">Principal reduced: $223,880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New outstanding: $11,776,120</w:t>
      </w:r>
    </w:p>
    <w:p>
      <w:pPr>
        <w:numPr>
          <w:ilvl w:val="0"/>
          <w:numId w:val="1035"/>
        </w:numPr>
        <w:pStyle w:val="Compact"/>
      </w:pPr>
      <w:r>
        <w:t xml:space="preserve">New utilisation: 29.4%</w:t>
      </w:r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Try again with a</w:t>
      </w:r>
      <w:r>
        <w:t xml:space="preserve"> </w:t>
      </w:r>
      <w:r>
        <w:rPr>
          <w:b/>
        </w:rPr>
        <w:t xml:space="preserve">Drawdown</w:t>
      </w:r>
      <w:r>
        <w:t xml:space="preserve"> </w:t>
      </w:r>
      <w:r>
        <w:t xml:space="preserve">of $5m, days=0.</w:t>
      </w:r>
      <w:r>
        <w:t xml:space="preserve"> </w:t>
      </w:r>
      <w:r>
        <w:t xml:space="preserve">- Interest paid: $0 (paid on schedule)</w:t>
      </w:r>
      <w:r>
        <w:t xml:space="preserve"> </w:t>
      </w:r>
      <w:r>
        <w:t xml:space="preserve">- Principal added: $5m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New outstanding: $16,776,120</w:t>
      </w:r>
      <w:r>
        <w:t xml:space="preserve"> </w:t>
      </w:r>
      <w:r>
        <w:t xml:space="preserve">- New utilisation: 41.9%</w:t>
      </w:r>
    </w:p>
    <w:p>
      <w:pPr>
        <w:pStyle w:val="BodyText"/>
      </w:pPr>
      <w:r>
        <w:rPr>
          <w:b/>
        </w:rPr>
        <w:t xml:space="preserve">Talking point:</w:t>
      </w:r>
    </w:p>
    <w:p>
      <w:pPr>
        <w:pStyle w:val="BlockText"/>
      </w:pPr>
      <w:r>
        <w:t xml:space="preserve">This is a demo calculator — pure engine, not persisted. But it proves the numbers. The daily accrual is</w:t>
      </w:r>
      <w:r>
        <w:t xml:space="preserve"> </w:t>
      </w:r>
      <w:r>
        <w:rPr>
          <w:rStyle w:val="VerbatimChar"/>
        </w:rPr>
        <w:t xml:space="preserve">principal × 11.35% / 365</w:t>
      </w:r>
      <w:r>
        <w:t xml:space="preserve"> </w:t>
      </w:r>
      <w:r>
        <w:t xml:space="preserve">per day. Weekly interest = daily × 7. When a receivable comes in, we cover accrued interest first then reduce principal. When a drawdown comes in, it just adds to outstanding. Same engine that would run every night on real production 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act-7-livestock-covenants-2-min"/>
      <w:r>
        <w:t xml:space="preserve">Act 7 — Livestock covenants (2 min)</w:t>
      </w:r>
      <w:bookmarkEnd w:id="41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Close the Borrowing base modal. Click</w:t>
      </w:r>
      <w:r>
        <w:t xml:space="preserve"> </w:t>
      </w:r>
      <w:r>
        <w:rPr>
          <w:b/>
        </w:rPr>
        <w:t xml:space="preserve">Watchlist</w:t>
      </w:r>
      <w:r>
        <w:t xml:space="preserve"> </w:t>
      </w:r>
      <w:r>
        <w:t xml:space="preserve">in sidebar.</w:t>
      </w:r>
    </w:p>
    <w:p>
      <w:pPr>
        <w:pStyle w:val="BodyText"/>
      </w:pPr>
      <w:r>
        <w:rPr>
          <w:b/>
        </w:rPr>
        <w:t xml:space="preserve">What to point out:</w:t>
      </w:r>
    </w:p>
    <w:p>
      <w:pPr>
        <w:numPr>
          <w:ilvl w:val="0"/>
          <w:numId w:val="1036"/>
        </w:numPr>
        <w:pStyle w:val="Compact"/>
      </w:pPr>
      <w:r>
        <w:t xml:space="preserve">FirstAg shows in the list with 6 covenants: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Livestock aging (contracted)</w:t>
      </w:r>
      <w:r>
        <w:t xml:space="preserve"> </w:t>
      </w:r>
      <w:r>
        <w:t xml:space="preserve">— max days on feed among contracted rows, threshold 180 days (target 150 + 30 grace). Current: 60 days (compliant).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Livestock aging (uncontracted)</w:t>
      </w:r>
      <w:r>
        <w:t xml:space="preserve"> </w:t>
      </w:r>
      <w:r>
        <w:t xml:space="preserve">— max days among uncontracted, threshold 90. Current: 55 days (compliant).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Utilisation count</w:t>
      </w:r>
      <w:r>
        <w:t xml:space="preserve"> </w:t>
      </w:r>
      <w:r>
        <w:t xml:space="preserve">— 1 utilisation open, threshold 26 (compliant with 25 headroom).</w:t>
      </w:r>
    </w:p>
    <w:p>
      <w:pPr>
        <w:numPr>
          <w:ilvl w:val="1"/>
          <w:numId w:val="1037"/>
        </w:numPr>
        <w:pStyle w:val="Compact"/>
      </w:pPr>
      <w:r>
        <w:t xml:space="preserve">Permitted indebtedness cap ($200k), Trade credit threshold ($1m), Significant disposal % (20%) — awaiting reported values.</w:t>
      </w:r>
    </w:p>
    <w:p>
      <w:pPr>
        <w:pStyle w:val="FirstParagraph"/>
      </w:pPr>
      <w:r>
        <w:rPr>
          <w:b/>
        </w:rPr>
        <w:t xml:space="preserve">Talking point:</w:t>
      </w:r>
    </w:p>
    <w:p>
      <w:pPr>
        <w:pStyle w:val="BlockText"/>
      </w:pPr>
      <w:r>
        <w:t xml:space="preserve">Livestock-specific covenants. The aging covenants read the inventory rows live — no manual</w:t>
      </w:r>
      <w:r>
        <w:t xml:space="preserve"> </w:t>
      </w:r>
      <w:r>
        <w:t xml:space="preserve">“</w:t>
      </w:r>
      <w:r>
        <w:t xml:space="preserve">last reported value</w:t>
      </w:r>
      <w:r>
        <w:t xml:space="preserve">”</w:t>
      </w:r>
      <w:r>
        <w:t xml:space="preserve"> </w:t>
      </w:r>
      <w:r>
        <w:t xml:space="preserve">needed. If an uncontracted animal sits in a paddock for 91 days, the covenant fires that night and posts a notice. This is why the borrowing base isn’t just a compute — it’s the source of truth for a whole class of covenants.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closing-2-min"/>
      <w:r>
        <w:t xml:space="preserve">Closing (2 min)</w:t>
      </w:r>
      <w:bookmarkEnd w:id="42"/>
    </w:p>
    <w:p>
      <w:pPr>
        <w:pStyle w:val="FirstParagraph"/>
      </w:pPr>
      <w:r>
        <w:rPr>
          <w:b/>
        </w:rPr>
        <w:t xml:space="preserve">Verbal:</w:t>
      </w:r>
    </w:p>
    <w:p>
      <w:pPr>
        <w:pStyle w:val="BlockText"/>
      </w:pPr>
      <w:r>
        <w:t xml:space="preserve">Two deals. Same platform. Both structurally very different from a plain corporate term loan — one construction mezz with 7-tier waterfall and IRR-hurdle exit fees, one revolving borrowing base with NLIS livestock and receivables. Both live end-to-end.</w:t>
      </w:r>
    </w:p>
    <w:p>
      <w:pPr>
        <w:pStyle w:val="BlockText"/>
      </w:pPr>
      <w:r>
        <w:t xml:space="preserve">Behind what you’ve seen:</w:t>
      </w:r>
      <w:r>
        <w:t xml:space="preserve"> </w:t>
      </w:r>
      <w:r>
        <w:t xml:space="preserve">- Row-level security on every table so different desks see different deals</w:t>
      </w:r>
      <w:r>
        <w:t xml:space="preserve"> </w:t>
      </w:r>
      <w:r>
        <w:t xml:space="preserve">- Admin controls for team + user management</w:t>
      </w:r>
      <w:r>
        <w:t xml:space="preserve"> </w:t>
      </w:r>
      <w:r>
        <w:t xml:space="preserve">- Full IFRS 9 EIR / ASC 606 accounting engine for the fees</w:t>
      </w:r>
      <w:r>
        <w:t xml:space="preserve"> </w:t>
      </w:r>
      <w:r>
        <w:t xml:space="preserve">- Waterfall engine with 7 tier kinds usable for any mezz deal</w:t>
      </w:r>
      <w:r>
        <w:t xml:space="preserve"> </w:t>
      </w:r>
      <w:r>
        <w:t xml:space="preserve">- Borrowing base engine usable for any commodity or receivable</w:t>
      </w:r>
      <w:r>
        <w:t xml:space="preserve"> </w:t>
      </w:r>
      <w:r>
        <w:t xml:space="preserve">- Guarantor registry + covenant engine that both deals share</w:t>
      </w:r>
    </w:p>
    <w:p>
      <w:pPr>
        <w:pStyle w:val="BlockText"/>
      </w:pPr>
      <w:r>
        <w:t xml:space="preserve">Three things still in progress: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Reporting cadence scheduler</w:t>
      </w:r>
      <w:r>
        <w:t xml:space="preserve"> </w:t>
      </w:r>
      <w:r>
        <w:t xml:space="preserve">— auto-notice generation for overdue quarterly / annual reports. ~1 week.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Extension request workflow</w:t>
      </w:r>
      <w:r>
        <w:t xml:space="preserve"> </w:t>
      </w:r>
      <w:r>
        <w:t xml:space="preserve">for FirstAg’s 364-day option. ~4 hours.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Site inspection workflow</w:t>
      </w:r>
      <w:r>
        <w:t xml:space="preserve"> </w:t>
      </w:r>
      <w:r>
        <w:t xml:space="preserve">for FirstAg’s stock-on-hand reconciliation. ~1 day.</w:t>
      </w:r>
    </w:p>
    <w:p>
      <w:pPr>
        <w:pStyle w:val="BlockText"/>
      </w:pPr>
      <w:r>
        <w:t xml:space="preserve">Every mechanic in the term sheets that we’re currently modelling was built specifically for this RFP.</w:t>
      </w:r>
      <w:r>
        <w:t xml:space="preserve"> </w:t>
      </w:r>
      <w:r>
        <w:t xml:space="preserve">Happy to answer questions.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contingency-notes-if-something-breaks"/>
      <w:r>
        <w:t xml:space="preserve">Contingency notes (if something breaks)</w:t>
      </w:r>
      <w:bookmarkEnd w:id="4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Borrowing base modal shows</w:t>
            </w:r>
            <w:r>
              <w:t xml:space="preserve"> </w:t>
            </w:r>
            <w:r>
              <w:t xml:space="preserve">“</w:t>
            </w:r>
            <w:r>
              <w:t xml:space="preserve">no BB deals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SB.connected</w:t>
            </w:r>
            <w:r>
              <w:t xml:space="preserve"> </w:t>
            </w:r>
            <w:r>
              <w:t xml:space="preserve">in console; hard-refresh; verify FirstAg row exists in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Cashflow simulator shows Outstanding $0</w:t>
            </w:r>
          </w:p>
        </w:tc>
        <w:tc>
          <w:p>
            <w:pPr>
              <w:pStyle w:val="Compact"/>
              <w:jc w:val="left"/>
            </w:pPr>
            <w:r>
              <w:t xml:space="preserve">Drawdown seed didn’t hydrate. In console:</w:t>
            </w:r>
            <w:r>
              <w:t xml:space="preserve"> </w:t>
            </w:r>
            <w:r>
              <w:rPr>
                <w:rStyle w:val="VerbatimChar"/>
              </w:rPr>
              <w:t xml:space="preserve">window.__bbActiveDeal.tranches[0].drawdowns</w:t>
            </w:r>
            <w:r>
              <w:t xml:space="preserve"> </w:t>
            </w:r>
            <w:r>
              <w:t xml:space="preserve">— should be non-empty. If empty, refresh.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Guarantors panel empty on FirstAg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PCS.createFirstAgLivestockInDB()</w:t>
            </w:r>
            <w:r>
              <w:t xml:space="preserve"> </w:t>
            </w:r>
            <w:r>
              <w:t xml:space="preserve">was called after seed but before guarantor upsert — re-run seed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Waterfall run shows $0 for everyone</w:t>
            </w:r>
          </w:p>
        </w:tc>
        <w:tc>
          <w:p>
            <w:pPr>
              <w:pStyle w:val="Compact"/>
              <w:jc w:val="left"/>
            </w:pPr>
            <w:r>
              <w:t xml:space="preserve">Sale proceeds not entered — always start with a positive sale proceeds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Icons render as raw text</w:t>
            </w:r>
          </w:p>
        </w:tc>
        <w:tc>
          <w:p>
            <w:pPr>
              <w:pStyle w:val="Compact"/>
              <w:jc w:val="left"/>
            </w:pPr>
            <w:r>
              <w:t xml:space="preserve">Icon shim didn’t complete — hard-refresh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the deal first</w:t>
            </w:r>
            <w:r>
              <w:t xml:space="preserve">”</w:t>
            </w:r>
            <w:r>
              <w:t xml:space="preserve"> </w:t>
            </w:r>
            <w:r>
              <w:t xml:space="preserve">on Access panel</w:t>
            </w:r>
          </w:p>
        </w:tc>
        <w:tc>
          <w:p>
            <w:pPr>
              <w:pStyle w:val="Compact"/>
              <w:jc w:val="left"/>
            </w:pPr>
            <w:r>
              <w:t xml:space="preserve">Deal wasn’t saved via</w:t>
            </w:r>
            <w:r>
              <w:t xml:space="preserve"> </w:t>
            </w:r>
            <w:r>
              <w:rPr>
                <w:rStyle w:val="VerbatimChar"/>
              </w:rPr>
              <w:t xml:space="preserve">saveDeal</w:t>
            </w:r>
            <w:r>
              <w:t xml:space="preserve"> </w:t>
            </w:r>
            <w:r>
              <w:t xml:space="preserve">— it’s still local Builder state. Click Save first.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cheat-sheet-devtools-one-liners"/>
      <w:r>
        <w:t xml:space="preserve">Cheat sheet — DevTools one-liners</w:t>
      </w:r>
      <w:bookmarkEnd w:id="44"/>
    </w:p>
    <w:p>
      <w:pPr>
        <w:pStyle w:val="FirstParagraph"/>
      </w:pPr>
      <w:r>
        <w:t xml:space="preserve">Useful during demo prep OR live if a reviewer asks a specific question.</w:t>
      </w:r>
    </w:p>
    <w:p>
      <w:pPr>
        <w:pStyle w:val="SourceCode"/>
      </w:pPr>
      <w:r>
        <w:rPr>
          <w:rStyle w:val="CommentTok"/>
        </w:rPr>
        <w:t xml:space="preserve">// Re-seed FirstAg from scratch (deletes nothing — creates a new deal)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createFirstAgLivestockInDB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Re-seed Barrenjoey RE Mezz from scratch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createBarrenjoeyREMezzInDB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Show the interest reconciliation math</w:t>
      </w:r>
      <w:r>
        <w:br/>
      </w:r>
      <w:r>
        <w:rPr>
          <w:rStyle w:val="NormalTok"/>
        </w:rPr>
        <w:t xml:space="preserve">PCS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reconcileInterest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_000_000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ratePct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tenorDays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})</w:t>
      </w:r>
      <w:r>
        <w:br/>
      </w:r>
      <w:r>
        <w:rPr>
          <w:rStyle w:val="CommentTok"/>
        </w:rPr>
        <w:t xml:space="preserve">// → dailyAccrual: 9328.77, periodInterest: 65301.37</w:t>
      </w:r>
      <w:r>
        <w:br/>
      </w:r>
      <w:r>
        <w:br/>
      </w:r>
      <w:r>
        <w:rPr>
          <w:rStyle w:val="CommentTok"/>
        </w:rPr>
        <w:t xml:space="preserve">// Show projected cash-servicing schedule for Investor A</w:t>
      </w:r>
      <w:r>
        <w:br/>
      </w:r>
      <w:r>
        <w:rPr>
          <w:rStyle w:val="NormalTok"/>
        </w:rPr>
        <w:t xml:space="preserve">PCS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projectCouponServicingSchedule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tranches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maturity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Show what a waterfall would return for arbitrary inputs</w:t>
      </w:r>
      <w:r>
        <w:br/>
      </w:r>
      <w:r>
        <w:rPr>
          <w:rStyle w:val="NormalTok"/>
        </w:rPr>
        <w:t xml:space="preserve">PCS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computeWaterfall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waterfall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sale proceeds */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NormalTok"/>
        </w:rPr>
        <w:t xml:space="preserve">_000_000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seniorDebtOutstanding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_000_000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costOverrunOutstanding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borrowerEquity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_682_026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 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principalBalance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_000_000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capitalisedCouponBalance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_000_000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 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principalBalance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_060_000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capitalisedCouponBalance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950</w:t>
      </w:r>
      <w:r>
        <w:rPr>
          <w:rStyle w:val="NormalTok"/>
        </w:rPr>
        <w:t xml:space="preserve">_000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irrHurdleAmounts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_000_000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_000_000] }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Sign in as a non-admin to show access-control (paste user's email + password)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signInWithPassword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'paul.landi@fisglobal.com'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2026-07-27T19:23:07Z</dcterms:created>
  <dcterms:modified xsi:type="dcterms:W3CDTF">2026-07-27T19:23:07Z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