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cs-loan-module-v4-user-tester-guide"/>
      <w:r>
        <w:t xml:space="preserve">PCS Loan Module V4 — User &amp; Tester Guide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V4 (July 2026 release)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Ops teams, credit analysts, testers, RFP reviewers</w:t>
      </w:r>
      <w:r>
        <w:t xml:space="preserve"> </w:t>
      </w:r>
      <w:r>
        <w:rPr>
          <w:b/>
        </w:rPr>
        <w:t xml:space="preserve">Purpose:</w:t>
      </w:r>
      <w:r>
        <w:t xml:space="preserve"> </w:t>
      </w:r>
      <w:r>
        <w:t xml:space="preserve">A hands-on guide to exploring every feature of the platform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this-app-does"/>
      <w:r>
        <w:t xml:space="preserve">1. What this app does</w:t>
      </w:r>
      <w:bookmarkEnd w:id="21"/>
    </w:p>
    <w:p>
      <w:pPr>
        <w:pStyle w:val="FirstParagraph"/>
      </w:pPr>
      <w:r>
        <w:t xml:space="preserve">PCS Loan Module V4 is a</w:t>
      </w:r>
      <w:r>
        <w:t xml:space="preserve"> </w:t>
      </w:r>
      <w:r>
        <w:rPr>
          <w:b/>
        </w:rPr>
        <w:t xml:space="preserve">private-credit loan administration and accounting platform</w:t>
      </w:r>
      <w:r>
        <w:t xml:space="preserve">. It handles the full life-of-loan for structured private-credit deals — from initial deal setup through daily accrual, journal entries, covenant monitoring, and exit-waterfall distribution.</w:t>
      </w:r>
    </w:p>
    <w:p>
      <w:pPr>
        <w:pStyle w:val="BodyText"/>
      </w:pPr>
      <w:r>
        <w:t xml:space="preserve">It’s designed for the</w:t>
      </w:r>
      <w:r>
        <w:t xml:space="preserve"> </w:t>
      </w:r>
      <w:r>
        <w:rPr>
          <w:b/>
        </w:rPr>
        <w:t xml:space="preserve">structures that generic loan-admin systems handle badly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Construction mezzanine finance with PIK-capitalised coupons and IRR-hurdle profit-share</w:t>
      </w:r>
    </w:p>
    <w:p>
      <w:pPr>
        <w:numPr>
          <w:ilvl w:val="0"/>
          <w:numId w:val="1001"/>
        </w:numPr>
        <w:pStyle w:val="Compact"/>
      </w:pPr>
      <w:r>
        <w:t xml:space="preserve">Revolving borrowing-base facilities against livestock, receivables, or commodities</w:t>
      </w:r>
    </w:p>
    <w:p>
      <w:pPr>
        <w:numPr>
          <w:ilvl w:val="0"/>
          <w:numId w:val="1001"/>
        </w:numPr>
        <w:pStyle w:val="Compact"/>
      </w:pPr>
      <w:r>
        <w:t xml:space="preserve">Multi-tranche facilities with different investor economics per tranche</w:t>
      </w:r>
    </w:p>
    <w:p>
      <w:pPr>
        <w:numPr>
          <w:ilvl w:val="0"/>
          <w:numId w:val="1001"/>
        </w:numPr>
        <w:pStyle w:val="Compact"/>
      </w:pPr>
      <w:r>
        <w:t xml:space="preserve">Dual-GAAP reporting (e.g. AU fund reporting to US LPs)</w:t>
      </w:r>
    </w:p>
    <w:p>
      <w:pPr>
        <w:pStyle w:val="FirstParagraph"/>
      </w:pPr>
      <w:r>
        <w:t xml:space="preserve">Under the hood it runs an IFRS 9 / US GAAP / ASPE / AASB compliant accounting engine, backed by Supabase with row-level security.</w:t>
      </w:r>
    </w:p>
    <w:p>
      <w:pPr>
        <w:pStyle w:val="Heading2"/>
      </w:pPr>
      <w:bookmarkStart w:id="22" w:name="getting-started"/>
      <w:r>
        <w:t xml:space="preserve">2. Getting started</w:t>
      </w:r>
      <w:bookmarkEnd w:id="22"/>
    </w:p>
    <w:p>
      <w:pPr>
        <w:pStyle w:val="Heading3"/>
      </w:pPr>
      <w:bookmarkStart w:id="23" w:name="access"/>
      <w:r>
        <w:t xml:space="preserve">Access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URL: your instance URL (typically served from a local file or a deployment endpoint)</w:t>
      </w:r>
    </w:p>
    <w:p>
      <w:pPr>
        <w:numPr>
          <w:ilvl w:val="0"/>
          <w:numId w:val="1002"/>
        </w:numPr>
        <w:pStyle w:val="Compact"/>
      </w:pPr>
      <w:r>
        <w:t xml:space="preserve">Sign in via email + password OR magic link</w:t>
      </w:r>
    </w:p>
    <w:p>
      <w:pPr>
        <w:numPr>
          <w:ilvl w:val="0"/>
          <w:numId w:val="1002"/>
        </w:numPr>
        <w:pStyle w:val="Compact"/>
      </w:pPr>
      <w:r>
        <w:t xml:space="preserve">If you don’t have an account, ask an admin to provision one</w:t>
      </w:r>
    </w:p>
    <w:p>
      <w:pPr>
        <w:pStyle w:val="Heading3"/>
      </w:pPr>
      <w:bookmarkStart w:id="24" w:name="user-roles"/>
      <w:r>
        <w:t xml:space="preserve">User roles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Admin</w:t>
      </w:r>
      <w:r>
        <w:t xml:space="preserve"> </w:t>
      </w:r>
      <w:r>
        <w:t xml:space="preserve">— sees every deal, can promote/demote users, can manage teams, can import rate curves, can bypass maker-checker on accounting-run approvals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Standard user</w:t>
      </w:r>
      <w:r>
        <w:t xml:space="preserve"> </w:t>
      </w:r>
      <w:r>
        <w:t xml:space="preserve">— sees only deals they created or are explicitly assigned to (or via team membership)</w:t>
      </w:r>
    </w:p>
    <w:p>
      <w:pPr>
        <w:pStyle w:val="FirstParagraph"/>
      </w:pPr>
      <w:r>
        <w:t xml:space="preserve">Ask your admin to assign you to a team (matching your desk — e.g. </w:t>
      </w:r>
      <w:r>
        <w:t xml:space="preserve">“</w:t>
      </w:r>
      <w:r>
        <w:t xml:space="preserve">Real Estate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Ag Lending</w:t>
      </w:r>
      <w:r>
        <w:t xml:space="preserve">”</w:t>
      </w:r>
      <w:r>
        <w:t xml:space="preserve">) or to specific deals.</w:t>
      </w:r>
    </w:p>
    <w:p>
      <w:pPr>
        <w:pStyle w:val="Heading3"/>
      </w:pPr>
      <w:bookmarkStart w:id="25" w:name="first-look"/>
      <w:r>
        <w:t xml:space="preserve">First look</w:t>
      </w:r>
      <w:bookmarkEnd w:id="25"/>
    </w:p>
    <w:p>
      <w:pPr>
        <w:pStyle w:val="FirstParagraph"/>
      </w:pPr>
      <w:r>
        <w:t xml:space="preserve">After signing in: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Header</w:t>
      </w:r>
      <w:r>
        <w:t xml:space="preserve"> </w:t>
      </w:r>
      <w:r>
        <w:t xml:space="preserve">shows: active-deal chip, DB status chip (green = connected, red = offline — click to reconnect), user email pill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Left sidebar</w:t>
      </w:r>
      <w:r>
        <w:t xml:space="preserve"> </w:t>
      </w:r>
      <w:r>
        <w:t xml:space="preserve">groups every workspace tool (see §11)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Center tab strip</w:t>
      </w:r>
      <w:r>
        <w:t xml:space="preserve"> </w:t>
      </w:r>
      <w:r>
        <w:t xml:space="preserve">at the top of the main pane: Loan Builder · Cashflow · Accounting · Reconciliation · Feedback · Dashboard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⌘K anywhere</w:t>
      </w:r>
      <w:r>
        <w:t xml:space="preserve"> </w:t>
      </w:r>
      <w:r>
        <w:t xml:space="preserve">— command palette. Type a deal name or an action (</w:t>
      </w:r>
      <w:r>
        <w:t xml:space="preserve">“</w:t>
      </w:r>
      <w:r>
        <w:t xml:space="preserve">run accounting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open waterfall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manage teams</w:t>
      </w:r>
      <w:r>
        <w:t xml:space="preserve">”</w:t>
      </w:r>
      <w:r>
        <w:t xml:space="preserve">)</w:t>
      </w:r>
    </w:p>
    <w:p>
      <w:pPr>
        <w:pStyle w:val="Heading2"/>
      </w:pPr>
      <w:bookmarkStart w:id="26" w:name="navigation-overview"/>
      <w:r>
        <w:t xml:space="preserve">3. Navigation overview</w:t>
      </w:r>
      <w:bookmarkEnd w:id="26"/>
    </w:p>
    <w:p>
      <w:pPr>
        <w:pStyle w:val="Heading3"/>
      </w:pPr>
      <w:bookmarkStart w:id="27" w:name="six-main-tabs"/>
      <w:r>
        <w:t xml:space="preserve">Six main tabs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it’s for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Loan Builder</w:t>
            </w:r>
          </w:p>
        </w:tc>
        <w:tc>
          <w:p>
            <w:pPr>
              <w:pStyle w:val="Compact"/>
              <w:jc w:val="left"/>
            </w:pPr>
            <w:r>
              <w:t xml:space="preserve">Configure the deal — parties, tranches, rates, fees, covenants, waterfall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Cashflow</w:t>
            </w:r>
          </w:p>
        </w:tc>
        <w:tc>
          <w:p>
            <w:pPr>
              <w:pStyle w:val="Compact"/>
              <w:jc w:val="left"/>
            </w:pPr>
            <w:r>
              <w:t xml:space="preserve">View the forward cashflow stream with expandable row 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Accounting</w:t>
            </w:r>
          </w:p>
        </w:tc>
        <w:tc>
          <w:p>
            <w:pPr>
              <w:pStyle w:val="Compact"/>
              <w:jc w:val="left"/>
            </w:pPr>
            <w:r>
              <w:t xml:space="preserve">Run the engine, view JEs, review IFRS 9 EIR / classification / fair value / modification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Match generated JEs to Workday actuals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Send diagnostics back to the deal-file 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Loan-level overview with KPIs, covenants, cashflow chart, lifecycle timeline</w:t>
            </w:r>
          </w:p>
        </w:tc>
      </w:tr>
    </w:tbl>
    <w:p>
      <w:pPr>
        <w:pStyle w:val="Heading3"/>
      </w:pPr>
      <w:bookmarkStart w:id="28" w:name="sidebar-tools"/>
      <w:r>
        <w:t xml:space="preserve">Sidebar Tools</w:t>
      </w:r>
      <w:bookmarkEnd w:id="28"/>
    </w:p>
    <w:p>
      <w:pPr>
        <w:pStyle w:val="FirstParagraph"/>
      </w:pPr>
      <w:r>
        <w:t xml:space="preserve">Reachable from every tab: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Notices</w:t>
      </w:r>
      <w:r>
        <w:t xml:space="preserve"> </w:t>
      </w:r>
      <w:r>
        <w:t xml:space="preserve">— auto-derived + manual borrower notices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Watchlist</w:t>
      </w:r>
      <w:r>
        <w:t xml:space="preserve"> </w:t>
      </w:r>
      <w:r>
        <w:t xml:space="preserve">— cross-portfolio early warning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Portfolio</w:t>
      </w:r>
      <w:r>
        <w:t xml:space="preserve"> </w:t>
      </w:r>
      <w:r>
        <w:t xml:space="preserve">— yield, duration, WAL, DV01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Regulatory reports</w:t>
      </w:r>
      <w:r>
        <w:t xml:space="preserve"> </w:t>
      </w:r>
      <w:r>
        <w:t xml:space="preserve">— Form PF, AIFMD, FR Y-14Q scaffolding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Financials</w:t>
      </w:r>
      <w:r>
        <w:t xml:space="preserve"> </w:t>
      </w:r>
      <w:r>
        <w:t xml:space="preserve">— AI-extracted quarterly / annual borrower statements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Credit agreements</w:t>
      </w:r>
      <w:r>
        <w:t xml:space="preserve"> </w:t>
      </w:r>
      <w:r>
        <w:t xml:space="preserve">— CA library with AI PDF extraction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Manage funds</w:t>
      </w:r>
      <w:r>
        <w:t xml:space="preserve"> </w:t>
      </w:r>
      <w:r>
        <w:t xml:space="preserve">— fund allocation setup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Manage teams</w:t>
      </w:r>
      <w:r>
        <w:t xml:space="preserve"> </w:t>
      </w:r>
      <w:r>
        <w:t xml:space="preserve">(admin only) — team + user administration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Waterfall</w:t>
      </w:r>
      <w:r>
        <w:t xml:space="preserve"> </w:t>
      </w:r>
      <w:r>
        <w:t xml:space="preserve">— cash-distribution simulator for mezz deals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Borrowing base</w:t>
      </w:r>
      <w:r>
        <w:t xml:space="preserve"> </w:t>
      </w:r>
      <w:r>
        <w:t xml:space="preserve">— for revolving BB facilities (FirstAg-style)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Rate curves</w:t>
      </w:r>
      <w:r>
        <w:t xml:space="preserve"> </w:t>
      </w:r>
      <w:r>
        <w:t xml:space="preserve">— workspace-level BBSY / SOFR / SONIA / etc. fixings</w:t>
      </w:r>
    </w:p>
    <w:p>
      <w:pPr>
        <w:pStyle w:val="Heading2"/>
      </w:pPr>
      <w:bookmarkStart w:id="29" w:name="sample-deals-to-explore"/>
      <w:r>
        <w:t xml:space="preserve">4. Sample deals to explore</w:t>
      </w:r>
      <w:bookmarkEnd w:id="29"/>
    </w:p>
    <w:p>
      <w:pPr>
        <w:pStyle w:val="FirstParagraph"/>
      </w:pPr>
      <w:r>
        <w:t xml:space="preserve">Two headline sample deals are pre-seeded in the DB:</w:t>
      </w:r>
    </w:p>
    <w:p>
      <w:pPr>
        <w:pStyle w:val="Heading3"/>
      </w:pPr>
      <w:bookmarkStart w:id="30" w:name="barrenjoey-re-mezz-example-1"/>
      <w:r>
        <w:t xml:space="preserve">Barrenjoey RE Mezz — Example 1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Structure:</w:t>
      </w:r>
      <w:r>
        <w:t xml:space="preserve"> </w:t>
      </w:r>
      <w:r>
        <w:t xml:space="preserve">Construction mezzanine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Facility:</w:t>
      </w:r>
      <w:r>
        <w:t xml:space="preserve"> </w:t>
      </w:r>
      <w:r>
        <w:t xml:space="preserve">$28m principal + capitalised coupon (~$37.7m facility limit)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Two tranches:</w:t>
      </w:r>
      <w:r>
        <w:t xml:space="preserve"> </w:t>
      </w:r>
      <w:r>
        <w:t xml:space="preserve">Investor A ($26m) + Investor B ($2.06m)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Coupon:</w:t>
      </w:r>
      <w:r>
        <w:t xml:space="preserve"> </w:t>
      </w:r>
      <w:r>
        <w:t xml:space="preserve">16.5% p.a. capitalised monthly, ACT/365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Cash-servicing carve-out:</w:t>
      </w:r>
      <w:r>
        <w:t xml:space="preserve"> </w:t>
      </w:r>
      <w:r>
        <w:t xml:space="preserve">Investor A’s 6% p.a. paid annually from year 2, capped at $3.06m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Term:</w:t>
      </w:r>
      <w:r>
        <w:t xml:space="preserve"> </w:t>
      </w:r>
      <w:r>
        <w:t xml:space="preserve">31 months, matures 2028-11-30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Covenants:</w:t>
      </w:r>
      <w:r>
        <w:t xml:space="preserve"> </w:t>
      </w:r>
      <w:r>
        <w:t xml:space="preserve">LVR 89.4% · LTC 92.7% · RLVR 86% · Min NAV $15m · Min presales $46.5m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Cost-overrun:</w:t>
      </w:r>
      <w:r>
        <w:t xml:space="preserve"> </w:t>
      </w:r>
      <w:r>
        <w:t xml:space="preserve">10% guarantee of TDC + investor fallback at facility IRR + 5%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Waterfall:</w:t>
      </w:r>
      <w:r>
        <w:t xml:space="preserve"> </w:t>
      </w:r>
      <w:r>
        <w:t xml:space="preserve">7-tier including IRR-hurdle exit fees (20% / 22.5% / 20%)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Guarantors:</w:t>
      </w:r>
      <w:r>
        <w:t xml:space="preserve"> </w:t>
      </w:r>
      <w:r>
        <w:t xml:space="preserve">2 corporate/individual with qualifying assets $18.6m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Reporting requirements:</w:t>
      </w:r>
      <w:r>
        <w:t xml:space="preserve"> </w:t>
      </w:r>
      <w:r>
        <w:t xml:space="preserve">5 items (monthly PCG, monthly sales, quarterly FS, annual FS, compliance cert)</w:t>
      </w:r>
    </w:p>
    <w:p>
      <w:pPr>
        <w:pStyle w:val="Heading3"/>
      </w:pPr>
      <w:bookmarkStart w:id="31" w:name="barrenjoey-firstag-livestock-example-2"/>
      <w:r>
        <w:t xml:space="preserve">Barrenjoey FirstAg Livestock — Example 2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Structure:</w:t>
      </w:r>
      <w:r>
        <w:t xml:space="preserve"> </w:t>
      </w:r>
      <w:r>
        <w:t xml:space="preserve">Revolving borrowing base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Facility limit:</w:t>
      </w:r>
      <w:r>
        <w:t xml:space="preserve"> </w:t>
      </w:r>
      <w:r>
        <w:t xml:space="preserve">$40m with $8m backgrounding sub-limit (60-day cap on uncontracted)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Currently drawn:</w:t>
      </w:r>
      <w:r>
        <w:t xml:space="preserve"> </w:t>
      </w:r>
      <w:r>
        <w:t xml:space="preserve">$12m at close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Coupon:</w:t>
      </w:r>
      <w:r>
        <w:t xml:space="preserve"> </w:t>
      </w:r>
      <w:r>
        <w:t xml:space="preserve">BBSY 4.35% + 700 bps = 11.35% p.a. ACT/365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Interest tenor:</w:t>
      </w:r>
      <w:r>
        <w:t xml:space="preserve"> </w:t>
      </w:r>
      <w:r>
        <w:t xml:space="preserve">7 days (weekly), paid monthly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Fees:</w:t>
      </w:r>
      <w:r>
        <w:t xml:space="preserve"> </w:t>
      </w:r>
      <w:r>
        <w:t xml:space="preserve">$400k establishment (deducted from first draw), undrawn 280 bps with 4-month ramp mechanic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Term:</w:t>
      </w:r>
      <w:r>
        <w:t xml:space="preserve"> </w:t>
      </w:r>
      <w:r>
        <w:t xml:space="preserve">364 days + one-off 364-day extension option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Covenants:</w:t>
      </w:r>
      <w:r>
        <w:t xml:space="preserve"> </w:t>
      </w:r>
      <w:r>
        <w:t xml:space="preserve">6 including livestock aging (contracted / uncontracted), utilisation count, permitted indebtedness cap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Approved locations:</w:t>
      </w:r>
      <w:r>
        <w:t xml:space="preserve"> </w:t>
      </w:r>
      <w:r>
        <w:t xml:space="preserve">16 (owned + third-party feedlot + third-party agistment)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Approved offtakers:</w:t>
      </w:r>
      <w:r>
        <w:t xml:space="preserve"> </w:t>
      </w:r>
      <w:r>
        <w:t xml:space="preserve">6 + trade credit insurance fallback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Live inventory:</w:t>
      </w:r>
      <w:r>
        <w:t xml:space="preserve"> </w:t>
      </w:r>
      <w:r>
        <w:t xml:space="preserve">5 rows (~490 head + 1 receivable)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Guarantors:</w:t>
      </w:r>
      <w:r>
        <w:t xml:space="preserve"> </w:t>
      </w:r>
      <w:r>
        <w:t xml:space="preserve">5 corporate (1 parent + 4 as trustees of property trusts, $25.9m qualifying assets)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Reporting requirements:</w:t>
      </w:r>
      <w:r>
        <w:t xml:space="preserve"> </w:t>
      </w:r>
      <w:r>
        <w:t xml:space="preserve">4 items</w:t>
      </w:r>
    </w:p>
    <w:p>
      <w:pPr>
        <w:pStyle w:val="Heading3"/>
      </w:pPr>
      <w:bookmarkStart w:id="32" w:name="load-a-deal"/>
      <w:r>
        <w:t xml:space="preserve">Load a deal</w:t>
      </w:r>
      <w:bookmarkEnd w:id="32"/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</w:rPr>
        <w:t xml:space="preserve">active-deal chip</w:t>
      </w:r>
      <w:r>
        <w:t xml:space="preserve"> </w:t>
      </w:r>
      <w:r>
        <w:t xml:space="preserve">at the top-left, or the</w:t>
      </w:r>
      <w:r>
        <w:t xml:space="preserve"> </w:t>
      </w:r>
      <w:r>
        <w:rPr>
          <w:b/>
        </w:rPr>
        <w:t xml:space="preserve">Select deal</w:t>
      </w:r>
      <w:r>
        <w:t xml:space="preserve"> </w:t>
      </w:r>
      <w:r>
        <w:t xml:space="preserve">button. In the picker:</w:t>
      </w:r>
    </w:p>
    <w:p>
      <w:pPr>
        <w:numPr>
          <w:ilvl w:val="0"/>
          <w:numId w:val="1008"/>
        </w:numPr>
        <w:pStyle w:val="Compact"/>
      </w:pPr>
      <w:r>
        <w:t xml:space="preserve">DB-saved deals appear first with a green</w:t>
      </w:r>
      <w:r>
        <w:t xml:space="preserve"> </w:t>
      </w:r>
      <w:r>
        <w:rPr>
          <w:b/>
        </w:rPr>
        <w:t xml:space="preserve">DB</w:t>
      </w:r>
      <w:r>
        <w:t xml:space="preserve"> </w:t>
      </w:r>
      <w:r>
        <w:t xml:space="preserve">pill</w:t>
      </w:r>
    </w:p>
    <w:p>
      <w:pPr>
        <w:numPr>
          <w:ilvl w:val="0"/>
          <w:numId w:val="1008"/>
        </w:numPr>
        <w:pStyle w:val="Compact"/>
      </w:pPr>
      <w:r>
        <w:t xml:space="preserve">Cards show deal name, structure, framework, team, commitment, term, tranche/fee/covenant counts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Load</w:t>
      </w:r>
      <w:r>
        <w:t xml:space="preserve"> </w:t>
      </w:r>
      <w:r>
        <w:t xml:space="preserve">on any row → Loan Builder populates + Cashflow computes + Accounting engine runs</w:t>
      </w:r>
    </w:p>
    <w:p>
      <w:pPr>
        <w:pStyle w:val="FirstParagraph"/>
      </w:pPr>
      <w:r>
        <w:t xml:space="preserve">If you’re on the Dashboard when you change deal, it auto-refreshes within 1.5s.</w:t>
      </w:r>
    </w:p>
    <w:p>
      <w:pPr>
        <w:pStyle w:val="Heading2"/>
      </w:pPr>
      <w:bookmarkStart w:id="33" w:name="loan-builder-every-section"/>
      <w:r>
        <w:t xml:space="preserve">5. Loan Builder — every section</w:t>
      </w:r>
      <w:bookmarkEnd w:id="33"/>
    </w:p>
    <w:p>
      <w:pPr>
        <w:pStyle w:val="FirstParagraph"/>
      </w:pPr>
      <w:r>
        <w:t xml:space="preserve">The Loan Builder is where all deal-level configuration lives. Sections are collapsible;</w:t>
      </w:r>
      <w:r>
        <w:t xml:space="preserve"> </w:t>
      </w:r>
      <w:r>
        <w:rPr>
          <w:b/>
        </w:rPr>
        <w:t xml:space="preserve">which sections appear depends on</w:t>
      </w:r>
      <w:r>
        <w:rPr>
          <w:b/>
        </w:rPr>
        <w:t xml:space="preserve"> </w:t>
      </w:r>
      <w:r>
        <w:rPr>
          <w:rStyle w:val="VerbatimChar"/>
          <w:b/>
        </w:rPr>
        <w:t xml:space="preserve">Deal structure</w:t>
      </w:r>
      <w:r>
        <w:t xml:space="preserve"> </w:t>
      </w:r>
      <w:r>
        <w:t xml:space="preserve">— a dropdown at the top of Deal Setup.</w:t>
      </w:r>
    </w:p>
    <w:p>
      <w:pPr>
        <w:pStyle w:val="Heading3"/>
      </w:pPr>
      <w:bookmarkStart w:id="34" w:name="deal-setup-universal"/>
      <w:r>
        <w:t xml:space="preserve">5.1 Deal Setup (universal)</w:t>
      </w:r>
      <w:bookmarkEnd w:id="34"/>
    </w:p>
    <w:p>
      <w:pPr>
        <w:numPr>
          <w:ilvl w:val="0"/>
          <w:numId w:val="1009"/>
        </w:numPr>
        <w:pStyle w:val="Compact"/>
      </w:pPr>
      <w:r>
        <w:t xml:space="preserve">Deal Name / Deal ID / Counterparty / Legal Entity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Deal structure</w:t>
      </w:r>
      <w:r>
        <w:t xml:space="preserve"> </w:t>
      </w:r>
      <w:r>
        <w:t xml:space="preserve">dropdown — Corporate term / Construction mezz / Revolving BB / Bilateral / Other.</w:t>
      </w:r>
      <w:r>
        <w:t xml:space="preserve"> </w:t>
      </w:r>
      <w:r>
        <w:rPr>
          <w:b/>
        </w:rPr>
        <w:t xml:space="preserve">Drives which panels appear below.</w:t>
      </w:r>
    </w:p>
    <w:p>
      <w:pPr>
        <w:numPr>
          <w:ilvl w:val="0"/>
          <w:numId w:val="1009"/>
        </w:numPr>
        <w:pStyle w:val="Compact"/>
      </w:pPr>
      <w:r>
        <w:t xml:space="preserve">Currency / Framework (IFRS / US GAAP / ASPE / AASB)</w:t>
      </w:r>
    </w:p>
    <w:p>
      <w:pPr>
        <w:numPr>
          <w:ilvl w:val="0"/>
          <w:numId w:val="1009"/>
        </w:numPr>
        <w:pStyle w:val="Compact"/>
      </w:pPr>
      <w:r>
        <w:t xml:space="preserve">Settlement + maturity dates</w:t>
      </w:r>
    </w:p>
    <w:p>
      <w:pPr>
        <w:numPr>
          <w:ilvl w:val="0"/>
          <w:numId w:val="1009"/>
        </w:numPr>
        <w:pStyle w:val="Compact"/>
      </w:pPr>
      <w:r>
        <w:t xml:space="preserve">Facility commitment</w:t>
      </w:r>
    </w:p>
    <w:p>
      <w:pPr>
        <w:numPr>
          <w:ilvl w:val="0"/>
          <w:numId w:val="1009"/>
        </w:numPr>
        <w:pStyle w:val="Compact"/>
      </w:pPr>
      <w:r>
        <w:t xml:space="preserve">Facility type (Term / Revolver / Delayed-Draw / Revolving BB)</w:t>
      </w:r>
    </w:p>
    <w:p>
      <w:pPr>
        <w:numPr>
          <w:ilvl w:val="0"/>
          <w:numId w:val="1009"/>
        </w:numPr>
        <w:pStyle w:val="Compact"/>
      </w:pPr>
      <w:r>
        <w:t xml:space="preserve">Availability end</w:t>
      </w:r>
    </w:p>
    <w:p>
      <w:pPr>
        <w:numPr>
          <w:ilvl w:val="0"/>
          <w:numId w:val="1009"/>
        </w:numPr>
        <w:pStyle w:val="Compact"/>
      </w:pPr>
      <w:r>
        <w:t xml:space="preserve">Day basis (ACT/360, ACT/365, ACT/ACT, 30/360, 30E/360)</w:t>
      </w:r>
    </w:p>
    <w:p>
      <w:pPr>
        <w:numPr>
          <w:ilvl w:val="0"/>
          <w:numId w:val="1009"/>
        </w:numPr>
        <w:pStyle w:val="Compact"/>
      </w:pPr>
      <w:r>
        <w:t xml:space="preserve">Holiday calendar</w:t>
      </w:r>
    </w:p>
    <w:p>
      <w:pPr>
        <w:numPr>
          <w:ilvl w:val="0"/>
          <w:numId w:val="1009"/>
        </w:numPr>
        <w:pStyle w:val="Compact"/>
      </w:pPr>
      <w:r>
        <w:t xml:space="preserve">Repayment type (AtMaturity / Periodic / BulletWithAmort)</w:t>
      </w:r>
    </w:p>
    <w:p>
      <w:pPr>
        <w:pStyle w:val="Heading3"/>
      </w:pPr>
      <w:bookmarkStart w:id="35" w:name="Xa3f09f2db8814c92c6eeaa5ac6c600b672dfe44"/>
      <w:r>
        <w:t xml:space="preserve">5.2 Construction / mezz support (only if structure = Construction mezz)</w:t>
      </w:r>
      <w:bookmarkEnd w:id="35"/>
    </w:p>
    <w:p>
      <w:pPr>
        <w:pStyle w:val="FirstParagraph"/>
      </w:pPr>
      <w:r>
        <w:t xml:space="preserve">Every field maps directly to a Barrenjoey-style term sheet:</w:t>
      </w:r>
    </w:p>
    <w:p>
      <w:pPr>
        <w:numPr>
          <w:ilvl w:val="0"/>
          <w:numId w:val="1010"/>
        </w:numPr>
        <w:pStyle w:val="Compact"/>
      </w:pPr>
      <w:r>
        <w:t xml:space="preserve">Lender role: Lender of record / Arranger + manager / Both</w:t>
      </w:r>
    </w:p>
    <w:p>
      <w:pPr>
        <w:numPr>
          <w:ilvl w:val="0"/>
          <w:numId w:val="1010"/>
        </w:numPr>
        <w:pStyle w:val="Compact"/>
      </w:pPr>
      <w:r>
        <w:t xml:space="preserve">Senior debt provider + limit</w:t>
      </w:r>
    </w:p>
    <w:p>
      <w:pPr>
        <w:numPr>
          <w:ilvl w:val="0"/>
          <w:numId w:val="1010"/>
        </w:numPr>
        <w:pStyle w:val="Compact"/>
      </w:pPr>
      <w:r>
        <w:t xml:space="preserve">As-if-complete value, TDC, QPS, NRV, Min NAV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Cost-overrun guarantee</w:t>
      </w:r>
      <w:r>
        <w:t xml:space="preserve"> </w:t>
      </w:r>
      <w:r>
        <w:t xml:space="preserve">(% of TDC — live-computes obligor guarantee amount)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Overrun funding rate</w:t>
      </w:r>
      <w:r>
        <w:t xml:space="preserve"> </w:t>
      </w:r>
      <w:r>
        <w:t xml:space="preserve">(bps over facility IRR)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Availability period</w:t>
      </w:r>
      <w:r>
        <w:t xml:space="preserve"> </w:t>
      </w:r>
      <w:r>
        <w:t xml:space="preserve">(days from close — live-shows window close date)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Minimum drawdown</w:t>
      </w:r>
      <w:r>
        <w:t xml:space="preserve"> </w:t>
      </w:r>
      <w:r>
        <w:t xml:space="preserve">($)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Drawdown basis</w:t>
      </w:r>
      <w:r>
        <w:t xml:space="preserve"> </w:t>
      </w:r>
      <w:r>
        <w:t xml:space="preserve">(Cost-to-complete / Lump sum / Periodic / Revolving)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Require QS progress evidence on each drawdown</w:t>
      </w:r>
      <w:r>
        <w:t xml:space="preserve"> </w:t>
      </w:r>
      <w:r>
        <w:t xml:space="preserve">checkbox</w:t>
      </w:r>
    </w:p>
    <w:p>
      <w:pPr>
        <w:pStyle w:val="Heading3"/>
      </w:pPr>
      <w:bookmarkStart w:id="36" w:name="Xa0e011357adc6c196daf375aaa440d8284b9ac2"/>
      <w:r>
        <w:t xml:space="preserve">5.3 Borrowing base configuration (only if facility type = Revolving BB)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Facility limit / sub-limit / sub-limit days / max utilisations / min utilisation / extension option days / extension notice months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Editable asset classes table</w:t>
      </w:r>
      <w:r>
        <w:t xml:space="preserve"> </w:t>
      </w:r>
      <w:r>
        <w:t xml:space="preserve">— add / edit / delete rows with advance rate %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Editable locations table</w:t>
      </w:r>
      <w:r>
        <w:t xml:space="preserve"> </w:t>
      </w:r>
      <w:r>
        <w:t xml:space="preserve">— location ref, name, access structure, permitted commodity groups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Editable offtakers table</w:t>
      </w:r>
      <w:r>
        <w:t xml:space="preserve"> </w:t>
      </w:r>
      <w:r>
        <w:t xml:space="preserve">— name, contract method, commodity groups, target days on feed, TCI fallback flag</w:t>
      </w:r>
    </w:p>
    <w:p>
      <w:pPr>
        <w:pStyle w:val="Heading3"/>
      </w:pPr>
      <w:bookmarkStart w:id="37" w:name="X9729467c241f6f614a4fe2280ceeb7bd366b6f5"/>
      <w:r>
        <w:t xml:space="preserve">5.4 Guarantors &amp; NAV covenant (universal — any secured deal)</w:t>
      </w:r>
      <w:bookmarkEnd w:id="37"/>
    </w:p>
    <w:p>
      <w:pPr>
        <w:numPr>
          <w:ilvl w:val="0"/>
          <w:numId w:val="1012"/>
        </w:numPr>
        <w:pStyle w:val="Compact"/>
      </w:pPr>
      <w:r>
        <w:t xml:space="preserve">Summary strip: total qualifying assets vs Min NAV covenant, Compliant/Breach badge</w:t>
      </w:r>
    </w:p>
    <w:p>
      <w:pPr>
        <w:numPr>
          <w:ilvl w:val="0"/>
          <w:numId w:val="1012"/>
        </w:numPr>
        <w:pStyle w:val="Compact"/>
      </w:pPr>
      <w:r>
        <w:t xml:space="preserve">Add guarantor button</w:t>
      </w:r>
    </w:p>
    <w:p>
      <w:pPr>
        <w:numPr>
          <w:ilvl w:val="0"/>
          <w:numId w:val="1012"/>
        </w:numPr>
        <w:pStyle w:val="Compact"/>
      </w:pPr>
      <w:r>
        <w:t xml:space="preserve">Per-guarantor card: kind (corporate/individual), name, ACN/ABN, next-NAV-test date, qualifying-assets table (kind / description / valuation / valuation date / valuer / doc ref)</w:t>
      </w:r>
    </w:p>
    <w:p>
      <w:pPr>
        <w:numPr>
          <w:ilvl w:val="0"/>
          <w:numId w:val="1012"/>
        </w:numPr>
        <w:pStyle w:val="Compact"/>
      </w:pPr>
      <w:r>
        <w:t xml:space="preserve">Live sum feeds the MinNetAssets covenant on Watchlist + Dashboard</w:t>
      </w:r>
    </w:p>
    <w:p>
      <w:pPr>
        <w:pStyle w:val="Heading3"/>
      </w:pPr>
      <w:bookmarkStart w:id="38" w:name="reporting-requirements-universal"/>
      <w:r>
        <w:t xml:space="preserve">5.5 Reporting requirements (universal)</w:t>
      </w:r>
      <w:bookmarkEnd w:id="38"/>
    </w:p>
    <w:p>
      <w:pPr>
        <w:numPr>
          <w:ilvl w:val="0"/>
          <w:numId w:val="1013"/>
        </w:numPr>
        <w:pStyle w:val="Compact"/>
      </w:pPr>
      <w:r>
        <w:t xml:space="preserve">Add / edit / delete borrower reporting obligations</w:t>
      </w:r>
    </w:p>
    <w:p>
      <w:pPr>
        <w:numPr>
          <w:ilvl w:val="0"/>
          <w:numId w:val="1013"/>
        </w:numPr>
        <w:pStyle w:val="Compact"/>
      </w:pPr>
      <w:r>
        <w:t xml:space="preserve">Presets: monthly PCG, monthly sales, quarterly management, quarterly FS, half-yearly FS, annual FS, compliance cert, info-rights pass-through</w:t>
      </w:r>
    </w:p>
    <w:p>
      <w:pPr>
        <w:numPr>
          <w:ilvl w:val="0"/>
          <w:numId w:val="1013"/>
        </w:numPr>
        <w:pStyle w:val="Compact"/>
      </w:pPr>
      <w:r>
        <w:t xml:space="preserve">Per-row status (pending / due-soon / overdue / received) with colour-coded pill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Received</w:t>
      </w:r>
      <w:r>
        <w:t xml:space="preserve"> </w:t>
      </w:r>
      <w:r>
        <w:t xml:space="preserve">button (marks today, advances next-due)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Sweep now</w:t>
      </w:r>
      <w:r>
        <w:t xml:space="preserve"> </w:t>
      </w:r>
      <w:r>
        <w:t xml:space="preserve">button — emits notices for anything overdue or due within 7 days</w:t>
      </w:r>
    </w:p>
    <w:p>
      <w:pPr>
        <w:pStyle w:val="Heading3"/>
      </w:pPr>
      <w:bookmarkStart w:id="39" w:name="legal-compliance-universal"/>
      <w:r>
        <w:t xml:space="preserve">5.6 Legal &amp; compliance (universal)</w:t>
      </w:r>
      <w:bookmarkEnd w:id="39"/>
    </w:p>
    <w:p>
      <w:pPr>
        <w:numPr>
          <w:ilvl w:val="0"/>
          <w:numId w:val="1014"/>
        </w:numPr>
        <w:pStyle w:val="Compact"/>
      </w:pPr>
      <w:r>
        <w:t xml:space="preserve">Target financial close date</w:t>
      </w:r>
    </w:p>
    <w:p>
      <w:pPr>
        <w:numPr>
          <w:ilvl w:val="0"/>
          <w:numId w:val="1014"/>
        </w:numPr>
        <w:pStyle w:val="Compact"/>
      </w:pPr>
      <w:r>
        <w:t xml:space="preserve">Intercreditor deed reference</w:t>
      </w:r>
    </w:p>
    <w:p>
      <w:pPr>
        <w:numPr>
          <w:ilvl w:val="0"/>
          <w:numId w:val="1014"/>
        </w:numPr>
        <w:pStyle w:val="Compact"/>
      </w:pPr>
      <w:r>
        <w:t xml:space="preserve">Reimbursement min budget</w:t>
      </w:r>
    </w:p>
    <w:p>
      <w:pPr>
        <w:numPr>
          <w:ilvl w:val="0"/>
          <w:numId w:val="1014"/>
        </w:numPr>
        <w:pStyle w:val="Compact"/>
      </w:pPr>
      <w:r>
        <w:t xml:space="preserve">Governing law jurisdiction (AU states / UK / NY / DE)</w:t>
      </w:r>
    </w:p>
    <w:p>
      <w:pPr>
        <w:numPr>
          <w:ilvl w:val="0"/>
          <w:numId w:val="1014"/>
        </w:numPr>
        <w:pStyle w:val="Compact"/>
      </w:pPr>
      <w:r>
        <w:t xml:space="preserve">s128F Public Offer checkbox</w:t>
      </w:r>
    </w:p>
    <w:p>
      <w:pPr>
        <w:numPr>
          <w:ilvl w:val="0"/>
          <w:numId w:val="1014"/>
        </w:numPr>
        <w:pStyle w:val="Compact"/>
      </w:pPr>
      <w:r>
        <w:t xml:space="preserve">No prepayment without investor consent checkbox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Secondary reporting framework</w:t>
      </w:r>
      <w:r>
        <w:t xml:space="preserve"> </w:t>
      </w:r>
      <w:r>
        <w:t xml:space="preserve">dropdown — enables dual-book accounting (§7.3)</w:t>
      </w:r>
    </w:p>
    <w:p>
      <w:pPr>
        <w:pStyle w:val="Heading3"/>
      </w:pPr>
      <w:bookmarkStart w:id="40" w:name="access-assignments"/>
      <w:r>
        <w:t xml:space="preserve">5.7 Access &amp; assignments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Assigned team</w:t>
      </w:r>
      <w:r>
        <w:t xml:space="preserve"> </w:t>
      </w:r>
      <w:r>
        <w:t xml:space="preserve">dropdown — one team per deal drives team-level RLS</w:t>
      </w:r>
    </w:p>
    <w:p>
      <w:pPr>
        <w:numPr>
          <w:ilvl w:val="0"/>
          <w:numId w:val="1015"/>
        </w:numPr>
        <w:pStyle w:val="Compact"/>
      </w:pPr>
      <w:r>
        <w:t xml:space="preserve">Grant individual users direct access (Owner / Editor / Viewer role)</w:t>
      </w:r>
    </w:p>
    <w:p>
      <w:pPr>
        <w:numPr>
          <w:ilvl w:val="0"/>
          <w:numId w:val="1015"/>
        </w:numPr>
        <w:pStyle w:val="Compact"/>
      </w:pPr>
      <w:r>
        <w:t xml:space="preserve">Only visible once the deal is saved to DB</w:t>
      </w:r>
    </w:p>
    <w:p>
      <w:pPr>
        <w:pStyle w:val="Heading3"/>
      </w:pPr>
      <w:bookmarkStart w:id="41" w:name="tranches"/>
      <w:r>
        <w:t xml:space="preserve">5.8 Tranches</w:t>
      </w:r>
      <w:bookmarkEnd w:id="41"/>
    </w:p>
    <w:p>
      <w:pPr>
        <w:pStyle w:val="FirstParagraph"/>
      </w:pPr>
      <w:r>
        <w:t xml:space="preserve">Per-tranche card with:</w:t>
      </w:r>
    </w:p>
    <w:p>
      <w:pPr>
        <w:numPr>
          <w:ilvl w:val="0"/>
          <w:numId w:val="1016"/>
        </w:numPr>
        <w:pStyle w:val="Compact"/>
      </w:pPr>
      <w:r>
        <w:t xml:space="preserve">Name, investor, currency, face, drawn-initially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PIK / capitalise coupon</w:t>
      </w:r>
      <w:r>
        <w:t xml:space="preserve"> </w:t>
      </w:r>
      <w:r>
        <w:t xml:space="preserve">toggle + capitalisation frequency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Cash-serviced coupon %</w:t>
      </w:r>
      <w:r>
        <w:t xml:space="preserve"> </w:t>
      </w:r>
      <w:r>
        <w:t xml:space="preserve">with cap $ and start year (for coupon-servicing carve-outs)</w:t>
      </w:r>
    </w:p>
    <w:p>
      <w:pPr>
        <w:numPr>
          <w:ilvl w:val="0"/>
          <w:numId w:val="1016"/>
        </w:numPr>
        <w:pStyle w:val="Compact"/>
      </w:pPr>
      <w:r>
        <w:t xml:space="preserve">Live projected schedule preview when servicing is set</w:t>
      </w:r>
    </w:p>
    <w:p>
      <w:pPr>
        <w:numPr>
          <w:ilvl w:val="0"/>
          <w:numId w:val="1016"/>
        </w:numPr>
        <w:pStyle w:val="Compact"/>
      </w:pPr>
      <w:r>
        <w:t xml:space="preserve">Drawdown rows with dates, amounts, reasons;</w:t>
      </w:r>
      <w:r>
        <w:t xml:space="preserve"> </w:t>
      </w:r>
      <w:r>
        <w:rPr>
          <w:b/>
        </w:rPr>
        <w:t xml:space="preserve">shield icon</w:t>
      </w:r>
      <w:r>
        <w:t xml:space="preserve"> </w:t>
      </w:r>
      <w:r>
        <w:t xml:space="preserve">(green/amber/red) shows gating validation live</w:t>
      </w:r>
    </w:p>
    <w:p>
      <w:pPr>
        <w:numPr>
          <w:ilvl w:val="0"/>
          <w:numId w:val="1016"/>
        </w:numPr>
        <w:pStyle w:val="Compact"/>
      </w:pPr>
      <w:r>
        <w:t xml:space="preserve">Paydown rows with kind (scheduled / voluntary / mandatory / change-of-control / asset sale)</w:t>
      </w:r>
    </w:p>
    <w:p>
      <w:pPr>
        <w:numPr>
          <w:ilvl w:val="0"/>
          <w:numId w:val="1016"/>
        </w:numPr>
        <w:pStyle w:val="Compact"/>
      </w:pPr>
      <w:r>
        <w:t xml:space="preserve">Interest component subcards — index (FIXED / SONIA / SOFR / BBSY / etc.), base value, spread bps, floor/cap, ratchet KPI, ESG adjustment, fixings series</w:t>
      </w:r>
    </w:p>
    <w:p>
      <w:pPr>
        <w:pStyle w:val="Heading3"/>
      </w:pPr>
      <w:bookmarkStart w:id="42" w:name="fees"/>
      <w:r>
        <w:t xml:space="preserve">5.9 Fees</w:t>
      </w:r>
      <w:bookmarkEnd w:id="42"/>
    </w:p>
    <w:p>
      <w:pPr>
        <w:pStyle w:val="FirstParagraph"/>
      </w:pPr>
      <w:r>
        <w:t xml:space="preserve">Per-fee card with:</w:t>
      </w:r>
    </w:p>
    <w:p>
      <w:pPr>
        <w:numPr>
          <w:ilvl w:val="0"/>
          <w:numId w:val="1017"/>
        </w:numPr>
        <w:pStyle w:val="Compact"/>
      </w:pPr>
      <w:r>
        <w:t xml:space="preserve">Kind (arrangement / commitment / utilisation / agency / other / origination / management / performance / exitFeeIrrHurdle)</w:t>
      </w:r>
    </w:p>
    <w:p>
      <w:pPr>
        <w:numPr>
          <w:ilvl w:val="0"/>
          <w:numId w:val="1017"/>
        </w:numPr>
        <w:pStyle w:val="Compact"/>
      </w:pPr>
      <w:r>
        <w:t xml:space="preserve">Mode (fixPct / fixAmount / floatBps / overFunded / overUnfunded / overInterestComponent / irrHurdleTiers / cashCoupon /</w:t>
      </w:r>
      <w:r>
        <w:t xml:space="preserve"> </w:t>
      </w:r>
      <w:r>
        <w:rPr>
          <w:b/>
        </w:rPr>
        <w:t xml:space="preserve">undrawnRamp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Rate + base + frequency + payment date + IFRS treatment</w:t>
      </w:r>
    </w:p>
    <w:p>
      <w:pPr>
        <w:numPr>
          <w:ilvl w:val="0"/>
          <w:numId w:val="1017"/>
        </w:numPr>
        <w:pStyle w:val="Compact"/>
      </w:pPr>
      <w:r>
        <w:t xml:space="preserve">Per-tranche attribution</w:t>
      </w:r>
    </w:p>
    <w:p>
      <w:pPr>
        <w:numPr>
          <w:ilvl w:val="0"/>
          <w:numId w:val="1017"/>
        </w:numPr>
        <w:pStyle w:val="Compact"/>
      </w:pPr>
      <w:r>
        <w:t xml:space="preserve">Recipient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Undrawn ramp</w:t>
      </w:r>
      <w:r>
        <w:t xml:space="preserve"> </w:t>
      </w:r>
      <w:r>
        <w:t xml:space="preserve">— special mode with ramp facility limit + ramp months + ramp cancellation trigger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Deduct from 1st draw</w:t>
      </w:r>
      <w:r>
        <w:t xml:space="preserve"> </w:t>
      </w:r>
      <w:r>
        <w:t xml:space="preserve">checkbox (fixAmount only)</w:t>
      </w:r>
    </w:p>
    <w:p>
      <w:pPr>
        <w:numPr>
          <w:ilvl w:val="0"/>
          <w:numId w:val="1017"/>
        </w:numPr>
        <w:pStyle w:val="Compact"/>
      </w:pPr>
      <w:r>
        <w:t xml:space="preserve">IRR-hurdle tier editor (3 sub-tiers for exit fees)</w:t>
      </w:r>
    </w:p>
    <w:p>
      <w:pPr>
        <w:pStyle w:val="Heading3"/>
      </w:pPr>
      <w:bookmarkStart w:id="43" w:name="covenants"/>
      <w:r>
        <w:t xml:space="preserve">5.10 Covenants</w:t>
      </w:r>
      <w:bookmarkEnd w:id="43"/>
    </w:p>
    <w:p>
      <w:pPr>
        <w:numPr>
          <w:ilvl w:val="0"/>
          <w:numId w:val="1018"/>
        </w:numPr>
        <w:pStyle w:val="Compact"/>
      </w:pPr>
      <w:r>
        <w:t xml:space="preserve">25+ KPI metrics supported (financial + construction-mezz + livestock + revolver-BB)</w:t>
      </w:r>
    </w:p>
    <w:p>
      <w:pPr>
        <w:numPr>
          <w:ilvl w:val="0"/>
          <w:numId w:val="1018"/>
        </w:numPr>
        <w:pStyle w:val="Compact"/>
      </w:pPr>
      <w:r>
        <w:t xml:space="preserve">Threshold, direction (max/min), grace days</w:t>
      </w:r>
    </w:p>
    <w:p>
      <w:pPr>
        <w:numPr>
          <w:ilvl w:val="0"/>
          <w:numId w:val="1018"/>
        </w:numPr>
        <w:pStyle w:val="Compact"/>
      </w:pPr>
      <w:r>
        <w:t xml:space="preserve">Step-down schedule</w:t>
      </w:r>
    </w:p>
    <w:p>
      <w:pPr>
        <w:numPr>
          <w:ilvl w:val="0"/>
          <w:numId w:val="1018"/>
        </w:numPr>
        <w:pStyle w:val="Compact"/>
      </w:pPr>
      <w:r>
        <w:t xml:space="preserve">Consequences (notice / margin step-up / default interest / SICR trigger / mandatory prepayment / acceleration)</w:t>
      </w:r>
    </w:p>
    <w:p>
      <w:pPr>
        <w:numPr>
          <w:ilvl w:val="0"/>
          <w:numId w:val="1018"/>
        </w:numPr>
        <w:pStyle w:val="Compact"/>
      </w:pPr>
      <w:r>
        <w:t xml:space="preserve">Test frequency (monthly / quarterly / semi-annual / annual / event / ad-hoc)</w:t>
      </w:r>
    </w:p>
    <w:p>
      <w:pPr>
        <w:pStyle w:val="Heading2"/>
      </w:pPr>
      <w:bookmarkStart w:id="44" w:name="cashflow-tab"/>
      <w:r>
        <w:t xml:space="preserve">6. Cashflow tab</w:t>
      </w:r>
      <w:bookmarkEnd w:id="44"/>
    </w:p>
    <w:p>
      <w:pPr>
        <w:pStyle w:val="FirstParagraph"/>
      </w:pPr>
      <w:r>
        <w:t xml:space="preserve">The Cashflow tab shows forward cashflows generated live from the Loan Builder state.</w:t>
      </w:r>
    </w:p>
    <w:p>
      <w:pPr>
        <w:pStyle w:val="Heading3"/>
      </w:pPr>
      <w:bookmarkStart w:id="45" w:name="period-picker"/>
      <w:r>
        <w:t xml:space="preserve">6.1 Period picker</w:t>
      </w:r>
      <w:bookmarkEnd w:id="45"/>
    </w:p>
    <w:p>
      <w:pPr>
        <w:pStyle w:val="FirstParagraph"/>
      </w:pPr>
      <w:r>
        <w:t xml:space="preserve">Top-right of the cashflow viewer:</w:t>
      </w:r>
      <w:r>
        <w:t xml:space="preserve"> </w:t>
      </w:r>
      <w:r>
        <w:rPr>
          <w:b/>
        </w:rPr>
        <w:t xml:space="preserve">Period ▾</w:t>
      </w:r>
      <w:r>
        <w:t xml:space="preserve"> </w:t>
      </w:r>
      <w:r>
        <w:t xml:space="preserve">dropdown with Weekly / Monthly / Quarterly / Semi-annual / Annual.</w:t>
      </w:r>
    </w:p>
    <w:p>
      <w:pPr>
        <w:pStyle w:val="BodyText"/>
      </w:pPr>
      <w:r>
        <w:rPr>
          <w:b/>
        </w:rPr>
        <w:t xml:space="preserve">Auto-defaults per deal:</w:t>
      </w:r>
      <w:r>
        <w:t xml:space="preserve"> </w:t>
      </w:r>
      <w:r>
        <w:t xml:space="preserve">- 7-day interest tenor → Weekly (FirstAg)</w:t>
      </w:r>
      <w:r>
        <w:t xml:space="preserve"> </w:t>
      </w:r>
      <w:r>
        <w:t xml:space="preserve">- PIK monthly capitalisation → Monthly (Barrenjoey RE Mezz)</w:t>
      </w:r>
      <w:r>
        <w:t xml:space="preserve"> </w:t>
      </w:r>
      <w:r>
        <w:t xml:space="preserve">- Revolver → Monthly</w:t>
      </w:r>
      <w:r>
        <w:t xml:space="preserve"> </w:t>
      </w:r>
      <w:r>
        <w:t xml:space="preserve">- Otherwise → Quarterly</w:t>
      </w:r>
    </w:p>
    <w:p>
      <w:pPr>
        <w:pStyle w:val="BodyText"/>
      </w:pPr>
      <w:r>
        <w:t xml:space="preserve">Choice persists in localStorage.</w:t>
      </w:r>
    </w:p>
    <w:p>
      <w:pPr>
        <w:pStyle w:val="Heading3"/>
      </w:pPr>
      <w:bookmarkStart w:id="46" w:name="kpi-mini-cards"/>
      <w:r>
        <w:t xml:space="preserve">6.2 KPI mini-cards</w:t>
      </w:r>
      <w:bookmarkEnd w:id="46"/>
    </w:p>
    <w:p>
      <w:pPr>
        <w:pStyle w:val="FirstParagraph"/>
      </w:pPr>
      <w:r>
        <w:t xml:space="preserve">Total drawdowns · Peak balance · Total interest · Total fees · Paydowns · Net cash to lender</w:t>
      </w:r>
    </w:p>
    <w:p>
      <w:pPr>
        <w:pStyle w:val="Heading3"/>
      </w:pPr>
      <w:bookmarkStart w:id="47" w:name="row-expansion"/>
      <w:r>
        <w:t xml:space="preserve">6.3 Row expansion</w:t>
      </w:r>
      <w:bookmarkEnd w:id="47"/>
    </w:p>
    <w:p>
      <w:pPr>
        <w:pStyle w:val="FirstParagraph"/>
      </w:pPr>
      <w:r>
        <w:t xml:space="preserve">Click any row to expand → interest breakdown per tranche × component (with linkable rate calc), fee breakdown, drawdown/repayment breakdown.</w:t>
      </w:r>
    </w:p>
    <w:p>
      <w:pPr>
        <w:pStyle w:val="Heading3"/>
      </w:pPr>
      <w:bookmarkStart w:id="48" w:name="rate-curves-shortcut"/>
      <w:r>
        <w:t xml:space="preserve">6.4 Rate curves shortcut</w:t>
      </w:r>
      <w:bookmarkEnd w:id="48"/>
    </w:p>
    <w:p>
      <w:pPr>
        <w:pStyle w:val="FirstParagraph"/>
      </w:pPr>
      <w:r>
        <w:t xml:space="preserve">Top-right chip</w:t>
      </w:r>
      <w:r>
        <w:t xml:space="preserve"> </w:t>
      </w:r>
      <w:r>
        <w:rPr>
          <w:b/>
        </w:rPr>
        <w:t xml:space="preserve">Rate curves</w:t>
      </w:r>
      <w:r>
        <w:t xml:space="preserve"> </w:t>
      </w:r>
      <w:r>
        <w:t xml:space="preserve">opens the workspace fixings modal (same as sidebar → Rate curves).</w:t>
      </w:r>
    </w:p>
    <w:p>
      <w:pPr>
        <w:pStyle w:val="Heading2"/>
      </w:pPr>
      <w:bookmarkStart w:id="49" w:name="accounting-tab"/>
      <w:r>
        <w:t xml:space="preserve">7. Accounting tab</w:t>
      </w:r>
      <w:bookmarkEnd w:id="49"/>
    </w:p>
    <w:p>
      <w:pPr>
        <w:pStyle w:val="FirstParagraph"/>
      </w:pPr>
      <w:r>
        <w:t xml:space="preserve">The workhorse. Runs the IFRS 9 (or US GAAP / ASPE / AASB) engine and produces journal entries.</w:t>
      </w:r>
    </w:p>
    <w:p>
      <w:pPr>
        <w:pStyle w:val="Heading3"/>
      </w:pPr>
      <w:bookmarkStart w:id="50" w:name="run-accounting"/>
      <w:r>
        <w:t xml:space="preserve">7.1 Run accounting</w:t>
      </w:r>
      <w:bookmarkEnd w:id="50"/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</w:rPr>
        <w:t xml:space="preserve">Run accounting</w:t>
      </w:r>
      <w:r>
        <w:t xml:space="preserve">. Engine:</w:t>
      </w:r>
    </w:p>
    <w:p>
      <w:pPr>
        <w:numPr>
          <w:ilvl w:val="0"/>
          <w:numId w:val="1019"/>
        </w:numPr>
        <w:pStyle w:val="Compact"/>
      </w:pPr>
      <w:r>
        <w:t xml:space="preserve">Auto-repairs any missing settlement/maturity/faceValue on the instrument</w:t>
      </w:r>
    </w:p>
    <w:p>
      <w:pPr>
        <w:numPr>
          <w:ilvl w:val="0"/>
          <w:numId w:val="1019"/>
        </w:numPr>
        <w:pStyle w:val="Compact"/>
      </w:pPr>
      <w:r>
        <w:t xml:space="preserve">Builds daily schedule (draws, interest, fees, PIK capitalisation, ECL, FX reval)</w:t>
      </w:r>
    </w:p>
    <w:p>
      <w:pPr>
        <w:numPr>
          <w:ilvl w:val="0"/>
          <w:numId w:val="1019"/>
        </w:numPr>
        <w:pStyle w:val="Compact"/>
      </w:pPr>
      <w:r>
        <w:t xml:space="preserve">Computes summary (totals, peak balance, life-time interest)</w:t>
      </w:r>
    </w:p>
    <w:p>
      <w:pPr>
        <w:numPr>
          <w:ilvl w:val="0"/>
          <w:numId w:val="1019"/>
        </w:numPr>
        <w:pStyle w:val="Compact"/>
      </w:pPr>
      <w:r>
        <w:t xml:space="preserve">Generates JEs per accounting framework</w:t>
      </w:r>
    </w:p>
    <w:p>
      <w:pPr>
        <w:numPr>
          <w:ilvl w:val="0"/>
          <w:numId w:val="1019"/>
        </w:numPr>
        <w:pStyle w:val="Compact"/>
      </w:pPr>
      <w:r>
        <w:t xml:space="preserve">Splits monthly JEs by coupon period where relevant</w:t>
      </w:r>
    </w:p>
    <w:p>
      <w:pPr>
        <w:numPr>
          <w:ilvl w:val="0"/>
          <w:numId w:val="1019"/>
        </w:numPr>
        <w:pStyle w:val="Compact"/>
      </w:pPr>
      <w:r>
        <w:t xml:space="preserve">Applies AASB overlays (Tier, ASIC, franking, related-party, GST, APRA) if framework = AASB</w:t>
      </w:r>
    </w:p>
    <w:p>
      <w:pPr>
        <w:pStyle w:val="Heading3"/>
      </w:pPr>
      <w:bookmarkStart w:id="51" w:name="eir-panel"/>
      <w:r>
        <w:t xml:space="preserve">7.2 EIR panel</w:t>
      </w:r>
      <w:bookmarkEnd w:id="51"/>
    </w:p>
    <w:p>
      <w:pPr>
        <w:pStyle w:val="FirstParagraph"/>
      </w:pPr>
      <w:r>
        <w:t xml:space="preserve">Shows the effective interest rate — either the coupon (if no amortisation method set) or the effective yield (from bisection / closed-form / formula).</w:t>
      </w:r>
    </w:p>
    <w:p>
      <w:pPr>
        <w:pStyle w:val="BodyText"/>
      </w:pPr>
      <w:r>
        <w:t xml:space="preserve">For Barrenjoey RE Mezz: 16.5000% (both tranches same rate, face-weighted). For FirstAg: 11.3500% (floating base + spread breakdown shown in the note).</w:t>
      </w:r>
    </w:p>
    <w:p>
      <w:pPr>
        <w:pStyle w:val="Heading3"/>
      </w:pPr>
      <w:bookmarkStart w:id="52" w:name="Xb43f39589488e51823e1c9d080899419b272eeb"/>
      <w:r>
        <w:t xml:space="preserve">7.3 Dual-book comparison (when secondary framework set)</w:t>
      </w:r>
      <w:bookmarkEnd w:id="52"/>
    </w:p>
    <w:p>
      <w:pPr>
        <w:pStyle w:val="FirstParagraph"/>
      </w:pPr>
      <w:r>
        <w:t xml:space="preserve">When Legal &amp; compliance → Secondary framework is set (e.g. US GAAP alongside IFRS primary), the engine runs twice and shows a side-by-side comparison card: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EIR</w:t>
            </w:r>
          </w:p>
        </w:tc>
        <w:tc>
          <w:p>
            <w:pPr>
              <w:pStyle w:val="Compact"/>
              <w:jc w:val="left"/>
            </w:pPr>
            <w:r>
              <w:t xml:space="preserve">16.5000%</w:t>
            </w:r>
          </w:p>
        </w:tc>
        <w:tc>
          <w:p>
            <w:pPr>
              <w:pStyle w:val="Compact"/>
              <w:jc w:val="left"/>
            </w:pPr>
            <w:r>
              <w:t xml:space="preserve">15.87%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interest (life)</w:t>
            </w:r>
          </w:p>
        </w:tc>
        <w:tc>
          <w:p>
            <w:pPr>
              <w:pStyle w:val="Compact"/>
              <w:jc w:val="left"/>
            </w:pPr>
            <w:r>
              <w:t xml:space="preserve">£4.84m</w:t>
            </w:r>
          </w:p>
        </w:tc>
        <w:tc>
          <w:p>
            <w:pPr>
              <w:pStyle w:val="Compact"/>
              <w:jc w:val="left"/>
            </w:pPr>
            <w:r>
              <w:t xml:space="preserve">£4.77m</w:t>
            </w:r>
          </w:p>
        </w:tc>
        <w:tc>
          <w:p>
            <w:pPr>
              <w:pStyle w:val="Compact"/>
              <w:jc w:val="left"/>
            </w:pPr>
            <w:r>
              <w:t xml:space="preserve">−£67k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fees (life)</w:t>
            </w:r>
          </w:p>
        </w:tc>
        <w:tc>
          <w:p>
            <w:pPr>
              <w:pStyle w:val="Compact"/>
              <w:jc w:val="left"/>
            </w:pPr>
            <w:r>
              <w:t xml:space="preserve">£910k</w:t>
            </w:r>
          </w:p>
        </w:tc>
        <w:tc>
          <w:p>
            <w:pPr>
              <w:pStyle w:val="Compact"/>
              <w:jc w:val="left"/>
            </w:pPr>
            <w:r>
              <w:t xml:space="preserve">£910k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Deltas coloured amber when non-zero. Purpose text (</w:t>
      </w:r>
      <w:r>
        <w:t xml:space="preserve">“</w:t>
      </w:r>
      <w:r>
        <w:t xml:space="preserve">US LP reporting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AASB group consolidation</w:t>
      </w:r>
      <w:r>
        <w:t xml:space="preserve">”</w:t>
      </w:r>
      <w:r>
        <w:t xml:space="preserve">) shown inline.</w:t>
      </w:r>
    </w:p>
    <w:p>
      <w:pPr>
        <w:pStyle w:val="Heading3"/>
      </w:pPr>
      <w:bookmarkStart w:id="53" w:name="je-trace"/>
      <w:r>
        <w:t xml:space="preserve">7.4 JE Trace</w:t>
      </w:r>
      <w:bookmarkEnd w:id="53"/>
    </w:p>
    <w:p>
      <w:pPr>
        <w:pStyle w:val="FirstParagraph"/>
      </w:pPr>
      <w:r>
        <w:t xml:space="preserve">Line-by-line JE ledger with:</w:t>
      </w:r>
    </w:p>
    <w:p>
      <w:pPr>
        <w:numPr>
          <w:ilvl w:val="0"/>
          <w:numId w:val="1020"/>
        </w:numPr>
        <w:pStyle w:val="Compact"/>
      </w:pPr>
      <w:r>
        <w:t xml:space="preserve">Debit / Credit / Amount / GL account / Description</w:t>
      </w:r>
    </w:p>
    <w:p>
      <w:pPr>
        <w:numPr>
          <w:ilvl w:val="0"/>
          <w:numId w:val="1020"/>
        </w:numPr>
        <w:pStyle w:val="Compact"/>
      </w:pPr>
      <w:r>
        <w:t xml:space="preserve">Group by transaction type</w:t>
      </w:r>
    </w:p>
    <w:p>
      <w:pPr>
        <w:numPr>
          <w:ilvl w:val="0"/>
          <w:numId w:val="1020"/>
        </w:numPr>
        <w:pStyle w:val="Compact"/>
      </w:pPr>
      <w:r>
        <w:t xml:space="preserve">Filter by tranche / fee / event</w:t>
      </w:r>
    </w:p>
    <w:p>
      <w:pPr>
        <w:numPr>
          <w:ilvl w:val="0"/>
          <w:numId w:val="1020"/>
        </w:numPr>
        <w:pStyle w:val="Compact"/>
      </w:pPr>
      <w:r>
        <w:t xml:space="preserve">Click-through to source event</w:t>
      </w:r>
    </w:p>
    <w:p>
      <w:pPr>
        <w:pStyle w:val="Heading3"/>
      </w:pPr>
      <w:bookmarkStart w:id="54" w:name="evidence-pack"/>
      <w:r>
        <w:t xml:space="preserve">7.5 Evidence Pack</w:t>
      </w:r>
      <w:bookmarkEnd w:id="54"/>
    </w:p>
    <w:p>
      <w:pPr>
        <w:pStyle w:val="FirstParagraph"/>
      </w:pPr>
      <w:r>
        <w:t xml:space="preserve">Full audit-ready output:</w:t>
      </w:r>
      <w:r>
        <w:t xml:space="preserve"> </w:t>
      </w:r>
      <w:r>
        <w:t xml:space="preserve">- IFRS 9 EIR / SPPI / business model classification</w:t>
      </w:r>
      <w:r>
        <w:t xml:space="preserve"> </w:t>
      </w:r>
      <w:r>
        <w:t xml:space="preserve">- Fair value level + inputs</w:t>
      </w:r>
      <w:r>
        <w:t xml:space="preserve"> </w:t>
      </w:r>
      <w:r>
        <w:t xml:space="preserve">- Modification history (before/after substantial mod)</w:t>
      </w:r>
      <w:r>
        <w:t xml:space="preserve"> </w:t>
      </w:r>
      <w:r>
        <w:t xml:space="preserve">- ECL stage assignments + PD × LGD × EAD workings</w:t>
      </w:r>
      <w:r>
        <w:t xml:space="preserve"> </w:t>
      </w:r>
      <w:r>
        <w:t xml:space="preserve">- Fee EIR pool + accretion schedule</w:t>
      </w:r>
      <w:r>
        <w:t xml:space="preserve"> </w:t>
      </w:r>
      <w:r>
        <w:t xml:space="preserve">- FX revaluation table (multi-currency deals)</w:t>
      </w:r>
      <w:r>
        <w:t xml:space="preserve"> </w:t>
      </w:r>
      <w:r>
        <w:t xml:space="preserve">- Hedge designation + effectiveness (if CFH/FVH set)</w:t>
      </w:r>
    </w:p>
    <w:p>
      <w:pPr>
        <w:pStyle w:val="Heading2"/>
      </w:pPr>
      <w:bookmarkStart w:id="55" w:name="reconciliation"/>
      <w:r>
        <w:t xml:space="preserve">8. Reconciliation</w:t>
      </w:r>
      <w:bookmarkEnd w:id="55"/>
    </w:p>
    <w:p>
      <w:pPr>
        <w:pStyle w:val="FirstParagraph"/>
      </w:pPr>
      <w:r>
        <w:t xml:space="preserve">Matches JEs generated by the engine against Workday actuals (or CSV upload).</w:t>
      </w:r>
    </w:p>
    <w:p>
      <w:pPr>
        <w:numPr>
          <w:ilvl w:val="0"/>
          <w:numId w:val="1021"/>
        </w:numPr>
        <w:pStyle w:val="Compact"/>
      </w:pPr>
      <w:r>
        <w:t xml:space="preserve">Import actuals batch</w:t>
      </w:r>
    </w:p>
    <w:p>
      <w:pPr>
        <w:numPr>
          <w:ilvl w:val="0"/>
          <w:numId w:val="1021"/>
        </w:numPr>
        <w:pStyle w:val="Compact"/>
      </w:pPr>
      <w:r>
        <w:t xml:space="preserve">Match by (date, amount, GL account) with variance tolerance</w:t>
      </w:r>
    </w:p>
    <w:p>
      <w:pPr>
        <w:numPr>
          <w:ilvl w:val="0"/>
          <w:numId w:val="1021"/>
        </w:numPr>
        <w:pStyle w:val="Compact"/>
      </w:pPr>
      <w:r>
        <w:t xml:space="preserve">Flag unmatched / partial / mismatch / n/a</w:t>
      </w:r>
    </w:p>
    <w:p>
      <w:pPr>
        <w:numPr>
          <w:ilvl w:val="0"/>
          <w:numId w:val="1021"/>
        </w:numPr>
        <w:pStyle w:val="Compact"/>
      </w:pPr>
      <w:r>
        <w:t xml:space="preserve">Feedback message payload back to source</w:t>
      </w:r>
    </w:p>
    <w:p>
      <w:pPr>
        <w:pStyle w:val="Heading2"/>
      </w:pPr>
      <w:bookmarkStart w:id="56" w:name="dashboard"/>
      <w:r>
        <w:t xml:space="preserve">9. Dashboard</w:t>
      </w:r>
      <w:bookmarkEnd w:id="56"/>
    </w:p>
    <w:p>
      <w:pPr>
        <w:pStyle w:val="FirstParagraph"/>
      </w:pPr>
      <w:r>
        <w:t xml:space="preserve">Loan-level overview for the active deal. Auto-refreshes 1.5s after deal change.</w:t>
      </w:r>
    </w:p>
    <w:p>
      <w:pPr>
        <w:numPr>
          <w:ilvl w:val="0"/>
          <w:numId w:val="1022"/>
        </w:numPr>
        <w:pStyle w:val="Compact"/>
      </w:pPr>
      <w:r>
        <w:t xml:space="preserve">KPI strip: outstanding, utilisation %, EIR, coupon, days to maturity</w:t>
      </w:r>
    </w:p>
    <w:p>
      <w:pPr>
        <w:numPr>
          <w:ilvl w:val="0"/>
          <w:numId w:val="1022"/>
        </w:numPr>
        <w:pStyle w:val="Compact"/>
      </w:pPr>
      <w:r>
        <w:t xml:space="preserve">Cashflow chart (balance + cumulative cash interest over life)</w:t>
      </w:r>
    </w:p>
    <w:p>
      <w:pPr>
        <w:numPr>
          <w:ilvl w:val="0"/>
          <w:numId w:val="1022"/>
        </w:numPr>
        <w:pStyle w:val="Compact"/>
      </w:pPr>
      <w:r>
        <w:t xml:space="preserve">Covenant status panel (all live-computed)</w:t>
      </w:r>
    </w:p>
    <w:p>
      <w:pPr>
        <w:numPr>
          <w:ilvl w:val="0"/>
          <w:numId w:val="1022"/>
        </w:numPr>
        <w:pStyle w:val="Compact"/>
      </w:pPr>
      <w:r>
        <w:t xml:space="preserve">Lifecycle timeline (drawdowns, PIK capitalisation, paydowns, maturity)</w:t>
      </w:r>
    </w:p>
    <w:p>
      <w:pPr>
        <w:numPr>
          <w:ilvl w:val="0"/>
          <w:numId w:val="1022"/>
        </w:numPr>
        <w:pStyle w:val="Compact"/>
      </w:pPr>
      <w:r>
        <w:t xml:space="preserve">Ratings (if applicable)</w:t>
      </w:r>
    </w:p>
    <w:p>
      <w:pPr>
        <w:numPr>
          <w:ilvl w:val="0"/>
          <w:numId w:val="1022"/>
        </w:numPr>
        <w:pStyle w:val="Compact"/>
      </w:pPr>
      <w:r>
        <w:t xml:space="preserve">Recent notices</w:t>
      </w:r>
    </w:p>
    <w:p>
      <w:pPr>
        <w:pStyle w:val="Heading2"/>
      </w:pPr>
      <w:bookmarkStart w:id="57" w:name="sidebar-tools-detail"/>
      <w:r>
        <w:t xml:space="preserve">10. Sidebar tools — detail</w:t>
      </w:r>
      <w:bookmarkEnd w:id="57"/>
    </w:p>
    <w:p>
      <w:pPr>
        <w:pStyle w:val="Heading3"/>
      </w:pPr>
      <w:bookmarkStart w:id="58" w:name="notices"/>
      <w:r>
        <w:t xml:space="preserve">10.1 Notices</w:t>
      </w:r>
      <w:bookmarkEnd w:id="58"/>
    </w:p>
    <w:p>
      <w:pPr>
        <w:pStyle w:val="FirstParagraph"/>
      </w:pPr>
      <w:r>
        <w:t xml:space="preserve">Auto-derived + manual notices for borrower operations.</w:t>
      </w:r>
    </w:p>
    <w:p>
      <w:pPr>
        <w:numPr>
          <w:ilvl w:val="0"/>
          <w:numId w:val="1023"/>
        </w:numPr>
        <w:pStyle w:val="Compact"/>
      </w:pPr>
      <w:r>
        <w:t xml:space="preserve">8 notice types: drawdown, interest, repayment, prepayment, rate reset, fee, waiver, amendment, default, other,</w:t>
      </w:r>
      <w:r>
        <w:t xml:space="preserve"> </w:t>
      </w:r>
      <w:r>
        <w:rPr>
          <w:b/>
        </w:rPr>
        <w:t xml:space="preserve">reporting_due</w:t>
      </w:r>
    </w:p>
    <w:p>
      <w:pPr>
        <w:numPr>
          <w:ilvl w:val="0"/>
          <w:numId w:val="1023"/>
        </w:numPr>
        <w:pStyle w:val="Compact"/>
      </w:pPr>
      <w:r>
        <w:t xml:space="preserve">Filters by deal, type, status (pending / sent / acknowledged / completed / cancelled), source (system_derived / agent_received / manual / email_ingest)</w:t>
      </w:r>
    </w:p>
    <w:p>
      <w:pPr>
        <w:numPr>
          <w:ilvl w:val="0"/>
          <w:numId w:val="1023"/>
        </w:numPr>
        <w:pStyle w:val="Compact"/>
      </w:pPr>
      <w:r>
        <w:t xml:space="preserve">Bulk actions: mark sent, mark acknowledged, mark completed</w:t>
      </w:r>
    </w:p>
    <w:p>
      <w:pPr>
        <w:numPr>
          <w:ilvl w:val="0"/>
          <w:numId w:val="1023"/>
        </w:numPr>
        <w:pStyle w:val="Compact"/>
      </w:pPr>
      <w:r>
        <w:t xml:space="preserve">Reconciliation with actuals: matched / partial / mismatch / unmatched</w:t>
      </w:r>
    </w:p>
    <w:p>
      <w:pPr>
        <w:numPr>
          <w:ilvl w:val="0"/>
          <w:numId w:val="1023"/>
        </w:numPr>
        <w:pStyle w:val="Compact"/>
      </w:pPr>
      <w:r>
        <w:t xml:space="preserve">PDF templating for outbound notices</w:t>
      </w:r>
    </w:p>
    <w:p>
      <w:pPr>
        <w:pStyle w:val="Heading3"/>
      </w:pPr>
      <w:bookmarkStart w:id="59" w:name="watchlist"/>
      <w:r>
        <w:t xml:space="preserve">10.2 Watchlist</w:t>
      </w:r>
      <w:bookmarkEnd w:id="59"/>
    </w:p>
    <w:p>
      <w:pPr>
        <w:pStyle w:val="FirstParagraph"/>
      </w:pPr>
      <w:r>
        <w:t xml:space="preserve">Cross-portfolio early-warning. Every deal + every covenant. Colour-coded: green (compliant), amber (approaching), red (breached).</w:t>
      </w:r>
    </w:p>
    <w:p>
      <w:pPr>
        <w:pStyle w:val="Heading3"/>
      </w:pPr>
      <w:bookmarkStart w:id="60" w:name="portfolio"/>
      <w:r>
        <w:t xml:space="preserve">10.3 Portfolio</w:t>
      </w:r>
      <w:bookmarkEnd w:id="60"/>
    </w:p>
    <w:p>
      <w:pPr>
        <w:pStyle w:val="FirstParagraph"/>
      </w:pPr>
      <w:r>
        <w:t xml:space="preserve">Yield, duration, WAL (weighted average life), DV01 (dollar value of 01), fund-level roll-ups.</w:t>
      </w:r>
    </w:p>
    <w:p>
      <w:pPr>
        <w:pStyle w:val="Heading3"/>
      </w:pPr>
      <w:bookmarkStart w:id="61" w:name="regulatory-reports"/>
      <w:r>
        <w:t xml:space="preserve">10.4 Regulatory reports</w:t>
      </w:r>
      <w:bookmarkEnd w:id="61"/>
    </w:p>
    <w:p>
      <w:pPr>
        <w:pStyle w:val="FirstParagraph"/>
      </w:pPr>
      <w:r>
        <w:t xml:space="preserve">Form PF (US private funds), AIFMD Annex IV (EU), FR Y-14Q (US bank stress test), APRA APS 220/221/330 (AU). Scaffolding — schemas ready, regulator-format XML/XBRL exports not yet generated.</w:t>
      </w:r>
    </w:p>
    <w:p>
      <w:pPr>
        <w:pStyle w:val="Heading3"/>
      </w:pPr>
      <w:bookmarkStart w:id="62" w:name="financials"/>
      <w:r>
        <w:t xml:space="preserve">10.5 Financials</w:t>
      </w:r>
      <w:bookmarkEnd w:id="62"/>
    </w:p>
    <w:p>
      <w:pPr>
        <w:pStyle w:val="FirstParagraph"/>
      </w:pPr>
      <w:r>
        <w:t xml:space="preserve">AI-extracted quarterly / annual borrower statements. Uploads PDF → engine pulls the numbers → auto-populates the deal’s financial KPIs (DSCR, ICR, leverage, etc.).</w:t>
      </w:r>
    </w:p>
    <w:p>
      <w:pPr>
        <w:pStyle w:val="Heading3"/>
      </w:pPr>
      <w:bookmarkStart w:id="63" w:name="credit-agreements"/>
      <w:r>
        <w:t xml:space="preserve">10.6 Credit agreements</w:t>
      </w:r>
      <w:bookmarkEnd w:id="63"/>
    </w:p>
    <w:p>
      <w:pPr>
        <w:pStyle w:val="FirstParagraph"/>
      </w:pPr>
      <w:r>
        <w:t xml:space="preserve">CA library. Upload PDF → AI extracts key terms → maps to Loan Builder fields. Version history.</w:t>
      </w:r>
    </w:p>
    <w:p>
      <w:pPr>
        <w:pStyle w:val="Heading3"/>
      </w:pPr>
      <w:bookmarkStart w:id="64" w:name="manage-funds"/>
      <w:r>
        <w:t xml:space="preserve">10.7 Manage funds</w:t>
      </w:r>
      <w:bookmarkEnd w:id="64"/>
    </w:p>
    <w:p>
      <w:pPr>
        <w:pStyle w:val="FirstParagraph"/>
      </w:pPr>
      <w:r>
        <w:t xml:space="preserve">Fund entities, allocations, regulatory scope. Used by Portfolio + Watchlist as filter dimensions.</w:t>
      </w:r>
    </w:p>
    <w:p>
      <w:pPr>
        <w:pStyle w:val="Heading3"/>
      </w:pPr>
      <w:bookmarkStart w:id="65" w:name="manage-teams-admin-only"/>
      <w:r>
        <w:t xml:space="preserve">10.8 Manage teams (admin only)</w:t>
      </w:r>
      <w:bookmarkEnd w:id="65"/>
    </w:p>
    <w:p>
      <w:pPr>
        <w:pStyle w:val="FirstParagraph"/>
      </w:pPr>
      <w:r>
        <w:t xml:space="preserve">Two sections: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Workspace admins</w:t>
      </w:r>
      <w:r>
        <w:t xml:space="preserve"> </w:t>
      </w:r>
      <w:r>
        <w:t xml:space="preserve">— table of all users with admin checkbox. Server rejects demoting the last admin.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Teams</w:t>
      </w:r>
      <w:r>
        <w:t xml:space="preserve"> </w:t>
      </w:r>
      <w:r>
        <w:t xml:space="preserve">— create a team, add members, delete a team. Assign teams to deals via Deal Setup → Access &amp; assignments.</w:t>
      </w:r>
    </w:p>
    <w:p>
      <w:pPr>
        <w:pStyle w:val="Heading3"/>
      </w:pPr>
      <w:bookmarkStart w:id="66" w:name="waterfall"/>
      <w:r>
        <w:t xml:space="preserve">10.9 Waterfall</w:t>
      </w:r>
      <w:bookmarkEnd w:id="66"/>
    </w:p>
    <w:p>
      <w:pPr>
        <w:pStyle w:val="FirstParagraph"/>
      </w:pPr>
      <w:r>
        <w:t xml:space="preserve">Cash-distribution simulator. Only meaningful for mezz deals with a</w:t>
      </w:r>
      <w:r>
        <w:t xml:space="preserve"> </w:t>
      </w:r>
      <w:r>
        <w:rPr>
          <w:rStyle w:val="VerbatimChar"/>
        </w:rPr>
        <w:t xml:space="preserve">waterfall_config</w:t>
      </w:r>
      <w:r>
        <w:t xml:space="preserve">. Enter sale proceeds, costs, senior debt, cost overrun, borrower equity, IRR-hurdle amounts → engine runs the 7-tier cascade → per-recipient totals.</w:t>
      </w:r>
    </w:p>
    <w:p>
      <w:pPr>
        <w:pStyle w:val="BodyText"/>
      </w:pPr>
      <w:r>
        <w:t xml:space="preserve">For Barrenjoey RE Mezz, the coupon input pre-populates net of the scheduled cash-serviced payments.</w:t>
      </w:r>
    </w:p>
    <w:p>
      <w:pPr>
        <w:pStyle w:val="Heading3"/>
      </w:pPr>
      <w:bookmarkStart w:id="67" w:name="borrowing-base"/>
      <w:r>
        <w:t xml:space="preserve">10.10 Borrowing base</w:t>
      </w:r>
      <w:bookmarkEnd w:id="67"/>
    </w:p>
    <w:p>
      <w:pPr>
        <w:pStyle w:val="FirstParagraph"/>
      </w:pPr>
      <w:r>
        <w:t xml:space="preserve">For FirstAg-style revolving BB facilities. Shows:</w:t>
      </w:r>
    </w:p>
    <w:p>
      <w:pPr>
        <w:numPr>
          <w:ilvl w:val="0"/>
          <w:numId w:val="1024"/>
        </w:numPr>
        <w:pStyle w:val="Compact"/>
      </w:pPr>
      <w:r>
        <w:t xml:space="preserve">Config summary (facility limit, sub-limit, max utilisations)</w:t>
      </w:r>
    </w:p>
    <w:p>
      <w:pPr>
        <w:numPr>
          <w:ilvl w:val="0"/>
          <w:numId w:val="1024"/>
        </w:numPr>
        <w:pStyle w:val="Compact"/>
      </w:pPr>
      <w:r>
        <w:t xml:space="preserve">Live inventory list with add/edit/delete + days-on-feed colour coding</w:t>
      </w:r>
    </w:p>
    <w:p>
      <w:pPr>
        <w:numPr>
          <w:ilvl w:val="0"/>
          <w:numId w:val="1024"/>
        </w:numPr>
        <w:pStyle w:val="Compact"/>
      </w:pPr>
      <w:r>
        <w:t xml:space="preserve">Right pane: computed borrowing base with per-asset-class breakdown, sub-limit tracker, warnings</w:t>
      </w:r>
    </w:p>
    <w:p>
      <w:pPr>
        <w:numPr>
          <w:ilvl w:val="0"/>
          <w:numId w:val="1024"/>
        </w:numPr>
        <w:pStyle w:val="Compact"/>
      </w:pPr>
      <w:r>
        <w:t xml:space="preserve">Certificate workflow: draft → submitted → approve/reject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Cashflow simulator</w:t>
      </w:r>
      <w:r>
        <w:t xml:space="preserve"> </w:t>
      </w:r>
      <w:r>
        <w:t xml:space="preserve">— enter a receivable / drawdown / capital return and see how it applies (interest paid, principal moved, new outstanding)</w:t>
      </w:r>
    </w:p>
    <w:p>
      <w:pPr>
        <w:pStyle w:val="Heading3"/>
      </w:pPr>
      <w:bookmarkStart w:id="68" w:name="rate-curves"/>
      <w:r>
        <w:t xml:space="preserve">10.11 Rate curves</w:t>
      </w:r>
      <w:bookmarkEnd w:id="68"/>
    </w:p>
    <w:p>
      <w:pPr>
        <w:pStyle w:val="FirstParagraph"/>
      </w:pPr>
      <w:r>
        <w:t xml:space="preserve">Workspace-level benchmark fixings — BBSY, BBSW, SOFR, Term SOFR, SONIA, €STR, EURIBOR. Any deal referencing an index reads from here.</w:t>
      </w:r>
    </w:p>
    <w:p>
      <w:pPr>
        <w:numPr>
          <w:ilvl w:val="0"/>
          <w:numId w:val="1025"/>
        </w:numPr>
        <w:pStyle w:val="Compact"/>
      </w:pPr>
      <w:r>
        <w:t xml:space="preserve">Index dropdown auto-defaults to the active deal’s index</w:t>
      </w:r>
    </w:p>
    <w:p>
      <w:pPr>
        <w:numPr>
          <w:ilvl w:val="0"/>
          <w:numId w:val="1025"/>
        </w:numPr>
        <w:pStyle w:val="Compact"/>
      </w:pPr>
      <w:r>
        <w:t xml:space="preserve">Import via CSV upload or paste (</w:t>
      </w:r>
      <w:r>
        <w:rPr>
          <w:rStyle w:val="VerbatimChar"/>
        </w:rPr>
        <w:t xml:space="preserve">date,rate</w:t>
      </w:r>
      <w:r>
        <w:t xml:space="preserve"> </w:t>
      </w:r>
      <w:r>
        <w:t xml:space="preserve">— decimal or percent, auto-detected)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Seed sample 90d</w:t>
      </w:r>
      <w:r>
        <w:t xml:space="preserve"> </w:t>
      </w:r>
      <w:r>
        <w:t xml:space="preserve">button generates ±5bps noise around each index’s typical level for demo purposes</w:t>
      </w:r>
    </w:p>
    <w:p>
      <w:pPr>
        <w:numPr>
          <w:ilvl w:val="0"/>
          <w:numId w:val="1025"/>
        </w:numPr>
        <w:pStyle w:val="Compact"/>
      </w:pPr>
      <w:r>
        <w:t xml:space="preserve">Existing fixings list with per-row delete + delete-all-for-index</w:t>
      </w:r>
    </w:p>
    <w:p>
      <w:pPr>
        <w:pStyle w:val="FirstParagraph"/>
      </w:pPr>
      <w:r>
        <w:t xml:space="preserve">Cashflows automatically pick up the fixings the next time they’re recomputed.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test-scenarios-scripted-walkthroughs"/>
      <w:r>
        <w:t xml:space="preserve">11. Test scenarios — scripted walkthroughs</w:t>
      </w:r>
      <w:bookmarkEnd w:id="69"/>
    </w:p>
    <w:p>
      <w:pPr>
        <w:pStyle w:val="FirstParagraph"/>
      </w:pPr>
      <w:r>
        <w:t xml:space="preserve">Here are 8 concrete scenarios testers can run to exercise the platform. Each takes 3-10 minutes.</w:t>
      </w:r>
    </w:p>
    <w:p>
      <w:pPr>
        <w:pStyle w:val="Heading3"/>
      </w:pPr>
      <w:bookmarkStart w:id="70" w:name="Xfa8fa405794e93220859c07f026c9119bd0d7b2"/>
      <w:r>
        <w:t xml:space="preserve">Scenario 1 — Load Barrenjoey and run accounting end-to-end (5 min)</w:t>
      </w:r>
      <w:bookmarkEnd w:id="70"/>
    </w:p>
    <w:p>
      <w:pPr>
        <w:numPr>
          <w:ilvl w:val="0"/>
          <w:numId w:val="1026"/>
        </w:numPr>
        <w:pStyle w:val="Compact"/>
      </w:pPr>
      <w:r>
        <w:t xml:space="preserve">Sign in as admin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Select deal</w:t>
      </w:r>
      <w:r>
        <w:t xml:space="preserve"> </w:t>
      </w:r>
      <w:r>
        <w:t xml:space="preserve">→ find</w:t>
      </w:r>
      <w:r>
        <w:t xml:space="preserve"> </w:t>
      </w:r>
      <w:r>
        <w:rPr>
          <w:b/>
        </w:rPr>
        <w:t xml:space="preserve">Barrenjoey RE Mezz — Example 1</w:t>
      </w:r>
      <w:r>
        <w:t xml:space="preserve"> </w:t>
      </w:r>
      <w:r>
        <w:t xml:space="preserve">→ click Load</w:t>
      </w:r>
    </w:p>
    <w:p>
      <w:pPr>
        <w:numPr>
          <w:ilvl w:val="0"/>
          <w:numId w:val="1026"/>
        </w:numPr>
        <w:pStyle w:val="Compact"/>
      </w:pPr>
      <w:r>
        <w:t xml:space="preserve">Wait for the deal to hydrate. Toast confirms.</w:t>
      </w:r>
    </w:p>
    <w:p>
      <w:pPr>
        <w:numPr>
          <w:ilvl w:val="0"/>
          <w:numId w:val="1026"/>
        </w:numPr>
        <w:pStyle w:val="Compact"/>
      </w:pPr>
      <w:r>
        <w:t xml:space="preserve">Navigate to</w:t>
      </w:r>
      <w:r>
        <w:t xml:space="preserve"> </w:t>
      </w:r>
      <w:r>
        <w:rPr>
          <w:b/>
        </w:rPr>
        <w:t xml:space="preserve">Accounting</w:t>
      </w:r>
      <w:r>
        <w:t xml:space="preserve"> </w:t>
      </w:r>
      <w:r>
        <w:t xml:space="preserve">tab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Run accounting</w:t>
      </w:r>
    </w:p>
    <w:p>
      <w:pPr>
        <w:numPr>
          <w:ilvl w:val="0"/>
          <w:numId w:val="1026"/>
        </w:numPr>
        <w:pStyle w:val="Compact"/>
      </w:pPr>
      <w:r>
        <w:t xml:space="preserve">Expected outcome:</w:t>
      </w:r>
    </w:p>
    <w:p>
      <w:pPr>
        <w:numPr>
          <w:ilvl w:val="1"/>
          <w:numId w:val="1027"/>
        </w:numPr>
        <w:pStyle w:val="Compact"/>
      </w:pPr>
      <w:r>
        <w:t xml:space="preserve">EIR panel shows</w:t>
      </w:r>
      <w:r>
        <w:t xml:space="preserve"> </w:t>
      </w:r>
      <w:r>
        <w:rPr>
          <w:b/>
        </w:rPr>
        <w:t xml:space="preserve">16.5000%</w:t>
      </w:r>
      <w:r>
        <w:t xml:space="preserve"> </w:t>
      </w:r>
      <w:r>
        <w:t xml:space="preserve">(face-weighted coupon)</w:t>
      </w:r>
    </w:p>
    <w:p>
      <w:pPr>
        <w:numPr>
          <w:ilvl w:val="1"/>
          <w:numId w:val="1027"/>
        </w:numPr>
        <w:pStyle w:val="Compact"/>
      </w:pPr>
      <w:r>
        <w:t xml:space="preserve">JE Trace populates with drawdown / interest accrual / capitalisation / fee JEs</w:t>
      </w:r>
    </w:p>
    <w:p>
      <w:pPr>
        <w:numPr>
          <w:ilvl w:val="1"/>
          <w:numId w:val="1027"/>
        </w:numPr>
        <w:pStyle w:val="Compact"/>
      </w:pPr>
      <w:r>
        <w:t xml:space="preserve">Evidence Pack renders IFRS 9 classification (Amortised Cost, HTC business model, Stage 1 ECL)</w:t>
      </w:r>
    </w:p>
    <w:p>
      <w:pPr>
        <w:numPr>
          <w:ilvl w:val="1"/>
          <w:numId w:val="1027"/>
        </w:numPr>
        <w:pStyle w:val="Compact"/>
      </w:pPr>
      <w:r>
        <w:t xml:space="preserve">No errors in the console</w:t>
      </w:r>
    </w:p>
    <w:p>
      <w:pPr>
        <w:pStyle w:val="Heading3"/>
      </w:pPr>
      <w:bookmarkStart w:id="71" w:name="X30387ed89ca8fc1e1f76df430fbef955a11776e"/>
      <w:r>
        <w:t xml:space="preserve">Scenario 2 — Run FirstAg + verify livestock aging covenant (5 min)</w:t>
      </w:r>
      <w:bookmarkEnd w:id="71"/>
    </w:p>
    <w:p>
      <w:pPr>
        <w:numPr>
          <w:ilvl w:val="0"/>
          <w:numId w:val="1028"/>
        </w:numPr>
        <w:pStyle w:val="Compact"/>
      </w:pPr>
      <w:r>
        <w:t xml:space="preserve">Load</w:t>
      </w:r>
      <w:r>
        <w:t xml:space="preserve"> </w:t>
      </w:r>
      <w:r>
        <w:rPr>
          <w:b/>
        </w:rPr>
        <w:t xml:space="preserve">Barrenjoey FirstAg Livestock — Example 2</w:t>
      </w:r>
    </w:p>
    <w:p>
      <w:pPr>
        <w:numPr>
          <w:ilvl w:val="0"/>
          <w:numId w:val="1028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Borrowing base</w:t>
      </w:r>
      <w:r>
        <w:t xml:space="preserve"> </w:t>
      </w:r>
      <w:r>
        <w:t xml:space="preserve">modal from sidebar</w:t>
      </w:r>
    </w:p>
    <w:p>
      <w:pPr>
        <w:numPr>
          <w:ilvl w:val="0"/>
          <w:numId w:val="1028"/>
        </w:numPr>
        <w:pStyle w:val="Compact"/>
      </w:pPr>
      <w:r>
        <w:t xml:space="preserve">Expected outcome: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Computed base amount ≈ $1.09m</w:t>
      </w:r>
      <w:r>
        <w:t xml:space="preserve"> </w:t>
      </w:r>
      <w:r>
        <w:t xml:space="preserve">(from 5 seeded inventory rows)</w:t>
      </w:r>
    </w:p>
    <w:p>
      <w:pPr>
        <w:numPr>
          <w:ilvl w:val="1"/>
          <w:numId w:val="1029"/>
        </w:numPr>
        <w:pStyle w:val="Compact"/>
      </w:pPr>
      <w:r>
        <w:t xml:space="preserve">Backgrounding sub-limit tracker shows well under $8m</w:t>
      </w:r>
    </w:p>
    <w:p>
      <w:pPr>
        <w:numPr>
          <w:ilvl w:val="1"/>
          <w:numId w:val="1029"/>
        </w:numPr>
        <w:pStyle w:val="Compact"/>
      </w:pPr>
      <w:r>
        <w:t xml:space="preserve">Cashflow simulator: Outstanding $12m · Utilisation 30% · All-in 11.35% · Interest/7d $26,120.55</w:t>
      </w:r>
    </w:p>
    <w:p>
      <w:pPr>
        <w:numPr>
          <w:ilvl w:val="0"/>
          <w:numId w:val="1028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Watchlist</w:t>
      </w:r>
      <w:r>
        <w:t xml:space="preserve"> </w:t>
      </w:r>
      <w:r>
        <w:t xml:space="preserve">— confirm Livestock aging (contracted) shows 60 days (compliant vs 180); Livestock aging (uncontracted) shows 55 days (compliant vs 90)</w:t>
      </w:r>
    </w:p>
    <w:p>
      <w:pPr>
        <w:pStyle w:val="Heading3"/>
      </w:pPr>
      <w:bookmarkStart w:id="72" w:name="X353894901b6745ba1b0d9e49dbf3ab16893bc66"/>
      <w:r>
        <w:t xml:space="preserve">Scenario 3 — Change deal on Dashboard and confirm auto-refresh (2 min)</w:t>
      </w:r>
      <w:bookmarkEnd w:id="72"/>
    </w:p>
    <w:p>
      <w:pPr>
        <w:numPr>
          <w:ilvl w:val="0"/>
          <w:numId w:val="1030"/>
        </w:numPr>
        <w:pStyle w:val="Compact"/>
      </w:pPr>
      <w:r>
        <w:t xml:space="preserve">Load Barrenjoey RE Mezz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tab</w:t>
      </w:r>
    </w:p>
    <w:p>
      <w:pPr>
        <w:numPr>
          <w:ilvl w:val="0"/>
          <w:numId w:val="1030"/>
        </w:numPr>
        <w:pStyle w:val="Compact"/>
      </w:pPr>
      <w:r>
        <w:t xml:space="preserve">Observe KPIs for RE Mezz</w:t>
      </w:r>
    </w:p>
    <w:p>
      <w:pPr>
        <w:numPr>
          <w:ilvl w:val="0"/>
          <w:numId w:val="1030"/>
        </w:numPr>
        <w:pStyle w:val="Compact"/>
      </w:pPr>
      <w:r>
        <w:t xml:space="preserve">Without leaving Dashboard, open</w:t>
      </w:r>
      <w:r>
        <w:t xml:space="preserve"> </w:t>
      </w:r>
      <w:r>
        <w:rPr>
          <w:b/>
        </w:rPr>
        <w:t xml:space="preserve">Select deal</w:t>
      </w:r>
      <w:r>
        <w:t xml:space="preserve"> </w:t>
      </w:r>
      <w:r>
        <w:t xml:space="preserve">→ switch to FirstAg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within 1.5s, Dashboard re-renders with FirstAg’s KPIs. Console shows</w:t>
      </w:r>
      <w:r>
        <w:t xml:space="preserve"> </w:t>
      </w:r>
      <w:r>
        <w:rPr>
          <w:rStyle w:val="VerbatimChar"/>
        </w:rPr>
        <w:t xml:space="preserve">[dashboard] deal changed ... · re-rendering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[dashboard] syncing M.instrumentId</w:t>
      </w:r>
      <w:r>
        <w:t xml:space="preserve">.</w:t>
      </w:r>
    </w:p>
    <w:p>
      <w:pPr>
        <w:pStyle w:val="Heading3"/>
      </w:pPr>
      <w:bookmarkStart w:id="73" w:name="X9339fa40009418eaef50ed333406bec661fb5d9"/>
      <w:r>
        <w:t xml:space="preserve">Scenario 4 — Test the deal picker + access control (3 min)</w:t>
      </w:r>
      <w:bookmarkEnd w:id="73"/>
    </w:p>
    <w:p>
      <w:pPr>
        <w:numPr>
          <w:ilvl w:val="0"/>
          <w:numId w:val="1031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Manage teams</w:t>
      </w:r>
      <w:r>
        <w:t xml:space="preserve"> </w:t>
      </w:r>
      <w:r>
        <w:t xml:space="preserve">(sidebar) — should be admin-only. If you don’t see it, you’re not an admin.</w:t>
      </w:r>
    </w:p>
    <w:p>
      <w:pPr>
        <w:numPr>
          <w:ilvl w:val="0"/>
          <w:numId w:val="1031"/>
        </w:numPr>
        <w:pStyle w:val="Compact"/>
      </w:pPr>
      <w:r>
        <w:t xml:space="preserve">Note the</w:t>
      </w:r>
      <w:r>
        <w:t xml:space="preserve"> </w:t>
      </w:r>
      <w:r>
        <w:rPr>
          <w:b/>
        </w:rPr>
        <w:t xml:space="preserve">Workspace admins</w:t>
      </w:r>
      <w:r>
        <w:t xml:space="preserve"> </w:t>
      </w:r>
      <w:r>
        <w:t xml:space="preserve">section listing users</w:t>
      </w:r>
    </w:p>
    <w:p>
      <w:pPr>
        <w:numPr>
          <w:ilvl w:val="0"/>
          <w:numId w:val="1031"/>
        </w:numPr>
        <w:pStyle w:val="Compact"/>
      </w:pPr>
      <w:r>
        <w:t xml:space="preserve">Sign out</w:t>
      </w:r>
    </w:p>
    <w:p>
      <w:pPr>
        <w:numPr>
          <w:ilvl w:val="0"/>
          <w:numId w:val="1031"/>
        </w:numPr>
        <w:pStyle w:val="Compact"/>
      </w:pPr>
      <w:r>
        <w:t xml:space="preserve">Sign in as a non-admin user (paul.landi@fisglobal.com or marija.grujic@fisglobal.com)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Manage teams entry is hidden from the sidebar. Deal picker only shows deals the user is assigned to (or none if not assigned).</w:t>
      </w:r>
    </w:p>
    <w:p>
      <w:pPr>
        <w:numPr>
          <w:ilvl w:val="0"/>
          <w:numId w:val="1031"/>
        </w:numPr>
        <w:pStyle w:val="Compact"/>
      </w:pPr>
      <w:r>
        <w:t xml:space="preserve">Sign back in as admin, assign the non-admin to Barrenjoey via Access &amp; assignments panel</w:t>
      </w:r>
    </w:p>
    <w:p>
      <w:pPr>
        <w:numPr>
          <w:ilvl w:val="0"/>
          <w:numId w:val="1031"/>
        </w:numPr>
        <w:pStyle w:val="Compact"/>
      </w:pPr>
      <w:r>
        <w:t xml:space="preserve">Sign back in as the non-admin — Barrenjoey should now appear</w:t>
      </w:r>
    </w:p>
    <w:p>
      <w:pPr>
        <w:pStyle w:val="Heading3"/>
      </w:pPr>
      <w:bookmarkStart w:id="74" w:name="Xb306cfca58abf08e2b4f38c9b191158b1336555"/>
      <w:r>
        <w:t xml:space="preserve">Scenario 5 — Import BBSY fixings and verify Cashflow (5 min)</w:t>
      </w:r>
      <w:bookmarkEnd w:id="74"/>
    </w:p>
    <w:p>
      <w:pPr>
        <w:numPr>
          <w:ilvl w:val="0"/>
          <w:numId w:val="1032"/>
        </w:numPr>
        <w:pStyle w:val="Compact"/>
      </w:pPr>
      <w:r>
        <w:t xml:space="preserve">Load FirstAg</w:t>
      </w:r>
    </w:p>
    <w:p>
      <w:pPr>
        <w:numPr>
          <w:ilvl w:val="0"/>
          <w:numId w:val="103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Rate curves</w:t>
      </w:r>
      <w:r>
        <w:t xml:space="preserve"> </w:t>
      </w:r>
      <w:r>
        <w:t xml:space="preserve">(sidebar or Cashflow tab shortcut)</w:t>
      </w:r>
    </w:p>
    <w:p>
      <w:pPr>
        <w:numPr>
          <w:ilvl w:val="0"/>
          <w:numId w:val="1032"/>
        </w:numPr>
        <w:pStyle w:val="Compact"/>
      </w:pPr>
      <w:r>
        <w:t xml:space="preserve">Index dropdown: BBSY (auto-selected)</w:t>
      </w:r>
    </w:p>
    <w:p>
      <w:pPr>
        <w:numPr>
          <w:ilvl w:val="0"/>
          <w:numId w:val="103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Seed sample 90d</w:t>
      </w:r>
      <w:r>
        <w:t xml:space="preserve"> </w:t>
      </w:r>
      <w:r>
        <w:t xml:space="preserve">→ toast confirms ~62 fixings inserted</w:t>
      </w:r>
    </w:p>
    <w:p>
      <w:pPr>
        <w:numPr>
          <w:ilvl w:val="0"/>
          <w:numId w:val="1032"/>
        </w:numPr>
        <w:pStyle w:val="Compact"/>
      </w:pPr>
      <w:r>
        <w:t xml:space="preserve">Close modal → go to</w:t>
      </w:r>
      <w:r>
        <w:t xml:space="preserve"> </w:t>
      </w:r>
      <w:r>
        <w:rPr>
          <w:b/>
        </w:rPr>
        <w:t xml:space="preserve">Cashflow</w:t>
      </w:r>
      <w:r>
        <w:t xml:space="preserve"> </w:t>
      </w:r>
      <w:r>
        <w:t xml:space="preserve">tab</w:t>
      </w:r>
    </w:p>
    <w:p>
      <w:pPr>
        <w:numPr>
          <w:ilvl w:val="0"/>
          <w:numId w:val="1032"/>
        </w:numPr>
        <w:pStyle w:val="Compact"/>
      </w:pPr>
      <w:r>
        <w:t xml:space="preserve">Period picker should be on Weekly. Rows now reflect daily-compounded BBSY (slight week-to-week variation instead of flat 4.35%)</w:t>
      </w:r>
    </w:p>
    <w:p>
      <w:pPr>
        <w:numPr>
          <w:ilvl w:val="0"/>
          <w:numId w:val="1032"/>
        </w:numPr>
        <w:pStyle w:val="Compact"/>
      </w:pPr>
      <w:r>
        <w:t xml:space="preserve">Try importing manual CSV: paste</w:t>
      </w:r>
      <w:r>
        <w:t xml:space="preserve"> </w:t>
      </w:r>
      <w:r>
        <w:rPr>
          <w:rStyle w:val="VerbatimChar"/>
        </w:rPr>
        <w:t xml:space="preserve">2026-04-01,4.35\n2026-04-08,4.42\n2026-04-15,4.38</w:t>
      </w:r>
      <w:r>
        <w:t xml:space="preserve"> </w:t>
      </w:r>
      <w:r>
        <w:t xml:space="preserve">→ Apply</w:t>
      </w:r>
    </w:p>
    <w:p>
      <w:pPr>
        <w:numPr>
          <w:ilvl w:val="0"/>
          <w:numId w:val="1032"/>
        </w:numPr>
        <w:pStyle w:val="Compact"/>
      </w:pPr>
      <w:r>
        <w:t xml:space="preserve">Reopen Rate curves — see the 3 new BBSY entries in the list</w:t>
      </w:r>
    </w:p>
    <w:p>
      <w:pPr>
        <w:pStyle w:val="Heading3"/>
      </w:pPr>
      <w:bookmarkStart w:id="75" w:name="scenario-6-reporting-cadence-sweep-5-min"/>
      <w:r>
        <w:t xml:space="preserve">Scenario 6 — Reporting cadence sweep (5 min)</w:t>
      </w:r>
      <w:bookmarkEnd w:id="75"/>
    </w:p>
    <w:p>
      <w:pPr>
        <w:numPr>
          <w:ilvl w:val="0"/>
          <w:numId w:val="1033"/>
        </w:numPr>
        <w:pStyle w:val="Compact"/>
      </w:pPr>
      <w:r>
        <w:t xml:space="preserve">Load Barrenjoey RE Mezz</w:t>
      </w:r>
    </w:p>
    <w:p>
      <w:pPr>
        <w:numPr>
          <w:ilvl w:val="0"/>
          <w:numId w:val="1033"/>
        </w:numPr>
        <w:pStyle w:val="Compact"/>
      </w:pPr>
      <w:r>
        <w:t xml:space="preserve">Deal Setup →</w:t>
      </w:r>
      <w:r>
        <w:t xml:space="preserve"> </w:t>
      </w:r>
      <w:r>
        <w:rPr>
          <w:b/>
        </w:rPr>
        <w:t xml:space="preserve">Reporting requirements</w:t>
      </w:r>
      <w:r>
        <w:t xml:space="preserve"> </w:t>
      </w:r>
      <w:r>
        <w:t xml:space="preserve">panel — see 5 seeded requirements</w:t>
      </w:r>
    </w:p>
    <w:p>
      <w:pPr>
        <w:numPr>
          <w:ilvl w:val="0"/>
          <w:numId w:val="1033"/>
        </w:numPr>
        <w:pStyle w:val="Compact"/>
      </w:pPr>
      <w:r>
        <w:t xml:space="preserve">Note the</w:t>
      </w:r>
      <w:r>
        <w:t xml:space="preserve"> </w:t>
      </w:r>
      <w:r>
        <w:t xml:space="preserve">“</w:t>
      </w:r>
      <w:r>
        <w:t xml:space="preserve">Monthly sales report</w:t>
      </w:r>
      <w:r>
        <w:t xml:space="preserve">”</w:t>
      </w:r>
      <w:r>
        <w:t xml:space="preserve"> </w:t>
      </w:r>
      <w:r>
        <w:t xml:space="preserve">row status =</w:t>
      </w:r>
      <w:r>
        <w:t xml:space="preserve"> </w:t>
      </w:r>
      <w:r>
        <w:rPr>
          <w:b/>
        </w:rPr>
        <w:t xml:space="preserve">OVERDUE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Sweep now</w:t>
      </w:r>
    </w:p>
    <w:p>
      <w:pPr>
        <w:numPr>
          <w:ilvl w:val="0"/>
          <w:numId w:val="1033"/>
        </w:numPr>
        <w:pStyle w:val="Compact"/>
      </w:pPr>
      <w:r>
        <w:t xml:space="preserve">Toast:</w:t>
      </w:r>
      <w:r>
        <w:t xml:space="preserve"> </w:t>
      </w:r>
      <w:r>
        <w:t xml:space="preserve">“</w:t>
      </w:r>
      <w:r>
        <w:t xml:space="preserve">Reporting sweep · 1 notice emitted (2 due-soon / overdue checked)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Notices</w:t>
      </w:r>
      <w:r>
        <w:t xml:space="preserve"> </w:t>
      </w:r>
      <w:r>
        <w:t xml:space="preserve">modal — filter or search for</w:t>
      </w:r>
      <w:r>
        <w:t xml:space="preserve"> </w:t>
      </w:r>
      <w:r>
        <w:t xml:space="preserve">“</w:t>
      </w:r>
      <w:r>
        <w:t xml:space="preserve">reporting</w:t>
      </w:r>
      <w:r>
        <w:t xml:space="preserve">”</w:t>
      </w:r>
      <w:r>
        <w:t xml:space="preserve"> </w:t>
      </w:r>
      <w:r>
        <w:t xml:space="preserve">→ the auto-emitted notice appears with the reference</w:t>
      </w:r>
      <w:r>
        <w:t xml:space="preserve"> </w:t>
      </w:r>
      <w:r>
        <w:rPr>
          <w:rStyle w:val="VerbatimChar"/>
        </w:rPr>
        <w:t xml:space="preserve">reporting:monthly_sales</w:t>
      </w:r>
    </w:p>
    <w:p>
      <w:pPr>
        <w:numPr>
          <w:ilvl w:val="0"/>
          <w:numId w:val="1033"/>
        </w:numPr>
        <w:pStyle w:val="Compact"/>
      </w:pPr>
      <w:r>
        <w:t xml:space="preserve">Back on the Reporting panel, click</w:t>
      </w:r>
      <w:r>
        <w:t xml:space="preserve"> </w:t>
      </w:r>
      <w:r>
        <w:rPr>
          <w:b/>
        </w:rPr>
        <w:t xml:space="preserve">Received</w:t>
      </w:r>
      <w:r>
        <w:t xml:space="preserve"> </w:t>
      </w:r>
      <w:r>
        <w:t xml:space="preserve">on the overdue row → advance next-due by 1 month. Status flips to Pending.</w:t>
      </w:r>
    </w:p>
    <w:p>
      <w:pPr>
        <w:pStyle w:val="Heading3"/>
      </w:pPr>
      <w:bookmarkStart w:id="76" w:name="scenario-7-dual-book-multi-gaap-4-min"/>
      <w:r>
        <w:t xml:space="preserve">Scenario 7 — Dual-book (multi-GAAP) (4 min)</w:t>
      </w:r>
      <w:bookmarkEnd w:id="76"/>
    </w:p>
    <w:p>
      <w:pPr>
        <w:numPr>
          <w:ilvl w:val="0"/>
          <w:numId w:val="1034"/>
        </w:numPr>
        <w:pStyle w:val="Compact"/>
      </w:pPr>
      <w:r>
        <w:t xml:space="preserve">Load Barrenjoey RE Mezz</w:t>
      </w:r>
    </w:p>
    <w:p>
      <w:pPr>
        <w:numPr>
          <w:ilvl w:val="0"/>
          <w:numId w:val="1034"/>
        </w:numPr>
        <w:pStyle w:val="Compact"/>
      </w:pPr>
      <w:r>
        <w:t xml:space="preserve">Deal Setup →</w:t>
      </w:r>
      <w:r>
        <w:t xml:space="preserve"> </w:t>
      </w:r>
      <w:r>
        <w:rPr>
          <w:b/>
        </w:rPr>
        <w:t xml:space="preserve">Legal &amp; compliance</w:t>
      </w:r>
      <w:r>
        <w:t xml:space="preserve"> </w:t>
      </w:r>
      <w:r>
        <w:t xml:space="preserve">→ set</w:t>
      </w:r>
      <w:r>
        <w:t xml:space="preserve"> </w:t>
      </w:r>
      <w:r>
        <w:rPr>
          <w:b/>
        </w:rPr>
        <w:t xml:space="preserve">Secondary reporting framework</w:t>
      </w:r>
      <w:r>
        <w:t xml:space="preserve"> </w:t>
      </w:r>
      <w:r>
        <w:t xml:space="preserve">= US GAAP</w:t>
      </w:r>
    </w:p>
    <w:p>
      <w:pPr>
        <w:numPr>
          <w:ilvl w:val="0"/>
          <w:numId w:val="1034"/>
        </w:numPr>
        <w:pStyle w:val="Compact"/>
      </w:pPr>
      <w:r>
        <w:t xml:space="preserve">Purpose:</w:t>
      </w:r>
      <w:r>
        <w:t xml:space="preserve"> </w:t>
      </w:r>
      <w:r>
        <w:t xml:space="preserve">“</w:t>
      </w:r>
      <w:r>
        <w:t xml:space="preserve">US LP reporting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Save deal (Ctrl+S or click Save)</w:t>
      </w:r>
    </w:p>
    <w:p>
      <w:pPr>
        <w:numPr>
          <w:ilvl w:val="0"/>
          <w:numId w:val="1034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Accounting</w:t>
      </w:r>
      <w:r>
        <w:t xml:space="preserve"> </w:t>
      </w:r>
      <w:r>
        <w:t xml:space="preserve">tab → click</w:t>
      </w:r>
      <w:r>
        <w:t xml:space="preserve"> </w:t>
      </w:r>
      <w:r>
        <w:rPr>
          <w:b/>
        </w:rPr>
        <w:t xml:space="preserve">Run accounting</w:t>
      </w:r>
    </w:p>
    <w:p>
      <w:pPr>
        <w:numPr>
          <w:ilvl w:val="0"/>
          <w:numId w:val="1034"/>
        </w:numPr>
        <w:pStyle w:val="Compact"/>
      </w:pPr>
      <w:r>
        <w:t xml:space="preserve">Expected: under the EIR panel, a</w:t>
      </w:r>
      <w:r>
        <w:t xml:space="preserve"> </w:t>
      </w:r>
      <w:r>
        <w:rPr>
          <w:b/>
        </w:rPr>
        <w:t xml:space="preserve">Dual-book comparison</w:t>
      </w:r>
      <w:r>
        <w:t xml:space="preserve"> </w:t>
      </w:r>
      <w:r>
        <w:t xml:space="preserve">card appears with side-by-side IFRS vs US GAAP metrics (EIR, total interest, total fees, deltas)</w:t>
      </w:r>
    </w:p>
    <w:p>
      <w:pPr>
        <w:pStyle w:val="Heading3"/>
      </w:pPr>
      <w:bookmarkStart w:id="77" w:name="X4ee1d1985cc9472a9e1675c9643248807bbc2bc"/>
      <w:r>
        <w:t xml:space="preserve">Scenario 8 — Waterfall simulator on RE Mezz (5 min)</w:t>
      </w:r>
      <w:bookmarkEnd w:id="77"/>
    </w:p>
    <w:p>
      <w:pPr>
        <w:numPr>
          <w:ilvl w:val="0"/>
          <w:numId w:val="1035"/>
        </w:numPr>
        <w:pStyle w:val="Compact"/>
      </w:pPr>
      <w:r>
        <w:t xml:space="preserve">Load Barrenjoey RE Mezz</w:t>
      </w:r>
    </w:p>
    <w:p>
      <w:pPr>
        <w:numPr>
          <w:ilvl w:val="0"/>
          <w:numId w:val="1035"/>
        </w:numPr>
        <w:pStyle w:val="Compact"/>
      </w:pPr>
      <w:r>
        <w:t xml:space="preserve">Sidebar →</w:t>
      </w:r>
      <w:r>
        <w:t xml:space="preserve"> </w:t>
      </w:r>
      <w:r>
        <w:rPr>
          <w:b/>
        </w:rPr>
        <w:t xml:space="preserve">Waterfall</w:t>
      </w:r>
    </w:p>
    <w:p>
      <w:pPr>
        <w:numPr>
          <w:ilvl w:val="0"/>
          <w:numId w:val="1035"/>
        </w:numPr>
        <w:pStyle w:val="Compact"/>
      </w:pPr>
      <w:r>
        <w:t xml:space="preserve">Enter demo inputs:</w:t>
      </w:r>
    </w:p>
    <w:p>
      <w:pPr>
        <w:numPr>
          <w:ilvl w:val="1"/>
          <w:numId w:val="1036"/>
        </w:numPr>
        <w:pStyle w:val="Compact"/>
      </w:pPr>
      <w:r>
        <w:t xml:space="preserve">Sale proceeds: 245,000,000</w:t>
      </w:r>
    </w:p>
    <w:p>
      <w:pPr>
        <w:numPr>
          <w:ilvl w:val="1"/>
          <w:numId w:val="1036"/>
        </w:numPr>
        <w:pStyle w:val="Compact"/>
      </w:pPr>
      <w:r>
        <w:t xml:space="preserve">Costs / GST (tier 1): 8,500,000</w:t>
      </w:r>
    </w:p>
    <w:p>
      <w:pPr>
        <w:numPr>
          <w:ilvl w:val="1"/>
          <w:numId w:val="1036"/>
        </w:numPr>
        <w:pStyle w:val="Compact"/>
      </w:pPr>
      <w:r>
        <w:t xml:space="preserve">Senior debt outstanding: 130,000,000</w:t>
      </w:r>
    </w:p>
    <w:p>
      <w:pPr>
        <w:numPr>
          <w:ilvl w:val="1"/>
          <w:numId w:val="1036"/>
        </w:numPr>
        <w:pStyle w:val="Compact"/>
      </w:pPr>
      <w:r>
        <w:t xml:space="preserve">Cost overrun outstanding: 0</w:t>
      </w:r>
    </w:p>
    <w:p>
      <w:pPr>
        <w:numPr>
          <w:ilvl w:val="1"/>
          <w:numId w:val="1036"/>
        </w:numPr>
        <w:pStyle w:val="Compact"/>
      </w:pPr>
      <w:r>
        <w:t xml:space="preserve">Borrower equity: 12,682,026</w:t>
      </w:r>
    </w:p>
    <w:p>
      <w:pPr>
        <w:numPr>
          <w:ilvl w:val="1"/>
          <w:numId w:val="1036"/>
        </w:numPr>
        <w:pStyle w:val="Compact"/>
      </w:pPr>
      <w:r>
        <w:t xml:space="preserve">IRR-hurdle amount (Tier 1 / 20% IRR): 15,000,000</w:t>
      </w:r>
    </w:p>
    <w:p>
      <w:pPr>
        <w:numPr>
          <w:ilvl w:val="1"/>
          <w:numId w:val="1036"/>
        </w:numPr>
        <w:pStyle w:val="Compact"/>
      </w:pPr>
      <w:r>
        <w:t xml:space="preserve">IRR-hurdle amount (Tier 2 / 30% IRR): 20,000,000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Investor A / B principal + coupon inputs pre-populate</w:t>
      </w:r>
      <w:r>
        <w:t xml:space="preserve"> </w:t>
      </w:r>
      <w:r>
        <w:t xml:space="preserve">net of scheduled cash-servicing</w:t>
      </w:r>
    </w:p>
    <w:p>
      <w:pPr>
        <w:numPr>
          <w:ilvl w:val="0"/>
          <w:numId w:val="103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Run waterfall</w:t>
      </w:r>
    </w:p>
    <w:p>
      <w:pPr>
        <w:numPr>
          <w:ilvl w:val="0"/>
          <w:numId w:val="1035"/>
        </w:numPr>
        <w:pStyle w:val="Compact"/>
      </w:pPr>
      <w:r>
        <w:t xml:space="preserve">Expected: tier-by-tier cascade with per-recipient totals. Investor A receives principal + coupon; Investor B receives principal + coupon + tiered exit fees.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known-limitations-things-not-yet-built"/>
      <w:r>
        <w:t xml:space="preserve">12. Known limitations (things NOT yet built)</w:t>
      </w:r>
      <w:bookmarkEnd w:id="78"/>
    </w:p>
    <w:p>
      <w:pPr>
        <w:pStyle w:val="FirstParagraph"/>
      </w:pPr>
      <w:r>
        <w:t xml:space="preserve">Being upfront with testers about what’s still coming:</w:t>
      </w:r>
    </w:p>
    <w:p>
      <w:pPr>
        <w:pStyle w:val="Heading3"/>
      </w:pPr>
      <w:bookmarkStart w:id="79" w:name="coming-soon-phase-23-items"/>
      <w:r>
        <w:t xml:space="preserve">Coming soon (Phase 2/3 items)</w:t>
      </w:r>
      <w:bookmarkEnd w:id="79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Site inspection workflow</w:t>
      </w:r>
      <w:r>
        <w:t xml:space="preserve"> </w:t>
      </w:r>
      <w:r>
        <w:t xml:space="preserve">for FirstAg — Facility Manager site visits + stock-on-hand reconciliation → auto-notice on discrepancy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Extension request workflow</w:t>
      </w:r>
      <w:r>
        <w:t xml:space="preserve"> </w:t>
      </w:r>
      <w:r>
        <w:t xml:space="preserve">— borrower requests 364-day extension, lender 30-day decide window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Real regulator-format XML/XBRL export</w:t>
      </w:r>
      <w:r>
        <w:t xml:space="preserve"> </w:t>
      </w:r>
      <w:r>
        <w:t xml:space="preserve">— Form PF / FR Y-14Q / AIFMD (schemas ready, exporters not)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Automated fixings pull</w:t>
      </w:r>
      <w:r>
        <w:t xml:space="preserve"> </w:t>
      </w:r>
      <w:r>
        <w:t xml:space="preserve">from Bloomberg / Refinitiv (currently manual CSV or seed-sample)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Bank-statement ingestion</w:t>
      </w:r>
      <w:r>
        <w:t xml:space="preserve"> </w:t>
      </w:r>
      <w:r>
        <w:t xml:space="preserve">(BAI2 / MT940 / CAMT.053) for cash reconciliation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E-signature integration</w:t>
      </w:r>
      <w:r>
        <w:t xml:space="preserve"> </w:t>
      </w:r>
      <w:r>
        <w:t xml:space="preserve">(DocuSign) for outbound notices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Full audit log UI</w:t>
      </w:r>
      <w:r>
        <w:t xml:space="preserve"> </w:t>
      </w:r>
      <w:r>
        <w:t xml:space="preserve">— every accounting-run approval, admin promotion, deal edit — currently emits to console.log only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Multi-book (dual-GAAP)</w:t>
      </w:r>
      <w:r>
        <w:t xml:space="preserve"> </w:t>
      </w:r>
      <w:r>
        <w:t xml:space="preserve">— schema + engine + comparison UI SHIPPED. Full separate JE ledger under secondary framework: partial (schedule + summary; separate JE persistence: pending)</w:t>
      </w:r>
    </w:p>
    <w:p>
      <w:pPr>
        <w:pStyle w:val="Heading3"/>
      </w:pPr>
      <w:bookmarkStart w:id="80" w:name="known-quirks"/>
      <w:r>
        <w:t xml:space="preserve">Known quirks</w:t>
      </w:r>
      <w:bookmarkEnd w:id="80"/>
    </w:p>
    <w:p>
      <w:pPr>
        <w:numPr>
          <w:ilvl w:val="0"/>
          <w:numId w:val="1038"/>
        </w:numPr>
        <w:pStyle w:val="Compact"/>
      </w:pPr>
      <w:r>
        <w:t xml:space="preserve">Icon shim: a small number of Material icons don’t have Tabler equivalents yet and fall back to Material fonts. Cosmetic only.</w:t>
      </w:r>
    </w:p>
    <w:p>
      <w:pPr>
        <w:numPr>
          <w:ilvl w:val="0"/>
          <w:numId w:val="1038"/>
        </w:numPr>
        <w:pStyle w:val="Compact"/>
      </w:pPr>
      <w:r>
        <w:t xml:space="preserve">Cold-cache</w:t>
      </w:r>
      <w:r>
        <w:t xml:space="preserve"> </w:t>
      </w:r>
      <w:r>
        <w:rPr>
          <w:rStyle w:val="VerbatimChar"/>
        </w:rPr>
        <w:t xml:space="preserve">fetchNotices</w:t>
      </w:r>
      <w:r>
        <w:t xml:space="preserve"> </w:t>
      </w:r>
      <w:r>
        <w:t xml:space="preserve">on Notices modal can take up to 20s for portfolios with 200+ notices. Auto-retries once; second failure surfaces a toast.</w:t>
      </w:r>
    </w:p>
    <w:p>
      <w:pPr>
        <w:numPr>
          <w:ilvl w:val="0"/>
          <w:numId w:val="1038"/>
        </w:numPr>
        <w:pStyle w:val="Compact"/>
      </w:pPr>
      <w:r>
        <w:t xml:space="preserve">Chrome connection pool: if you leave the app open in a background tab for hours, some socket-level timeouts can accumulate.</w:t>
      </w:r>
      <w:r>
        <w:t xml:space="preserve"> </w:t>
      </w:r>
      <w:r>
        <w:rPr>
          <w:b/>
        </w:rPr>
        <w:t xml:space="preserve">Health-check runs every 30s and auto-reconnects.</w:t>
      </w:r>
      <w:r>
        <w:t xml:space="preserve"> </w:t>
      </w:r>
      <w:r>
        <w:t xml:space="preserve">If the status chip goes red, click it to force reconnect.</w:t>
      </w:r>
    </w:p>
    <w:p>
      <w:pPr>
        <w:pStyle w:val="Heading2"/>
      </w:pPr>
      <w:bookmarkStart w:id="81" w:name="reporting-bugs"/>
      <w:r>
        <w:t xml:space="preserve">13. Reporting bugs</w:t>
      </w:r>
      <w:bookmarkEnd w:id="81"/>
    </w:p>
    <w:p>
      <w:pPr>
        <w:pStyle w:val="FirstParagraph"/>
      </w:pPr>
      <w:r>
        <w:t xml:space="preserve">Please include: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Screenshot</w:t>
      </w:r>
      <w:r>
        <w:t xml:space="preserve"> </w:t>
      </w:r>
      <w:r>
        <w:t xml:space="preserve">of the issue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Console log</w:t>
      </w:r>
      <w:r>
        <w:t xml:space="preserve"> </w:t>
      </w:r>
      <w:r>
        <w:t xml:space="preserve">(F12 → Console) — copy from the first error backward ~30 lines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Deal + tab you were on</w:t>
      </w:r>
      <w:r>
        <w:t xml:space="preserve"> </w:t>
      </w:r>
      <w:r>
        <w:t xml:space="preserve">when the error occurred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What you clicked / typed</w:t>
      </w:r>
      <w:r>
        <w:t xml:space="preserve"> </w:t>
      </w:r>
      <w:r>
        <w:t xml:space="preserve">immediately before it broke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What you expected</w:t>
      </w:r>
      <w:r>
        <w:t xml:space="preserve"> </w:t>
      </w:r>
      <w:r>
        <w:t xml:space="preserve">to happen</w:t>
      </w:r>
    </w:p>
    <w:p>
      <w:pPr>
        <w:pStyle w:val="FirstParagraph"/>
      </w:pPr>
      <w:r>
        <w:t xml:space="preserve">Send to your product lead (Ferhat Ansari — ansari1@gmail.com) with subject</w:t>
      </w:r>
      <w:r>
        <w:t xml:space="preserve"> </w:t>
      </w:r>
      <w:r>
        <w:t xml:space="preserve">“</w:t>
      </w:r>
      <w:r>
        <w:t xml:space="preserve">PCS V4 ·</w:t>
      </w:r>
      <w:r>
        <w:t xml:space="preserve"> </w:t>
      </w:r>
      <w:r>
        <w:t xml:space="preserve">”</w:t>
      </w:r>
      <w:r>
        <w:t xml:space="preserve">.</w:t>
      </w:r>
    </w:p>
    <w:p>
      <w:pPr>
        <w:pStyle w:val="Heading2"/>
      </w:pPr>
      <w:bookmarkStart w:id="82" w:name="Xd0ccb7d05ded8b681f747b6dcec7f1bfb7da632"/>
      <w:r>
        <w:t xml:space="preserve">14. DevTools cheat sheet — power-user one-liners</w:t>
      </w:r>
      <w:bookmarkEnd w:id="82"/>
    </w:p>
    <w:p>
      <w:pPr>
        <w:pStyle w:val="FirstParagraph"/>
      </w:pPr>
      <w:r>
        <w:t xml:space="preserve">Open DevTools (F12) → Console tab → paste these:</w:t>
      </w:r>
    </w:p>
    <w:p>
      <w:pPr>
        <w:pStyle w:val="SourceCode"/>
      </w:pPr>
      <w:r>
        <w:rPr>
          <w:rStyle w:val="CommentTok"/>
        </w:rPr>
        <w:t xml:space="preserve">// Re-seed Barrenjoey RE Mezz from scratch (creates a NEW deal alongside existing)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createBarrenjoeyREMezzInDB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Re-seed FirstAg Livestock from scratch (creates a NEW deal)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createFirstAgLivestockInDB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Force reconnect to Supabase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Force refresh the Dashboard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renderDashboard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Show the interest reconciliation math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reconcileInterest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principal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tenorDays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})</w:t>
      </w:r>
      <w:r>
        <w:br/>
      </w:r>
      <w:r>
        <w:rPr>
          <w:rStyle w:val="CommentTok"/>
        </w:rPr>
        <w:t xml:space="preserve">// → dailyAccrual: 9328.77, periodInterest: 65301.37</w:t>
      </w:r>
      <w:r>
        <w:br/>
      </w:r>
      <w:r>
        <w:br/>
      </w:r>
      <w:r>
        <w:rPr>
          <w:rStyle w:val="CommentTok"/>
        </w:rPr>
        <w:t xml:space="preserve">// Show projected cash-servicing schedule for Investor A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projectCouponServicingSchedule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maturity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Run the waterfall with custom inputs</w:t>
      </w:r>
      <w:r>
        <w:br/>
      </w:r>
      <w:r>
        <w:rPr>
          <w:rStyle w:val="NormalTok"/>
        </w:rPr>
        <w:t xml:space="preserve">PCS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computeWaterfall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waterfall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sale */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seniorDebtOutstanding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costOverrunOutstanding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borrowerEquity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_682_026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 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principalBalance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capitalisedCouponBalance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_000_000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'Investor 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principalBalance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_060_000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capitalisedCouponBalance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NormalTok"/>
        </w:rPr>
        <w:t xml:space="preserve">_000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irrHurdleAmounts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_000_000] }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Sweep reporting notices right now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sweepReportingNotices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// → { ok: true, inserted: 2, checked: 4 }</w:t>
      </w:r>
      <w:r>
        <w:br/>
      </w:r>
      <w:r>
        <w:br/>
      </w:r>
      <w:r>
        <w:rPr>
          <w:rStyle w:val="CommentTok"/>
        </w:rPr>
        <w:t xml:space="preserve">// Get list of everyone in the workspace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listAllUsers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Promote a user to admin (server enforces you're admin already)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setUserAdmin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'&lt;user-uuid&gt;'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Heading2"/>
      </w:pPr>
      <w:bookmarkStart w:id="83" w:name="glossary"/>
      <w:r>
        <w:t xml:space="preserve">15. Glossary</w:t>
      </w:r>
      <w:bookmarkEnd w:id="8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PIK</w:t>
            </w:r>
          </w:p>
        </w:tc>
        <w:tc>
          <w:p>
            <w:pPr>
              <w:pStyle w:val="Compact"/>
              <w:jc w:val="left"/>
            </w:pPr>
            <w:r>
              <w:t xml:space="preserve">Payment-in-Kind — interest capitalised into principal rather than paid in cash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RFR</w:t>
            </w:r>
          </w:p>
        </w:tc>
        <w:tc>
          <w:p>
            <w:pPr>
              <w:pStyle w:val="Compact"/>
              <w:jc w:val="left"/>
            </w:pPr>
            <w:r>
              <w:t xml:space="preserve">Risk-Free Rate — SOFR, SONIA, €STR, BBSY, etc. Replaces IBOR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ARRC</w:t>
            </w:r>
          </w:p>
        </w:tc>
        <w:tc>
          <w:p>
            <w:pPr>
              <w:pStyle w:val="Compact"/>
              <w:jc w:val="left"/>
            </w:pPr>
            <w:r>
              <w:t xml:space="preserve">Alternative Reference Rates Committee — US body defining SOFR conventions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EIR</w:t>
            </w:r>
          </w:p>
        </w:tc>
        <w:tc>
          <w:p>
            <w:pPr>
              <w:pStyle w:val="Compact"/>
              <w:jc w:val="left"/>
            </w:pPr>
            <w:r>
              <w:t xml:space="preserve">Effective Interest Rate — per IFRS 9, the rate that discounts cashflows to net carrying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SPPI</w:t>
            </w:r>
          </w:p>
        </w:tc>
        <w:tc>
          <w:p>
            <w:pPr>
              <w:pStyle w:val="Compact"/>
              <w:jc w:val="left"/>
            </w:pPr>
            <w:r>
              <w:t xml:space="preserve">Solely Payments of Principal and Interest — IFRS 9 §4.1.2 classification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ECL</w:t>
            </w:r>
          </w:p>
        </w:tc>
        <w:tc>
          <w:p>
            <w:pPr>
              <w:pStyle w:val="Compact"/>
              <w:jc w:val="left"/>
            </w:pPr>
            <w:r>
              <w:t xml:space="preserve">Expected Credit Loss — IFRS 9 impairment allowance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SICR</w:t>
            </w:r>
          </w:p>
        </w:tc>
        <w:tc>
          <w:p>
            <w:pPr>
              <w:pStyle w:val="Compact"/>
              <w:jc w:val="left"/>
            </w:pPr>
            <w:r>
              <w:t xml:space="preserve">Significant Increase in Credit Risk — IFRS 9 §5.5.3 trigger for Stage 1 →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LVR</w:t>
            </w:r>
          </w:p>
        </w:tc>
        <w:tc>
          <w:p>
            <w:pPr>
              <w:pStyle w:val="Compact"/>
              <w:jc w:val="left"/>
            </w:pPr>
            <w:r>
              <w:t xml:space="preserve">Loan-to-Value Ratio (construction context: senior + facility limit / as-if-complete value)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LTC</w:t>
            </w:r>
          </w:p>
        </w:tc>
        <w:tc>
          <w:p>
            <w:pPr>
              <w:pStyle w:val="Compact"/>
              <w:jc w:val="left"/>
            </w:pPr>
            <w:r>
              <w:t xml:space="preserve">Loan-to-Cost — senior + facility limit / total development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RLVR</w:t>
            </w:r>
          </w:p>
        </w:tc>
        <w:tc>
          <w:p>
            <w:pPr>
              <w:pStyle w:val="Compact"/>
              <w:jc w:val="left"/>
            </w:pPr>
            <w:r>
              <w:t xml:space="preserve">Residual LVR — (aggregate debt − QPS) / (NRV − QPS)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QPS</w:t>
            </w:r>
          </w:p>
        </w:tc>
        <w:tc>
          <w:p>
            <w:pPr>
              <w:pStyle w:val="Compact"/>
              <w:jc w:val="left"/>
            </w:pPr>
            <w:r>
              <w:t xml:space="preserve">Qualifying Presales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NRV</w:t>
            </w:r>
          </w:p>
        </w:tc>
        <w:tc>
          <w:p>
            <w:pPr>
              <w:pStyle w:val="Compact"/>
              <w:jc w:val="left"/>
            </w:pPr>
            <w:r>
              <w:t xml:space="preserve">Net Realisation Value (of project sales, net of GST + selling costs)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NLIS</w:t>
            </w:r>
          </w:p>
        </w:tc>
        <w:tc>
          <w:p>
            <w:pPr>
              <w:pStyle w:val="Compact"/>
              <w:jc w:val="left"/>
            </w:pPr>
            <w:r>
              <w:t xml:space="preserve">National Livestock Identification System (Australia)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BBSY</w:t>
            </w:r>
          </w:p>
        </w:tc>
        <w:tc>
          <w:p>
            <w:pPr>
              <w:pStyle w:val="Compact"/>
              <w:jc w:val="left"/>
            </w:pPr>
            <w:r>
              <w:t xml:space="preserve">Bank Bill Swap Rate Bid — AU benchmark rate for AUD floating loans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Waterfall</w:t>
            </w:r>
          </w:p>
        </w:tc>
        <w:tc>
          <w:p>
            <w:pPr>
              <w:pStyle w:val="Compact"/>
              <w:jc w:val="left"/>
            </w:pPr>
            <w:r>
              <w:t xml:space="preserve">Cash-distribution cascade at exit — sales proceeds flow through ordered tiers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IRR hurdle</w:t>
            </w:r>
          </w:p>
        </w:tc>
        <w:tc>
          <w:p>
            <w:pPr>
              <w:pStyle w:val="Compact"/>
              <w:jc w:val="left"/>
            </w:pPr>
            <w:r>
              <w:t xml:space="preserve">Threshold IRR that triggers a step in profit-share allocation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s128F</w:t>
            </w:r>
          </w:p>
        </w:tc>
        <w:tc>
          <w:p>
            <w:pPr>
              <w:pStyle w:val="Compact"/>
              <w:jc w:val="left"/>
            </w:pPr>
            <w:r>
              <w:t xml:space="preserve">Section 128F of Income Tax Assessment Act 1936 (Cth) — AU public-offer exemption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</w:t>
            </w:r>
          </w:p>
        </w:tc>
        <w:tc>
          <w:p>
            <w:pPr>
              <w:pStyle w:val="Compact"/>
              <w:jc w:val="left"/>
            </w:pPr>
            <w:r>
              <w:t xml:space="preserve">Row-Level Security — Postgres feature enforcing per-user data visibility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2026-07-29T11:57:37Z</dcterms:created>
  <dcterms:modified xsi:type="dcterms:W3CDTF">2026-07-29T11:57:37Z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