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pPr>
      <w:r>
        <w:rPr>
          <w:b w:val="0"/>
          <w:i w:val="0"/>
        </w:rPr>
        <w:t>PCS Loan Module</w:t>
      </w:r>
    </w:p>
    <w:p>
      <w:pPr>
        <w:spacing w:after="200"/>
      </w:pPr>
      <w:r>
        <w:rPr>
          <w:b/>
          <w:color w:val="555F6D"/>
          <w:sz w:val="30"/>
        </w:rPr>
        <w:t>External deal import — Excel workbook specification</w:t>
      </w:r>
    </w:p>
    <w:p>
      <w:pPr>
        <w:spacing w:after="280"/>
      </w:pPr>
      <w:r>
        <w:rPr>
          <w:b w:val="0"/>
          <w:i w:val="0"/>
        </w:rPr>
        <w:t xml:space="preserve">Version 1.0  ·  14 September 2026  ·  </w:t>
      </w:r>
      <w:r>
        <w:rPr>
          <w:b/>
          <w:i w:val="0"/>
        </w:rPr>
        <w:t>Ferhat Ansari, FIS</w:t>
      </w:r>
      <w:r>
        <w:rPr>
          <w:b w:val="0"/>
          <w:i w:val="0"/>
        </w:rPr>
        <w:t xml:space="preserve">  ·  Derived from </w:t>
      </w:r>
      <w:r>
        <w:rPr>
          <w:rFonts w:ascii="Consolas" w:hAnsi="Consolas"/>
          <w:b w:val="0"/>
          <w:i w:val="0"/>
          <w:sz w:val="19"/>
        </w:rPr>
        <w:t>Loan info portF.xlsx</w:t>
      </w:r>
    </w:p>
    <w:p>
      <w:pPr>
        <w:pStyle w:val="Heading2"/>
      </w:pPr>
      <w:r>
        <w:rPr>
          <w:b w:val="0"/>
          <w:i w:val="0"/>
        </w:rPr>
        <w:t>Purpose</w:t>
      </w:r>
    </w:p>
    <w:p>
      <w:r>
        <w:rPr>
          <w:b w:val="0"/>
          <w:i w:val="0"/>
        </w:rPr>
        <w:t>An external deal is one whose setup, events and cashflows are calculated in another system — PortF — and sent to the PCS Loan Module. PCS holds that data read-only and performs the accounting on top of it: effective interest rate, impairment, journal generation, legal-entity split and posting to Investran.</w:t>
      </w:r>
    </w:p>
    <w:p>
      <w:r>
        <w:rPr>
          <w:b w:val="0"/>
          <w:i w:val="0"/>
        </w:rPr>
        <w:t>There are two ways to get that data in. The pull API is the production route. This document specifies the second route: dropping an Excel workbook into the module. Both produce the same internal object and land in the same tables, so a deal imported from a workbook behaves identically to one pulled from the API.</w:t>
      </w:r>
    </w:p>
    <w:p>
      <w:pPr>
        <w:spacing w:after="240"/>
      </w:pPr>
      <w:r>
        <w:rPr>
          <w:b w:val="0"/>
          <w:i w:val="0"/>
        </w:rPr>
        <w:t>This document states exactly what the workbook must contain and where. It is written to be handed to whoever prepares the file.</w:t>
      </w:r>
    </w:p>
    <w:tbl>
      <w:tblPr>
        <w:tblStyle w:val="TableGrid"/>
        <w:tblW w:type="auto" w:w="0"/>
        <w:tblLook w:firstColumn="1" w:firstRow="1" w:lastColumn="0" w:lastRow="0" w:noHBand="0" w:noVBand="1" w:val="04A0"/>
      </w:tblPr>
      <w:tblGrid>
        <w:gridCol w:w="9972"/>
      </w:tblGrid>
      <w:tr>
        <w:tc>
          <w:tcPr>
            <w:tcW w:type="dxa" w:w="9638"/>
            <w:shd w:val="clear" w:fill="FFF8E6"/>
          </w:tcPr>
          <w:p>
            <w:pPr>
              <w:spacing w:after="40"/>
            </w:pPr>
            <w:r/>
            <w:r>
              <w:rPr>
                <w:b/>
                <w:sz w:val="19"/>
              </w:rPr>
              <w:t>Read this first</w:t>
            </w:r>
          </w:p>
          <w:p>
            <w:pPr>
              <w:spacing w:after="40"/>
            </w:pPr>
            <w:r>
              <w:rPr>
                <w:sz w:val="19"/>
              </w:rPr>
              <w:t>The importer does not read fixed cell addresses. It searches for labels and reads the data relative to them. That means rows can move without breaking the import — but the labels themselves, and the position of values relative to each label, must not change. Every section below gives both: the cell addresses as they appear in the sample file, and the rule the importer actually applies.</w:t>
            </w:r>
          </w:p>
        </w:tc>
      </w:tr>
    </w:tbl>
    <w:p>
      <w:pPr>
        <w:spacing w:after="80"/>
      </w:pPr>
    </w:p>
    <w:p>
      <w:pPr>
        <w:pStyle w:val="Heading1"/>
      </w:pPr>
      <w:r>
        <w:rPr>
          <w:b w:val="0"/>
          <w:i w:val="0"/>
        </w:rPr>
        <w:t>1 · Workbook structure</w:t>
      </w:r>
    </w:p>
    <w:p>
      <w:pPr>
        <w:spacing w:after="120"/>
      </w:pPr>
      <w:r>
        <w:rPr>
          <w:b w:val="0"/>
          <w:i w:val="0"/>
        </w:rPr>
        <w:t>One workbook is one deal. It contains:</w:t>
      </w:r>
    </w:p>
    <w:p>
      <w:pPr>
        <w:pStyle w:val="ListBullet"/>
        <w:spacing w:after="60"/>
      </w:pPr>
      <w:r>
        <w:rPr>
          <w:b/>
          <w:i w:val="0"/>
        </w:rPr>
        <w:t>Exactly one facility sheet</w:t>
      </w:r>
      <w:r>
        <w:rPr>
          <w:b w:val="0"/>
          <w:i w:val="0"/>
        </w:rPr>
        <w:t xml:space="preserve"> whose name begins with </w:t>
      </w:r>
      <w:r>
        <w:rPr>
          <w:rFonts w:ascii="Consolas" w:hAnsi="Consolas"/>
          <w:b w:val="0"/>
          <w:i w:val="0"/>
          <w:sz w:val="19"/>
        </w:rPr>
        <w:t>Loan info</w:t>
      </w:r>
      <w:r>
        <w:rPr>
          <w:b w:val="0"/>
          <w:i w:val="0"/>
        </w:rPr>
        <w:t>. This carries the facility terms, the commitment schedule, and any facility-level fee such as a commitment fee.</w:t>
      </w:r>
    </w:p>
    <w:p>
      <w:pPr>
        <w:pStyle w:val="ListBullet"/>
        <w:spacing w:after="60"/>
      </w:pPr>
      <w:r>
        <w:rPr>
          <w:b/>
          <w:i w:val="0"/>
        </w:rPr>
        <w:t>One sheet per tranche</w:t>
      </w:r>
      <w:r>
        <w:rPr>
          <w:b w:val="0"/>
          <w:i w:val="0"/>
        </w:rPr>
        <w:t xml:space="preserve">, each with a name containing </w:t>
      </w:r>
      <w:r>
        <w:rPr>
          <w:rFonts w:ascii="Consolas" w:hAnsi="Consolas"/>
          <w:b w:val="0"/>
          <w:i w:val="0"/>
          <w:sz w:val="19"/>
        </w:rPr>
        <w:t>Tranch</w:t>
      </w:r>
      <w:r>
        <w:rPr>
          <w:b w:val="0"/>
          <w:i w:val="0"/>
        </w:rPr>
        <w:t>. Fifty or more is fine. Each carries that tranche’s terms, its interest and fee components, its drawdown events, and its dated cashflow schedule.</w:t>
      </w:r>
    </w:p>
    <w:p>
      <w:pPr>
        <w:spacing w:after="200"/>
      </w:pPr>
      <w:r>
        <w:rPr>
          <w:b w:val="0"/>
          <w:i w:val="0"/>
        </w:rPr>
        <w:t>Sheet names are matched case-insensitively and ignore spaces, so "Loan Info", "LOAN INFO" and "LoanInfo" are all accepted. Any sheet matching neither pattern is ignored entirely — working notes and lookup tables can be left in the file.</w:t>
      </w:r>
    </w:p>
    <w:p>
      <w:pPr>
        <w:pStyle w:val="Heading2"/>
      </w:pPr>
      <w:r>
        <w:rPr>
          <w:b w:val="0"/>
          <w:i w:val="0"/>
        </w:rPr>
        <w:t>Tranche identity</w:t>
      </w:r>
    </w:p>
    <w:p>
      <w:r>
        <w:rPr>
          <w:b w:val="0"/>
          <w:i w:val="0"/>
        </w:rPr>
        <w:t>The tranche identifier is derived from the worksheet name. This is how PCS knows that "Tranche B" in this month’s file is the same tranche as "Tranche B" in last month’s, which is what links it to previously posted accounting and to the general ledger.</w:t>
      </w:r>
    </w:p>
    <w:p>
      <w:pPr>
        <w:spacing w:after="200"/>
      </w:pPr>
      <w:r>
        <w:rPr>
          <w:b/>
          <w:i w:val="0"/>
        </w:rPr>
        <w:t xml:space="preserve">Worksheet names must therefore stay stable between exports. </w:t>
      </w:r>
      <w:r>
        <w:rPr>
          <w:b w:val="0"/>
          <w:i w:val="0"/>
        </w:rPr>
        <w:t>Renaming a sheet will read as a new tranche, not the same one. Adding, removing or reordering sheets is safe; renaming is not.</w:t>
      </w:r>
    </w:p>
    <w:tbl>
      <w:tblPr>
        <w:tblStyle w:val="TableGrid"/>
        <w:tblW w:type="auto" w:w="0"/>
        <w:tblLook w:firstColumn="1" w:firstRow="1" w:lastColumn="0" w:lastRow="0" w:noHBand="0" w:noVBand="1" w:val="04A0"/>
      </w:tblPr>
      <w:tblGrid>
        <w:gridCol w:w="9972"/>
      </w:tblGrid>
      <w:tr>
        <w:tc>
          <w:tcPr>
            <w:tcW w:type="dxa" w:w="9638"/>
            <w:shd w:val="clear" w:fill="EEF2FF"/>
          </w:tcPr>
          <w:p>
            <w:pPr>
              <w:spacing w:after="40"/>
            </w:pPr>
            <w:r/>
            <w:r>
              <w:rPr>
                <w:b/>
                <w:sz w:val="19"/>
              </w:rPr>
              <w:t>Better still</w:t>
            </w:r>
          </w:p>
          <w:p>
            <w:pPr>
              <w:spacing w:after="40"/>
            </w:pPr>
            <w:r>
              <w:rPr>
                <w:sz w:val="19"/>
              </w:rPr>
              <w:t>A dedicated identifier cell on each tranche sheet — a code that never changes even if the sheet is renamed — would remove this fragility altogether. See section 7, item 8.</w:t>
            </w:r>
          </w:p>
        </w:tc>
      </w:tr>
    </w:tbl>
    <w:p>
      <w:pPr>
        <w:spacing w:after="80"/>
      </w:pPr>
    </w:p>
    <w:p>
      <w:r>
        <w:br w:type="page"/>
      </w:r>
    </w:p>
    <w:p>
      <w:pPr>
        <w:pStyle w:val="Heading1"/>
      </w:pPr>
      <w:r>
        <w:rPr>
          <w:b w:val="0"/>
          <w:i w:val="0"/>
        </w:rPr>
        <w:t>2 · The facility sheet — "Loan info"</w:t>
      </w:r>
    </w:p>
    <w:p>
      <w:pPr>
        <w:spacing w:after="200"/>
      </w:pPr>
      <w:r>
        <w:rPr>
          <w:b w:val="0"/>
          <w:i w:val="0"/>
        </w:rPr>
        <w:t>Four blocks, described in order. Cell addresses are from the sample file.</w:t>
      </w:r>
    </w:p>
    <w:p>
      <w:pPr>
        <w:pStyle w:val="Heading2"/>
      </w:pPr>
      <w:r>
        <w:rPr>
          <w:b w:val="0"/>
          <w:i w:val="0"/>
        </w:rPr>
        <w:t>2.1 · Facility header  (A2:B7)</w:t>
      </w:r>
    </w:p>
    <w:p>
      <w:pPr>
        <w:spacing w:after="120"/>
      </w:pPr>
      <w:r>
        <w:rPr>
          <w:b w:val="0"/>
          <w:i w:val="0"/>
        </w:rPr>
        <w:t>Labels in column A, values in column B, on the same row.</w:t>
      </w:r>
    </w:p>
    <w:tbl>
      <w:tblPr>
        <w:tblStyle w:val="TableGrid"/>
        <w:tblW w:type="auto" w:w="0"/>
        <w:jc w:val="left"/>
        <w:tblLayout w:type="fixed"/>
        <w:tblLook w:firstColumn="1" w:firstRow="1" w:lastColumn="0" w:lastRow="0" w:noHBand="0" w:noVBand="1" w:val="04A0"/>
      </w:tblPr>
      <w:tblGrid>
        <w:gridCol w:w="1994"/>
        <w:gridCol w:w="1994"/>
        <w:gridCol w:w="1994"/>
        <w:gridCol w:w="1994"/>
        <w:gridCol w:w="1994"/>
      </w:tblGrid>
      <w:tr>
        <w:tc>
          <w:tcPr>
            <w:tcW w:type="dxa" w:w="850"/>
            <w:shd w:val="clear" w:fill="431B5B"/>
          </w:tcPr>
          <w:p>
            <w:pPr>
              <w:spacing w:after="40" w:before="40"/>
            </w:pPr>
            <w:r/>
            <w:r>
              <w:rPr>
                <w:b/>
                <w:color w:val="FFFFFF"/>
                <w:sz w:val="18"/>
              </w:rPr>
              <w:t>Cell</w:t>
            </w:r>
          </w:p>
        </w:tc>
        <w:tc>
          <w:tcPr>
            <w:tcW w:type="dxa" w:w="2211"/>
            <w:shd w:val="clear" w:fill="431B5B"/>
          </w:tcPr>
          <w:p>
            <w:pPr>
              <w:spacing w:after="40" w:before="40"/>
            </w:pPr>
            <w:r/>
            <w:r>
              <w:rPr>
                <w:b/>
                <w:color w:val="FFFFFF"/>
                <w:sz w:val="18"/>
              </w:rPr>
              <w:t>Label</w:t>
            </w:r>
          </w:p>
        </w:tc>
        <w:tc>
          <w:tcPr>
            <w:tcW w:type="dxa" w:w="850"/>
            <w:shd w:val="clear" w:fill="431B5B"/>
          </w:tcPr>
          <w:p>
            <w:pPr>
              <w:spacing w:after="40" w:before="40"/>
            </w:pPr>
            <w:r/>
            <w:r>
              <w:rPr>
                <w:b/>
                <w:color w:val="FFFFFF"/>
                <w:sz w:val="18"/>
              </w:rPr>
              <w:t>Value</w:t>
            </w:r>
          </w:p>
        </w:tc>
        <w:tc>
          <w:tcPr>
            <w:tcW w:type="dxa" w:w="1077"/>
            <w:shd w:val="clear" w:fill="431B5B"/>
          </w:tcPr>
          <w:p>
            <w:pPr>
              <w:spacing w:after="40" w:before="40"/>
            </w:pPr>
            <w:r/>
            <w:r>
              <w:rPr>
                <w:b/>
                <w:color w:val="FFFFFF"/>
                <w:sz w:val="18"/>
              </w:rPr>
              <w:t>Required</w:t>
            </w:r>
          </w:p>
        </w:tc>
        <w:tc>
          <w:tcPr>
            <w:tcW w:type="dxa" w:w="4649"/>
            <w:shd w:val="clear" w:fill="431B5B"/>
          </w:tcPr>
          <w:p>
            <w:pPr>
              <w:spacing w:after="40" w:before="40"/>
            </w:pPr>
            <w:r/>
            <w:r>
              <w:rPr>
                <w:b/>
                <w:color w:val="FFFFFF"/>
                <w:sz w:val="18"/>
              </w:rPr>
              <w:t>Notes</w:t>
            </w:r>
          </w:p>
        </w:tc>
      </w:tr>
      <w:tr>
        <w:tc>
          <w:tcPr>
            <w:tcW w:type="dxa" w:w="850"/>
          </w:tcPr>
          <w:p>
            <w:pPr>
              <w:spacing w:after="40" w:before="40"/>
            </w:pPr>
            <w:r/>
            <w:r>
              <w:rPr>
                <w:rFonts w:ascii="Consolas" w:hAnsi="Consolas"/>
                <w:sz w:val="17"/>
              </w:rPr>
              <w:t>A2</w:t>
            </w:r>
          </w:p>
        </w:tc>
        <w:tc>
          <w:tcPr>
            <w:tcW w:type="dxa" w:w="2211"/>
          </w:tcPr>
          <w:p>
            <w:pPr>
              <w:spacing w:after="40" w:before="40"/>
            </w:pPr>
            <w:r/>
            <w:r>
              <w:rPr>
                <w:sz w:val="17"/>
              </w:rPr>
              <w:t>Company</w:t>
            </w:r>
          </w:p>
        </w:tc>
        <w:tc>
          <w:tcPr>
            <w:tcW w:type="dxa" w:w="850"/>
          </w:tcPr>
          <w:p>
            <w:pPr>
              <w:spacing w:after="40" w:before="40"/>
            </w:pPr>
            <w:r/>
            <w:r>
              <w:rPr>
                <w:rFonts w:ascii="Consolas" w:hAnsi="Consolas"/>
                <w:sz w:val="17"/>
              </w:rPr>
              <w:t>B2</w:t>
            </w:r>
          </w:p>
        </w:tc>
        <w:tc>
          <w:tcPr>
            <w:tcW w:type="dxa" w:w="1077"/>
          </w:tcPr>
          <w:p>
            <w:pPr>
              <w:spacing w:after="40" w:before="40"/>
            </w:pPr>
            <w:r/>
            <w:r>
              <w:rPr>
                <w:sz w:val="17"/>
              </w:rPr>
              <w:t>Yes</w:t>
            </w:r>
          </w:p>
        </w:tc>
        <w:tc>
          <w:tcPr>
            <w:tcW w:type="dxa" w:w="4649"/>
          </w:tcPr>
          <w:p>
            <w:pPr>
              <w:spacing w:after="40" w:before="40"/>
            </w:pPr>
            <w:r/>
            <w:r>
              <w:rPr>
                <w:sz w:val="17"/>
              </w:rPr>
              <w:t>Names the deal. Used to derive the external deal id.</w:t>
            </w:r>
          </w:p>
        </w:tc>
      </w:tr>
      <w:tr>
        <w:tc>
          <w:tcPr>
            <w:tcW w:type="dxa" w:w="850"/>
            <w:shd w:val="clear" w:fill="F4F4F7"/>
          </w:tcPr>
          <w:p>
            <w:pPr>
              <w:spacing w:after="40" w:before="40"/>
            </w:pPr>
            <w:r/>
            <w:r>
              <w:rPr>
                <w:rFonts w:ascii="Consolas" w:hAnsi="Consolas"/>
                <w:sz w:val="17"/>
              </w:rPr>
              <w:t>A3</w:t>
            </w:r>
          </w:p>
        </w:tc>
        <w:tc>
          <w:tcPr>
            <w:tcW w:type="dxa" w:w="2211"/>
            <w:shd w:val="clear" w:fill="F4F4F7"/>
          </w:tcPr>
          <w:p>
            <w:pPr>
              <w:spacing w:after="40" w:before="40"/>
            </w:pPr>
            <w:r/>
            <w:r>
              <w:rPr>
                <w:sz w:val="17"/>
              </w:rPr>
              <w:t>Debt Type</w:t>
            </w:r>
          </w:p>
        </w:tc>
        <w:tc>
          <w:tcPr>
            <w:tcW w:type="dxa" w:w="850"/>
            <w:shd w:val="clear" w:fill="F4F4F7"/>
          </w:tcPr>
          <w:p>
            <w:pPr>
              <w:spacing w:after="40" w:before="40"/>
            </w:pPr>
            <w:r/>
            <w:r>
              <w:rPr>
                <w:rFonts w:ascii="Consolas" w:hAnsi="Consolas"/>
                <w:sz w:val="17"/>
              </w:rPr>
              <w:t>B3</w:t>
            </w:r>
          </w:p>
        </w:tc>
        <w:tc>
          <w:tcPr>
            <w:tcW w:type="dxa" w:w="1077"/>
            <w:shd w:val="clear" w:fill="F4F4F7"/>
          </w:tcPr>
          <w:p>
            <w:pPr>
              <w:spacing w:after="40" w:before="40"/>
            </w:pPr>
            <w:r/>
            <w:r>
              <w:rPr>
                <w:sz w:val="17"/>
              </w:rPr>
              <w:t>No</w:t>
            </w:r>
          </w:p>
        </w:tc>
        <w:tc>
          <w:tcPr>
            <w:tcW w:type="dxa" w:w="4649"/>
            <w:shd w:val="clear" w:fill="F4F4F7"/>
          </w:tcPr>
          <w:p>
            <w:pPr>
              <w:spacing w:after="40" w:before="40"/>
            </w:pPr>
            <w:r/>
            <w:r>
              <w:rPr>
                <w:sz w:val="17"/>
              </w:rPr>
              <w:t>Blank in the sample. Free text.</w:t>
            </w:r>
          </w:p>
        </w:tc>
      </w:tr>
      <w:tr>
        <w:tc>
          <w:tcPr>
            <w:tcW w:type="dxa" w:w="850"/>
          </w:tcPr>
          <w:p>
            <w:pPr>
              <w:spacing w:after="40" w:before="40"/>
            </w:pPr>
            <w:r/>
            <w:r>
              <w:rPr>
                <w:rFonts w:ascii="Consolas" w:hAnsi="Consolas"/>
                <w:sz w:val="17"/>
              </w:rPr>
              <w:t>A4</w:t>
            </w:r>
          </w:p>
        </w:tc>
        <w:tc>
          <w:tcPr>
            <w:tcW w:type="dxa" w:w="2211"/>
          </w:tcPr>
          <w:p>
            <w:pPr>
              <w:spacing w:after="40" w:before="40"/>
            </w:pPr>
            <w:r/>
            <w:r>
              <w:rPr>
                <w:sz w:val="17"/>
              </w:rPr>
              <w:t>Loan Start Date</w:t>
            </w:r>
          </w:p>
        </w:tc>
        <w:tc>
          <w:tcPr>
            <w:tcW w:type="dxa" w:w="850"/>
          </w:tcPr>
          <w:p>
            <w:pPr>
              <w:spacing w:after="40" w:before="40"/>
            </w:pPr>
            <w:r/>
            <w:r>
              <w:rPr>
                <w:rFonts w:ascii="Consolas" w:hAnsi="Consolas"/>
                <w:sz w:val="17"/>
              </w:rPr>
              <w:t>B4</w:t>
            </w:r>
          </w:p>
        </w:tc>
        <w:tc>
          <w:tcPr>
            <w:tcW w:type="dxa" w:w="1077"/>
          </w:tcPr>
          <w:p>
            <w:pPr>
              <w:spacing w:after="40" w:before="40"/>
            </w:pPr>
            <w:r/>
            <w:r>
              <w:rPr>
                <w:sz w:val="17"/>
              </w:rPr>
              <w:t>Yes</w:t>
            </w:r>
          </w:p>
        </w:tc>
        <w:tc>
          <w:tcPr>
            <w:tcW w:type="dxa" w:w="4649"/>
          </w:tcPr>
          <w:p>
            <w:pPr>
              <w:spacing w:after="40" w:before="40"/>
            </w:pPr>
            <w:r/>
            <w:r>
              <w:rPr>
                <w:sz w:val="17"/>
              </w:rPr>
              <w:t>Facility start. Import fails if blank.</w:t>
            </w:r>
          </w:p>
        </w:tc>
      </w:tr>
      <w:tr>
        <w:tc>
          <w:tcPr>
            <w:tcW w:type="dxa" w:w="850"/>
            <w:shd w:val="clear" w:fill="F4F4F7"/>
          </w:tcPr>
          <w:p>
            <w:pPr>
              <w:spacing w:after="40" w:before="40"/>
            </w:pPr>
            <w:r/>
            <w:r>
              <w:rPr>
                <w:rFonts w:ascii="Consolas" w:hAnsi="Consolas"/>
                <w:sz w:val="17"/>
              </w:rPr>
              <w:t>A5</w:t>
            </w:r>
          </w:p>
        </w:tc>
        <w:tc>
          <w:tcPr>
            <w:tcW w:type="dxa" w:w="2211"/>
            <w:shd w:val="clear" w:fill="F4F4F7"/>
          </w:tcPr>
          <w:p>
            <w:pPr>
              <w:spacing w:after="40" w:before="40"/>
            </w:pPr>
            <w:r/>
            <w:r>
              <w:rPr>
                <w:sz w:val="17"/>
              </w:rPr>
              <w:t>Loan End Date</w:t>
            </w:r>
          </w:p>
        </w:tc>
        <w:tc>
          <w:tcPr>
            <w:tcW w:type="dxa" w:w="850"/>
            <w:shd w:val="clear" w:fill="F4F4F7"/>
          </w:tcPr>
          <w:p>
            <w:pPr>
              <w:spacing w:after="40" w:before="40"/>
            </w:pPr>
            <w:r/>
            <w:r>
              <w:rPr>
                <w:rFonts w:ascii="Consolas" w:hAnsi="Consolas"/>
                <w:sz w:val="17"/>
              </w:rPr>
              <w:t>B5</w:t>
            </w:r>
          </w:p>
        </w:tc>
        <w:tc>
          <w:tcPr>
            <w:tcW w:type="dxa" w:w="1077"/>
            <w:shd w:val="clear" w:fill="F4F4F7"/>
          </w:tcPr>
          <w:p>
            <w:pPr>
              <w:spacing w:after="40" w:before="40"/>
            </w:pPr>
            <w:r/>
            <w:r>
              <w:rPr>
                <w:sz w:val="17"/>
              </w:rPr>
              <w:t>Yes</w:t>
            </w:r>
          </w:p>
        </w:tc>
        <w:tc>
          <w:tcPr>
            <w:tcW w:type="dxa" w:w="4649"/>
            <w:shd w:val="clear" w:fill="F4F4F7"/>
          </w:tcPr>
          <w:p>
            <w:pPr>
              <w:spacing w:after="40" w:before="40"/>
            </w:pPr>
            <w:r/>
            <w:r>
              <w:rPr>
                <w:sz w:val="17"/>
              </w:rPr>
              <w:t>Final maturity. Import fails if blank.</w:t>
            </w:r>
          </w:p>
        </w:tc>
      </w:tr>
      <w:tr>
        <w:tc>
          <w:tcPr>
            <w:tcW w:type="dxa" w:w="850"/>
          </w:tcPr>
          <w:p>
            <w:pPr>
              <w:spacing w:after="40" w:before="40"/>
            </w:pPr>
            <w:r/>
            <w:r>
              <w:rPr>
                <w:rFonts w:ascii="Consolas" w:hAnsi="Consolas"/>
                <w:sz w:val="17"/>
              </w:rPr>
              <w:t>A6</w:t>
            </w:r>
          </w:p>
        </w:tc>
        <w:tc>
          <w:tcPr>
            <w:tcW w:type="dxa" w:w="2211"/>
          </w:tcPr>
          <w:p>
            <w:pPr>
              <w:spacing w:after="40" w:before="40"/>
            </w:pPr>
            <w:r/>
            <w:r>
              <w:rPr>
                <w:sz w:val="17"/>
              </w:rPr>
              <w:t>Day Count Convention</w:t>
            </w:r>
          </w:p>
        </w:tc>
        <w:tc>
          <w:tcPr>
            <w:tcW w:type="dxa" w:w="850"/>
          </w:tcPr>
          <w:p>
            <w:pPr>
              <w:spacing w:after="40" w:before="40"/>
            </w:pPr>
            <w:r/>
            <w:r>
              <w:rPr>
                <w:rFonts w:ascii="Consolas" w:hAnsi="Consolas"/>
                <w:sz w:val="17"/>
              </w:rPr>
              <w:t>B6</w:t>
            </w:r>
          </w:p>
        </w:tc>
        <w:tc>
          <w:tcPr>
            <w:tcW w:type="dxa" w:w="1077"/>
          </w:tcPr>
          <w:p>
            <w:pPr>
              <w:spacing w:after="40" w:before="40"/>
            </w:pPr>
            <w:r/>
            <w:r>
              <w:rPr>
                <w:sz w:val="17"/>
              </w:rPr>
              <w:t>Yes</w:t>
            </w:r>
          </w:p>
        </w:tc>
        <w:tc>
          <w:tcPr>
            <w:tcW w:type="dxa" w:w="4649"/>
          </w:tcPr>
          <w:p>
            <w:pPr>
              <w:spacing w:after="40" w:before="40"/>
            </w:pPr>
            <w:r/>
            <w:r>
              <w:rPr>
                <w:sz w:val="17"/>
              </w:rPr>
              <w:t>Blank in the sample. Values in 6.5.</w:t>
            </w:r>
          </w:p>
        </w:tc>
      </w:tr>
      <w:tr>
        <w:tc>
          <w:tcPr>
            <w:tcW w:type="dxa" w:w="850"/>
            <w:shd w:val="clear" w:fill="F4F4F7"/>
          </w:tcPr>
          <w:p>
            <w:pPr>
              <w:spacing w:after="40" w:before="40"/>
            </w:pPr>
            <w:r/>
            <w:r>
              <w:rPr>
                <w:rFonts w:ascii="Consolas" w:hAnsi="Consolas"/>
                <w:sz w:val="17"/>
              </w:rPr>
              <w:t>A7</w:t>
            </w:r>
          </w:p>
        </w:tc>
        <w:tc>
          <w:tcPr>
            <w:tcW w:type="dxa" w:w="2211"/>
            <w:shd w:val="clear" w:fill="F4F4F7"/>
          </w:tcPr>
          <w:p>
            <w:pPr>
              <w:spacing w:after="40" w:before="40"/>
            </w:pPr>
            <w:r/>
            <w:r>
              <w:rPr>
                <w:sz w:val="17"/>
              </w:rPr>
              <w:t>Interest Accrues</w:t>
            </w:r>
          </w:p>
        </w:tc>
        <w:tc>
          <w:tcPr>
            <w:tcW w:type="dxa" w:w="850"/>
            <w:shd w:val="clear" w:fill="F4F4F7"/>
          </w:tcPr>
          <w:p>
            <w:pPr>
              <w:spacing w:after="40" w:before="40"/>
            </w:pPr>
            <w:r/>
            <w:r>
              <w:rPr>
                <w:rFonts w:ascii="Consolas" w:hAnsi="Consolas"/>
                <w:sz w:val="17"/>
              </w:rPr>
              <w:t>B7</w:t>
            </w:r>
          </w:p>
        </w:tc>
        <w:tc>
          <w:tcPr>
            <w:tcW w:type="dxa" w:w="1077"/>
            <w:shd w:val="clear" w:fill="F4F4F7"/>
          </w:tcPr>
          <w:p>
            <w:pPr>
              <w:spacing w:after="40" w:before="40"/>
            </w:pPr>
            <w:r/>
            <w:r>
              <w:rPr>
                <w:sz w:val="17"/>
              </w:rPr>
              <w:t>No</w:t>
            </w:r>
          </w:p>
        </w:tc>
        <w:tc>
          <w:tcPr>
            <w:tcW w:type="dxa" w:w="4649"/>
            <w:shd w:val="clear" w:fill="F4F4F7"/>
          </w:tcPr>
          <w:p>
            <w:pPr>
              <w:spacing w:after="40" w:before="40"/>
            </w:pPr>
            <w:r/>
            <w:r>
              <w:rPr>
                <w:sz w:val="17"/>
              </w:rPr>
              <w:t>"Yes — same day", or text containing "next".</w:t>
            </w:r>
          </w:p>
        </w:tc>
      </w:tr>
    </w:tbl>
    <w:p>
      <w:pPr>
        <w:spacing w:after="80"/>
      </w:pPr>
    </w:p>
    <w:p>
      <w:pPr>
        <w:spacing w:after="240"/>
      </w:pPr>
      <w:r>
        <w:rPr>
          <w:b/>
          <w:i w:val="0"/>
        </w:rPr>
        <w:t xml:space="preserve">How it is found: </w:t>
      </w:r>
      <w:r>
        <w:rPr>
          <w:b w:val="0"/>
          <w:i w:val="0"/>
        </w:rPr>
        <w:t>any label in column A within the first 14 rows; the value is read from column B on the same row. Labels are matched case-insensitively with whitespace collapsed. Rows may be reordered or have blanks between them.</w:t>
      </w:r>
    </w:p>
    <w:p>
      <w:pPr>
        <w:pStyle w:val="Heading2"/>
      </w:pPr>
      <w:r>
        <w:rPr>
          <w:b w:val="0"/>
          <w:i w:val="0"/>
        </w:rPr>
        <w:t>2.2 · Commitment schedule  (D2 downwards)</w:t>
      </w:r>
    </w:p>
    <w:p>
      <w:pPr>
        <w:spacing w:after="120"/>
      </w:pPr>
      <w:r>
        <w:rPr>
          <w:b w:val="0"/>
          <w:i w:val="0"/>
        </w:rPr>
        <w:t>A two-column table listing each commitment and the date it takes effect.</w:t>
      </w:r>
    </w:p>
    <w:tbl>
      <w:tblPr>
        <w:tblStyle w:val="TableGrid"/>
        <w:tblW w:type="auto" w:w="0"/>
        <w:jc w:val="left"/>
        <w:tblLayout w:type="fixed"/>
        <w:tblLook w:firstColumn="1" w:firstRow="1" w:lastColumn="0" w:lastRow="0" w:noHBand="0" w:noVBand="1" w:val="04A0"/>
      </w:tblPr>
      <w:tblGrid>
        <w:gridCol w:w="2493"/>
        <w:gridCol w:w="2493"/>
        <w:gridCol w:w="2493"/>
        <w:gridCol w:w="2493"/>
      </w:tblGrid>
      <w:tr>
        <w:tc>
          <w:tcPr>
            <w:tcW w:type="dxa" w:w="1304"/>
            <w:shd w:val="clear" w:fill="431B5B"/>
          </w:tcPr>
          <w:p>
            <w:pPr>
              <w:spacing w:after="40" w:before="40"/>
            </w:pPr>
            <w:r/>
            <w:r>
              <w:rPr>
                <w:b/>
                <w:color w:val="FFFFFF"/>
                <w:sz w:val="18"/>
              </w:rPr>
              <w:t>Cell</w:t>
            </w:r>
          </w:p>
        </w:tc>
        <w:tc>
          <w:tcPr>
            <w:tcW w:type="dxa" w:w="2608"/>
            <w:shd w:val="clear" w:fill="431B5B"/>
          </w:tcPr>
          <w:p>
            <w:pPr>
              <w:spacing w:after="40" w:before="40"/>
            </w:pPr>
            <w:r/>
            <w:r>
              <w:rPr>
                <w:b/>
                <w:color w:val="FFFFFF"/>
                <w:sz w:val="18"/>
              </w:rPr>
              <w:t>Content</w:t>
            </w:r>
          </w:p>
        </w:tc>
        <w:tc>
          <w:tcPr>
            <w:tcW w:type="dxa" w:w="1020"/>
            <w:shd w:val="clear" w:fill="431B5B"/>
          </w:tcPr>
          <w:p>
            <w:pPr>
              <w:spacing w:after="40" w:before="40"/>
            </w:pPr>
            <w:r/>
            <w:r>
              <w:rPr>
                <w:b/>
                <w:color w:val="FFFFFF"/>
                <w:sz w:val="18"/>
              </w:rPr>
              <w:t>Required</w:t>
            </w:r>
          </w:p>
        </w:tc>
        <w:tc>
          <w:tcPr>
            <w:tcW w:type="dxa" w:w="4706"/>
            <w:shd w:val="clear" w:fill="431B5B"/>
          </w:tcPr>
          <w:p>
            <w:pPr>
              <w:spacing w:after="40" w:before="40"/>
            </w:pPr>
            <w:r/>
            <w:r>
              <w:rPr>
                <w:b/>
                <w:color w:val="FFFFFF"/>
                <w:sz w:val="18"/>
              </w:rPr>
              <w:t>Notes</w:t>
            </w:r>
          </w:p>
        </w:tc>
      </w:tr>
      <w:tr>
        <w:tc>
          <w:tcPr>
            <w:tcW w:type="dxa" w:w="1304"/>
          </w:tcPr>
          <w:p>
            <w:pPr>
              <w:spacing w:after="40" w:before="40"/>
            </w:pPr>
            <w:r/>
            <w:r>
              <w:rPr>
                <w:rFonts w:ascii="Consolas" w:hAnsi="Consolas"/>
                <w:sz w:val="17"/>
              </w:rPr>
              <w:t>D2</w:t>
            </w:r>
          </w:p>
        </w:tc>
        <w:tc>
          <w:tcPr>
            <w:tcW w:type="dxa" w:w="2608"/>
          </w:tcPr>
          <w:p>
            <w:pPr>
              <w:spacing w:after="40" w:before="40"/>
            </w:pPr>
            <w:r/>
            <w:r>
              <w:rPr>
                <w:sz w:val="17"/>
              </w:rPr>
              <w:t>Header: "Date"</w:t>
            </w:r>
          </w:p>
        </w:tc>
        <w:tc>
          <w:tcPr>
            <w:tcW w:type="dxa" w:w="1020"/>
          </w:tcPr>
          <w:p>
            <w:pPr>
              <w:spacing w:after="40" w:before="40"/>
            </w:pPr>
            <w:r/>
            <w:r>
              <w:rPr>
                <w:sz w:val="17"/>
              </w:rPr>
              <w:t>Yes</w:t>
            </w:r>
          </w:p>
        </w:tc>
        <w:tc>
          <w:tcPr>
            <w:tcW w:type="dxa" w:w="4706"/>
          </w:tcPr>
          <w:p>
            <w:pPr>
              <w:spacing w:after="40" w:before="40"/>
            </w:pPr>
            <w:r/>
            <w:r>
              <w:rPr>
                <w:sz w:val="17"/>
              </w:rPr>
              <w:t>Anchor. Must sit immediately left of the amount header.</w:t>
            </w:r>
          </w:p>
        </w:tc>
      </w:tr>
      <w:tr>
        <w:tc>
          <w:tcPr>
            <w:tcW w:type="dxa" w:w="1304"/>
            <w:shd w:val="clear" w:fill="F4F4F7"/>
          </w:tcPr>
          <w:p>
            <w:pPr>
              <w:spacing w:after="40" w:before="40"/>
            </w:pPr>
            <w:r/>
            <w:r>
              <w:rPr>
                <w:rFonts w:ascii="Consolas" w:hAnsi="Consolas"/>
                <w:sz w:val="17"/>
              </w:rPr>
              <w:t>E2</w:t>
            </w:r>
          </w:p>
        </w:tc>
        <w:tc>
          <w:tcPr>
            <w:tcW w:type="dxa" w:w="2608"/>
            <w:shd w:val="clear" w:fill="F4F4F7"/>
          </w:tcPr>
          <w:p>
            <w:pPr>
              <w:spacing w:after="40" w:before="40"/>
            </w:pPr>
            <w:r/>
            <w:r>
              <w:rPr>
                <w:sz w:val="17"/>
              </w:rPr>
              <w:t>Header: "Total Commitment"</w:t>
            </w:r>
          </w:p>
        </w:tc>
        <w:tc>
          <w:tcPr>
            <w:tcW w:type="dxa" w:w="1020"/>
            <w:shd w:val="clear" w:fill="F4F4F7"/>
          </w:tcPr>
          <w:p>
            <w:pPr>
              <w:spacing w:after="40" w:before="40"/>
            </w:pPr>
            <w:r/>
            <w:r>
              <w:rPr>
                <w:sz w:val="17"/>
              </w:rPr>
              <w:t>Yes</w:t>
            </w:r>
          </w:p>
        </w:tc>
        <w:tc>
          <w:tcPr>
            <w:tcW w:type="dxa" w:w="4706"/>
            <w:shd w:val="clear" w:fill="F4F4F7"/>
          </w:tcPr>
          <w:p>
            <w:pPr>
              <w:spacing w:after="40" w:before="40"/>
            </w:pPr>
            <w:r/>
            <w:r>
              <w:rPr>
                <w:sz w:val="17"/>
              </w:rPr>
              <w:t>Anchor.</w:t>
            </w:r>
          </w:p>
        </w:tc>
      </w:tr>
      <w:tr>
        <w:tc>
          <w:tcPr>
            <w:tcW w:type="dxa" w:w="1304"/>
          </w:tcPr>
          <w:p>
            <w:pPr>
              <w:spacing w:after="40" w:before="40"/>
            </w:pPr>
            <w:r/>
            <w:r>
              <w:rPr>
                <w:rFonts w:ascii="Consolas" w:hAnsi="Consolas"/>
                <w:sz w:val="17"/>
              </w:rPr>
              <w:t>D3, D4, …</w:t>
            </w:r>
          </w:p>
        </w:tc>
        <w:tc>
          <w:tcPr>
            <w:tcW w:type="dxa" w:w="2608"/>
          </w:tcPr>
          <w:p>
            <w:pPr>
              <w:spacing w:after="40" w:before="40"/>
            </w:pPr>
            <w:r/>
            <w:r>
              <w:rPr>
                <w:sz w:val="17"/>
              </w:rPr>
              <w:t>Effective date</w:t>
            </w:r>
          </w:p>
        </w:tc>
        <w:tc>
          <w:tcPr>
            <w:tcW w:type="dxa" w:w="1020"/>
          </w:tcPr>
          <w:p>
            <w:pPr>
              <w:spacing w:after="40" w:before="40"/>
            </w:pPr>
            <w:r/>
            <w:r>
              <w:rPr>
                <w:sz w:val="17"/>
              </w:rPr>
              <w:t>Yes</w:t>
            </w:r>
          </w:p>
        </w:tc>
        <w:tc>
          <w:tcPr>
            <w:tcW w:type="dxa" w:w="4706"/>
          </w:tcPr>
          <w:p>
            <w:pPr>
              <w:spacing w:after="40" w:before="40"/>
            </w:pPr>
            <w:r/>
            <w:r>
              <w:rPr>
                <w:sz w:val="17"/>
              </w:rPr>
              <w:t>An amount with no date is skipped with a warning.</w:t>
            </w:r>
          </w:p>
        </w:tc>
      </w:tr>
      <w:tr>
        <w:tc>
          <w:tcPr>
            <w:tcW w:type="dxa" w:w="1304"/>
            <w:shd w:val="clear" w:fill="F4F4F7"/>
          </w:tcPr>
          <w:p>
            <w:pPr>
              <w:spacing w:after="40" w:before="40"/>
            </w:pPr>
            <w:r/>
            <w:r>
              <w:rPr>
                <w:rFonts w:ascii="Consolas" w:hAnsi="Consolas"/>
                <w:sz w:val="17"/>
              </w:rPr>
              <w:t>E3, E4, …</w:t>
            </w:r>
          </w:p>
        </w:tc>
        <w:tc>
          <w:tcPr>
            <w:tcW w:type="dxa" w:w="2608"/>
            <w:shd w:val="clear" w:fill="F4F4F7"/>
          </w:tcPr>
          <w:p>
            <w:pPr>
              <w:spacing w:after="40" w:before="40"/>
            </w:pPr>
            <w:r/>
            <w:r>
              <w:rPr>
                <w:sz w:val="17"/>
              </w:rPr>
              <w:t>Commitment amount</w:t>
            </w:r>
          </w:p>
        </w:tc>
        <w:tc>
          <w:tcPr>
            <w:tcW w:type="dxa" w:w="1020"/>
            <w:shd w:val="clear" w:fill="F4F4F7"/>
          </w:tcPr>
          <w:p>
            <w:pPr>
              <w:spacing w:after="40" w:before="40"/>
            </w:pPr>
            <w:r/>
            <w:r>
              <w:rPr>
                <w:sz w:val="17"/>
              </w:rPr>
              <w:t>Yes</w:t>
            </w:r>
          </w:p>
        </w:tc>
        <w:tc>
          <w:tcPr>
            <w:tcW w:type="dxa" w:w="4706"/>
            <w:shd w:val="clear" w:fill="F4F4F7"/>
          </w:tcPr>
          <w:p>
            <w:pPr>
              <w:spacing w:after="40" w:before="40"/>
            </w:pPr>
            <w:r/>
            <w:r>
              <w:rPr>
                <w:sz w:val="17"/>
              </w:rPr>
              <w:t>Numeric. Symbols and separators tolerated.</w:t>
            </w:r>
          </w:p>
        </w:tc>
      </w:tr>
    </w:tbl>
    <w:p>
      <w:pPr>
        <w:spacing w:after="80"/>
      </w:pPr>
    </w:p>
    <w:p>
      <w:pPr>
        <w:spacing w:after="240"/>
      </w:pPr>
      <w:r>
        <w:rPr>
          <w:b/>
          <w:i w:val="0"/>
        </w:rPr>
        <w:t xml:space="preserve">How it is found: </w:t>
      </w:r>
      <w:r>
        <w:rPr>
          <w:b w:val="0"/>
          <w:i w:val="0"/>
        </w:rPr>
        <w:t xml:space="preserve">a cell reading "Date" with "Total Commitment" immediately to its right, anywhere in the first 12 rows and first 12 columns. Rows are read downwards until a completely blank row. The sum of these amounts is taken as the </w:t>
      </w:r>
      <w:r>
        <w:rPr>
          <w:b w:val="0"/>
          <w:i/>
        </w:rPr>
        <w:t>committed amount</w:t>
      </w:r>
      <w:r>
        <w:rPr>
          <w:b w:val="0"/>
          <w:i w:val="0"/>
        </w:rPr>
        <w:t>.</w:t>
      </w:r>
    </w:p>
    <w:tbl>
      <w:tblPr>
        <w:tblStyle w:val="TableGrid"/>
        <w:tblW w:type="auto" w:w="0"/>
        <w:tblLook w:firstColumn="1" w:firstRow="1" w:lastColumn="0" w:lastRow="0" w:noHBand="0" w:noVBand="1" w:val="04A0"/>
      </w:tblPr>
      <w:tblGrid>
        <w:gridCol w:w="9972"/>
      </w:tblGrid>
      <w:tr>
        <w:tc>
          <w:tcPr>
            <w:tcW w:type="dxa" w:w="9638"/>
            <w:shd w:val="clear" w:fill="FFF8E6"/>
          </w:tcPr>
          <w:p>
            <w:pPr>
              <w:spacing w:after="40"/>
            </w:pPr>
            <w:r/>
            <w:r>
              <w:rPr>
                <w:b/>
                <w:sz w:val="19"/>
              </w:rPr>
              <w:t>Committed is not the same as maximum</w:t>
            </w:r>
          </w:p>
          <w:p>
            <w:pPr>
              <w:spacing w:after="40"/>
            </w:pPr>
            <w:r>
              <w:rPr>
                <w:sz w:val="19"/>
              </w:rPr>
              <w:t>In the sample the commitment rows total £4,436,978,800, while the opening unfunded balance in the cashflow table is £32,277,978,800 — and the commitment fee is charged on the larger figure. PCS reads the first unfunded balance as the maximum facility amount and the commitment rows as the committed amount, and keeps both: the fee accrues on the maximum, but expected credit loss is measured against the committed amount only. If that reading is wrong, say so — it changes the impairment charge.</w:t>
            </w:r>
          </w:p>
        </w:tc>
      </w:tr>
    </w:tbl>
    <w:p>
      <w:pPr>
        <w:spacing w:after="80"/>
      </w:pPr>
    </w:p>
    <w:p>
      <w:pPr>
        <w:pStyle w:val="Heading2"/>
      </w:pPr>
      <w:r>
        <w:rPr>
          <w:b w:val="0"/>
          <w:i w:val="0"/>
        </w:rPr>
        <w:t>2.3 · Component definitions  (F2 downwards, values from column H)</w:t>
      </w:r>
    </w:p>
    <w:p>
      <w:pPr>
        <w:spacing w:after="120"/>
      </w:pPr>
      <w:r>
        <w:rPr>
          <w:b w:val="0"/>
          <w:i w:val="0"/>
        </w:rPr>
        <w:t>Each interest or fee component occupies its own column. The labels sit in one column and the components run across to the right in steps of two.</w:t>
      </w:r>
    </w:p>
    <w:tbl>
      <w:tblPr>
        <w:tblStyle w:val="TableGrid"/>
        <w:tblW w:type="auto" w:w="0"/>
        <w:jc w:val="left"/>
        <w:tblLayout w:type="fixed"/>
        <w:tblLook w:firstColumn="1" w:firstRow="1" w:lastColumn="0" w:lastRow="0" w:noHBand="0" w:noVBand="1" w:val="04A0"/>
      </w:tblPr>
      <w:tblGrid>
        <w:gridCol w:w="1994"/>
        <w:gridCol w:w="1994"/>
        <w:gridCol w:w="1994"/>
        <w:gridCol w:w="1994"/>
        <w:gridCol w:w="1994"/>
      </w:tblGrid>
      <w:tr>
        <w:tc>
          <w:tcPr>
            <w:tcW w:type="dxa" w:w="1247"/>
            <w:shd w:val="clear" w:fill="431B5B"/>
          </w:tcPr>
          <w:p>
            <w:pPr>
              <w:spacing w:after="40" w:before="40"/>
            </w:pPr>
            <w:r/>
            <w:r>
              <w:rPr>
                <w:b/>
                <w:color w:val="FFFFFF"/>
                <w:sz w:val="18"/>
              </w:rPr>
              <w:t>Label cell</w:t>
            </w:r>
          </w:p>
        </w:tc>
        <w:tc>
          <w:tcPr>
            <w:tcW w:type="dxa" w:w="2835"/>
            <w:shd w:val="clear" w:fill="431B5B"/>
          </w:tcPr>
          <w:p>
            <w:pPr>
              <w:spacing w:after="40" w:before="40"/>
            </w:pPr>
            <w:r/>
            <w:r>
              <w:rPr>
                <w:b/>
                <w:color w:val="FFFFFF"/>
                <w:sz w:val="18"/>
              </w:rPr>
              <w:t>Label</w:t>
            </w:r>
          </w:p>
        </w:tc>
        <w:tc>
          <w:tcPr>
            <w:tcW w:type="dxa" w:w="1474"/>
            <w:shd w:val="clear" w:fill="431B5B"/>
          </w:tcPr>
          <w:p>
            <w:pPr>
              <w:spacing w:after="40" w:before="40"/>
            </w:pPr>
            <w:r/>
            <w:r>
              <w:rPr>
                <w:b/>
                <w:color w:val="FFFFFF"/>
                <w:sz w:val="18"/>
              </w:rPr>
              <w:t>Component 1</w:t>
            </w:r>
          </w:p>
        </w:tc>
        <w:tc>
          <w:tcPr>
            <w:tcW w:type="dxa" w:w="1474"/>
            <w:shd w:val="clear" w:fill="431B5B"/>
          </w:tcPr>
          <w:p>
            <w:pPr>
              <w:spacing w:after="40" w:before="40"/>
            </w:pPr>
            <w:r/>
            <w:r>
              <w:rPr>
                <w:b/>
                <w:color w:val="FFFFFF"/>
                <w:sz w:val="18"/>
              </w:rPr>
              <w:t>Component 2</w:t>
            </w:r>
          </w:p>
        </w:tc>
        <w:tc>
          <w:tcPr>
            <w:tcW w:type="dxa" w:w="2608"/>
            <w:shd w:val="clear" w:fill="431B5B"/>
          </w:tcPr>
          <w:p>
            <w:pPr>
              <w:spacing w:after="40" w:before="40"/>
            </w:pPr>
            <w:r/>
            <w:r>
              <w:rPr>
                <w:b/>
                <w:color w:val="FFFFFF"/>
                <w:sz w:val="18"/>
              </w:rPr>
              <w:t>Required</w:t>
            </w:r>
          </w:p>
        </w:tc>
      </w:tr>
      <w:tr>
        <w:tc>
          <w:tcPr>
            <w:tcW w:type="dxa" w:w="1247"/>
          </w:tcPr>
          <w:p>
            <w:pPr>
              <w:spacing w:after="40" w:before="40"/>
            </w:pPr>
            <w:r/>
            <w:r>
              <w:rPr>
                <w:rFonts w:ascii="Consolas" w:hAnsi="Consolas"/>
                <w:sz w:val="17"/>
              </w:rPr>
              <w:t>F2</w:t>
            </w:r>
          </w:p>
        </w:tc>
        <w:tc>
          <w:tcPr>
            <w:tcW w:type="dxa" w:w="2835"/>
          </w:tcPr>
          <w:p>
            <w:pPr>
              <w:spacing w:after="40" w:before="40"/>
            </w:pPr>
            <w:r/>
            <w:r>
              <w:rPr>
                <w:sz w:val="17"/>
              </w:rPr>
              <w:t>Name</w:t>
            </w:r>
          </w:p>
        </w:tc>
        <w:tc>
          <w:tcPr>
            <w:tcW w:type="dxa" w:w="1474"/>
          </w:tcPr>
          <w:p>
            <w:pPr>
              <w:spacing w:after="40" w:before="40"/>
            </w:pPr>
            <w:r/>
            <w:r>
              <w:rPr>
                <w:rFonts w:ascii="Consolas" w:hAnsi="Consolas"/>
                <w:sz w:val="17"/>
              </w:rPr>
              <w:t>H2</w:t>
            </w:r>
          </w:p>
        </w:tc>
        <w:tc>
          <w:tcPr>
            <w:tcW w:type="dxa" w:w="1474"/>
          </w:tcPr>
          <w:p>
            <w:pPr>
              <w:spacing w:after="40" w:before="40"/>
            </w:pPr>
            <w:r/>
            <w:r>
              <w:rPr>
                <w:rFonts w:ascii="Consolas" w:hAnsi="Consolas"/>
                <w:sz w:val="17"/>
              </w:rPr>
              <w:t>J2</w:t>
            </w:r>
          </w:p>
        </w:tc>
        <w:tc>
          <w:tcPr>
            <w:tcW w:type="dxa" w:w="2608"/>
          </w:tcPr>
          <w:p>
            <w:pPr>
              <w:spacing w:after="40" w:before="40"/>
            </w:pPr>
            <w:r/>
            <w:r>
              <w:rPr>
                <w:sz w:val="17"/>
              </w:rPr>
              <w:t>Yes</w:t>
            </w:r>
          </w:p>
        </w:tc>
      </w:tr>
      <w:tr>
        <w:tc>
          <w:tcPr>
            <w:tcW w:type="dxa" w:w="1247"/>
            <w:shd w:val="clear" w:fill="F4F4F7"/>
          </w:tcPr>
          <w:p>
            <w:pPr>
              <w:spacing w:after="40" w:before="40"/>
            </w:pPr>
            <w:r/>
            <w:r>
              <w:rPr>
                <w:rFonts w:ascii="Consolas" w:hAnsi="Consolas"/>
                <w:sz w:val="17"/>
              </w:rPr>
              <w:t>F3</w:t>
            </w:r>
          </w:p>
        </w:tc>
        <w:tc>
          <w:tcPr>
            <w:tcW w:type="dxa" w:w="2835"/>
            <w:shd w:val="clear" w:fill="F4F4F7"/>
          </w:tcPr>
          <w:p>
            <w:pPr>
              <w:spacing w:after="40" w:before="40"/>
            </w:pPr>
            <w:r/>
            <w:r>
              <w:rPr>
                <w:sz w:val="17"/>
              </w:rPr>
              <w:t>Posting Type</w:t>
            </w:r>
          </w:p>
        </w:tc>
        <w:tc>
          <w:tcPr>
            <w:tcW w:type="dxa" w:w="1474"/>
            <w:shd w:val="clear" w:fill="F4F4F7"/>
          </w:tcPr>
          <w:p>
            <w:pPr>
              <w:spacing w:after="40" w:before="40"/>
            </w:pPr>
            <w:r/>
            <w:r>
              <w:rPr>
                <w:rFonts w:ascii="Consolas" w:hAnsi="Consolas"/>
                <w:sz w:val="17"/>
              </w:rPr>
              <w:t>H3</w:t>
            </w:r>
          </w:p>
        </w:tc>
        <w:tc>
          <w:tcPr>
            <w:tcW w:type="dxa" w:w="1474"/>
            <w:shd w:val="clear" w:fill="F4F4F7"/>
          </w:tcPr>
          <w:p>
            <w:pPr>
              <w:spacing w:after="40" w:before="40"/>
            </w:pPr>
            <w:r/>
            <w:r>
              <w:rPr>
                <w:rFonts w:ascii="Consolas" w:hAnsi="Consolas"/>
                <w:sz w:val="17"/>
              </w:rPr>
              <w:t>J3</w:t>
            </w:r>
          </w:p>
        </w:tc>
        <w:tc>
          <w:tcPr>
            <w:tcW w:type="dxa" w:w="2608"/>
            <w:shd w:val="clear" w:fill="F4F4F7"/>
          </w:tcPr>
          <w:p>
            <w:pPr>
              <w:spacing w:after="40" w:before="40"/>
            </w:pPr>
            <w:r/>
            <w:r>
              <w:rPr>
                <w:sz w:val="17"/>
              </w:rPr>
              <w:t>Yes</w:t>
            </w:r>
          </w:p>
        </w:tc>
      </w:tr>
      <w:tr>
        <w:tc>
          <w:tcPr>
            <w:tcW w:type="dxa" w:w="1247"/>
          </w:tcPr>
          <w:p>
            <w:pPr>
              <w:spacing w:after="40" w:before="40"/>
            </w:pPr>
            <w:r/>
            <w:r>
              <w:rPr>
                <w:rFonts w:ascii="Consolas" w:hAnsi="Consolas"/>
                <w:sz w:val="17"/>
              </w:rPr>
              <w:t>F4</w:t>
            </w:r>
          </w:p>
        </w:tc>
        <w:tc>
          <w:tcPr>
            <w:tcW w:type="dxa" w:w="2835"/>
          </w:tcPr>
          <w:p>
            <w:pPr>
              <w:spacing w:after="40" w:before="40"/>
            </w:pPr>
            <w:r/>
            <w:r>
              <w:rPr>
                <w:sz w:val="17"/>
              </w:rPr>
              <w:t>Calculation Basis</w:t>
            </w:r>
          </w:p>
        </w:tc>
        <w:tc>
          <w:tcPr>
            <w:tcW w:type="dxa" w:w="1474"/>
          </w:tcPr>
          <w:p>
            <w:pPr>
              <w:spacing w:after="40" w:before="40"/>
            </w:pPr>
            <w:r/>
            <w:r>
              <w:rPr>
                <w:rFonts w:ascii="Consolas" w:hAnsi="Consolas"/>
                <w:sz w:val="17"/>
              </w:rPr>
              <w:t>H4</w:t>
            </w:r>
          </w:p>
        </w:tc>
        <w:tc>
          <w:tcPr>
            <w:tcW w:type="dxa" w:w="1474"/>
          </w:tcPr>
          <w:p>
            <w:pPr>
              <w:spacing w:after="40" w:before="40"/>
            </w:pPr>
            <w:r/>
            <w:r>
              <w:rPr>
                <w:rFonts w:ascii="Consolas" w:hAnsi="Consolas"/>
                <w:sz w:val="17"/>
              </w:rPr>
              <w:t>J4</w:t>
            </w:r>
          </w:p>
        </w:tc>
        <w:tc>
          <w:tcPr>
            <w:tcW w:type="dxa" w:w="2608"/>
          </w:tcPr>
          <w:p>
            <w:pPr>
              <w:spacing w:after="40" w:before="40"/>
            </w:pPr>
            <w:r/>
            <w:r>
              <w:rPr>
                <w:sz w:val="17"/>
              </w:rPr>
              <w:t>Yes</w:t>
            </w:r>
          </w:p>
        </w:tc>
      </w:tr>
      <w:tr>
        <w:tc>
          <w:tcPr>
            <w:tcW w:type="dxa" w:w="1247"/>
            <w:shd w:val="clear" w:fill="F4F4F7"/>
          </w:tcPr>
          <w:p>
            <w:pPr>
              <w:spacing w:after="40" w:before="40"/>
            </w:pPr>
            <w:r/>
            <w:r>
              <w:rPr>
                <w:rFonts w:ascii="Consolas" w:hAnsi="Consolas"/>
                <w:sz w:val="17"/>
              </w:rPr>
              <w:t>F5</w:t>
            </w:r>
          </w:p>
        </w:tc>
        <w:tc>
          <w:tcPr>
            <w:tcW w:type="dxa" w:w="2835"/>
            <w:shd w:val="clear" w:fill="F4F4F7"/>
          </w:tcPr>
          <w:p>
            <w:pPr>
              <w:spacing w:after="40" w:before="40"/>
            </w:pPr>
            <w:r/>
            <w:r>
              <w:rPr>
                <w:sz w:val="17"/>
              </w:rPr>
              <w:t>Interest Rate Structure</w:t>
            </w:r>
          </w:p>
        </w:tc>
        <w:tc>
          <w:tcPr>
            <w:tcW w:type="dxa" w:w="1474"/>
            <w:shd w:val="clear" w:fill="F4F4F7"/>
          </w:tcPr>
          <w:p>
            <w:pPr>
              <w:spacing w:after="40" w:before="40"/>
            </w:pPr>
            <w:r/>
            <w:r>
              <w:rPr>
                <w:rFonts w:ascii="Consolas" w:hAnsi="Consolas"/>
                <w:sz w:val="17"/>
              </w:rPr>
              <w:t>H5</w:t>
            </w:r>
          </w:p>
        </w:tc>
        <w:tc>
          <w:tcPr>
            <w:tcW w:type="dxa" w:w="1474"/>
            <w:shd w:val="clear" w:fill="F4F4F7"/>
          </w:tcPr>
          <w:p>
            <w:pPr>
              <w:spacing w:after="40" w:before="40"/>
            </w:pPr>
            <w:r/>
            <w:r>
              <w:rPr>
                <w:rFonts w:ascii="Consolas" w:hAnsi="Consolas"/>
                <w:sz w:val="17"/>
              </w:rPr>
              <w:t>J5</w:t>
            </w:r>
          </w:p>
        </w:tc>
        <w:tc>
          <w:tcPr>
            <w:tcW w:type="dxa" w:w="2608"/>
            <w:shd w:val="clear" w:fill="F4F4F7"/>
          </w:tcPr>
          <w:p>
            <w:pPr>
              <w:spacing w:after="40" w:before="40"/>
            </w:pPr>
            <w:r/>
            <w:r>
              <w:rPr>
                <w:sz w:val="17"/>
              </w:rPr>
              <w:t>Yes</w:t>
            </w:r>
          </w:p>
        </w:tc>
      </w:tr>
      <w:tr>
        <w:tc>
          <w:tcPr>
            <w:tcW w:type="dxa" w:w="1247"/>
          </w:tcPr>
          <w:p>
            <w:pPr>
              <w:spacing w:after="40" w:before="40"/>
            </w:pPr>
            <w:r/>
            <w:r>
              <w:rPr>
                <w:rFonts w:ascii="Consolas" w:hAnsi="Consolas"/>
                <w:sz w:val="17"/>
              </w:rPr>
              <w:t>F6</w:t>
            </w:r>
          </w:p>
        </w:tc>
        <w:tc>
          <w:tcPr>
            <w:tcW w:type="dxa" w:w="2835"/>
          </w:tcPr>
          <w:p>
            <w:pPr>
              <w:spacing w:after="40" w:before="40"/>
            </w:pPr>
            <w:r/>
            <w:r>
              <w:rPr>
                <w:sz w:val="17"/>
              </w:rPr>
              <w:t>Interest Rate</w:t>
            </w:r>
          </w:p>
        </w:tc>
        <w:tc>
          <w:tcPr>
            <w:tcW w:type="dxa" w:w="1474"/>
          </w:tcPr>
          <w:p>
            <w:pPr>
              <w:spacing w:after="40" w:before="40"/>
            </w:pPr>
            <w:r/>
            <w:r>
              <w:rPr>
                <w:rFonts w:ascii="Consolas" w:hAnsi="Consolas"/>
                <w:sz w:val="17"/>
              </w:rPr>
              <w:t>H6</w:t>
            </w:r>
          </w:p>
        </w:tc>
        <w:tc>
          <w:tcPr>
            <w:tcW w:type="dxa" w:w="1474"/>
          </w:tcPr>
          <w:p>
            <w:pPr>
              <w:spacing w:after="40" w:before="40"/>
            </w:pPr>
            <w:r/>
            <w:r>
              <w:rPr>
                <w:rFonts w:ascii="Consolas" w:hAnsi="Consolas"/>
                <w:sz w:val="17"/>
              </w:rPr>
              <w:t>J6</w:t>
            </w:r>
          </w:p>
        </w:tc>
        <w:tc>
          <w:tcPr>
            <w:tcW w:type="dxa" w:w="2608"/>
          </w:tcPr>
          <w:p>
            <w:pPr>
              <w:spacing w:after="40" w:before="40"/>
            </w:pPr>
            <w:r/>
            <w:r>
              <w:rPr>
                <w:sz w:val="17"/>
              </w:rPr>
              <w:t>If fixed</w:t>
            </w:r>
          </w:p>
        </w:tc>
      </w:tr>
      <w:tr>
        <w:tc>
          <w:tcPr>
            <w:tcW w:type="dxa" w:w="1247"/>
            <w:shd w:val="clear" w:fill="F4F4F7"/>
          </w:tcPr>
          <w:p>
            <w:pPr>
              <w:spacing w:after="40" w:before="40"/>
            </w:pPr>
            <w:r/>
            <w:r>
              <w:rPr>
                <w:rFonts w:ascii="Consolas" w:hAnsi="Consolas"/>
                <w:sz w:val="17"/>
              </w:rPr>
              <w:t>F7</w:t>
            </w:r>
          </w:p>
        </w:tc>
        <w:tc>
          <w:tcPr>
            <w:tcW w:type="dxa" w:w="2835"/>
            <w:shd w:val="clear" w:fill="F4F4F7"/>
          </w:tcPr>
          <w:p>
            <w:pPr>
              <w:spacing w:after="40" w:before="40"/>
            </w:pPr>
            <w:r/>
            <w:r>
              <w:rPr>
                <w:sz w:val="17"/>
              </w:rPr>
              <w:t>Accrual Frequency</w:t>
            </w:r>
          </w:p>
        </w:tc>
        <w:tc>
          <w:tcPr>
            <w:tcW w:type="dxa" w:w="1474"/>
            <w:shd w:val="clear" w:fill="F4F4F7"/>
          </w:tcPr>
          <w:p>
            <w:pPr>
              <w:spacing w:after="40" w:before="40"/>
            </w:pPr>
            <w:r/>
            <w:r>
              <w:rPr>
                <w:rFonts w:ascii="Consolas" w:hAnsi="Consolas"/>
                <w:sz w:val="17"/>
              </w:rPr>
              <w:t>H7</w:t>
            </w:r>
          </w:p>
        </w:tc>
        <w:tc>
          <w:tcPr>
            <w:tcW w:type="dxa" w:w="1474"/>
            <w:shd w:val="clear" w:fill="F4F4F7"/>
          </w:tcPr>
          <w:p>
            <w:pPr>
              <w:spacing w:after="40" w:before="40"/>
            </w:pPr>
            <w:r/>
            <w:r>
              <w:rPr>
                <w:rFonts w:ascii="Consolas" w:hAnsi="Consolas"/>
                <w:sz w:val="17"/>
              </w:rPr>
              <w:t>J7</w:t>
            </w:r>
          </w:p>
        </w:tc>
        <w:tc>
          <w:tcPr>
            <w:tcW w:type="dxa" w:w="2608"/>
            <w:shd w:val="clear" w:fill="F4F4F7"/>
          </w:tcPr>
          <w:p>
            <w:pPr>
              <w:spacing w:after="40" w:before="40"/>
            </w:pPr>
            <w:r/>
            <w:r>
              <w:rPr>
                <w:sz w:val="17"/>
              </w:rPr>
              <w:t>Unless one-off</w:t>
            </w:r>
          </w:p>
        </w:tc>
      </w:tr>
      <w:tr>
        <w:tc>
          <w:tcPr>
            <w:tcW w:type="dxa" w:w="1247"/>
          </w:tcPr>
          <w:p>
            <w:pPr>
              <w:spacing w:after="40" w:before="40"/>
            </w:pPr>
            <w:r/>
            <w:r>
              <w:rPr>
                <w:rFonts w:ascii="Consolas" w:hAnsi="Consolas"/>
                <w:sz w:val="17"/>
              </w:rPr>
              <w:t>F8</w:t>
            </w:r>
          </w:p>
        </w:tc>
        <w:tc>
          <w:tcPr>
            <w:tcW w:type="dxa" w:w="2835"/>
          </w:tcPr>
          <w:p>
            <w:pPr>
              <w:spacing w:after="40" w:before="40"/>
            </w:pPr>
            <w:r/>
            <w:r>
              <w:rPr>
                <w:sz w:val="17"/>
              </w:rPr>
              <w:t>Settlement Frequency</w:t>
            </w:r>
          </w:p>
        </w:tc>
        <w:tc>
          <w:tcPr>
            <w:tcW w:type="dxa" w:w="1474"/>
          </w:tcPr>
          <w:p>
            <w:pPr>
              <w:spacing w:after="40" w:before="40"/>
            </w:pPr>
            <w:r/>
            <w:r>
              <w:rPr>
                <w:rFonts w:ascii="Consolas" w:hAnsi="Consolas"/>
                <w:sz w:val="17"/>
              </w:rPr>
              <w:t>H8</w:t>
            </w:r>
          </w:p>
        </w:tc>
        <w:tc>
          <w:tcPr>
            <w:tcW w:type="dxa" w:w="1474"/>
          </w:tcPr>
          <w:p>
            <w:pPr>
              <w:spacing w:after="40" w:before="40"/>
            </w:pPr>
            <w:r/>
            <w:r>
              <w:rPr>
                <w:rFonts w:ascii="Consolas" w:hAnsi="Consolas"/>
                <w:sz w:val="17"/>
              </w:rPr>
              <w:t>J8</w:t>
            </w:r>
          </w:p>
        </w:tc>
        <w:tc>
          <w:tcPr>
            <w:tcW w:type="dxa" w:w="2608"/>
          </w:tcPr>
          <w:p>
            <w:pPr>
              <w:spacing w:after="40" w:before="40"/>
            </w:pPr>
            <w:r/>
            <w:r>
              <w:rPr>
                <w:sz w:val="17"/>
              </w:rPr>
              <w:t>No</w:t>
            </w:r>
          </w:p>
        </w:tc>
      </w:tr>
      <w:tr>
        <w:tc>
          <w:tcPr>
            <w:tcW w:type="dxa" w:w="1247"/>
            <w:shd w:val="clear" w:fill="F4F4F7"/>
          </w:tcPr>
          <w:p>
            <w:pPr>
              <w:spacing w:after="40" w:before="40"/>
            </w:pPr>
            <w:r/>
            <w:r>
              <w:rPr>
                <w:rFonts w:ascii="Consolas" w:hAnsi="Consolas"/>
                <w:sz w:val="17"/>
              </w:rPr>
              <w:t>F9</w:t>
            </w:r>
          </w:p>
        </w:tc>
        <w:tc>
          <w:tcPr>
            <w:tcW w:type="dxa" w:w="2835"/>
            <w:shd w:val="clear" w:fill="F4F4F7"/>
          </w:tcPr>
          <w:p>
            <w:pPr>
              <w:spacing w:after="40" w:before="40"/>
            </w:pPr>
            <w:r/>
            <w:r>
              <w:rPr>
                <w:sz w:val="17"/>
              </w:rPr>
              <w:t>Settlement Type</w:t>
            </w:r>
          </w:p>
        </w:tc>
        <w:tc>
          <w:tcPr>
            <w:tcW w:type="dxa" w:w="1474"/>
            <w:shd w:val="clear" w:fill="F4F4F7"/>
          </w:tcPr>
          <w:p>
            <w:pPr>
              <w:spacing w:after="40" w:before="40"/>
            </w:pPr>
            <w:r/>
            <w:r>
              <w:rPr>
                <w:rFonts w:ascii="Consolas" w:hAnsi="Consolas"/>
                <w:sz w:val="17"/>
              </w:rPr>
              <w:t>H9</w:t>
            </w:r>
          </w:p>
        </w:tc>
        <w:tc>
          <w:tcPr>
            <w:tcW w:type="dxa" w:w="1474"/>
            <w:shd w:val="clear" w:fill="F4F4F7"/>
          </w:tcPr>
          <w:p>
            <w:pPr>
              <w:spacing w:after="40" w:before="40"/>
            </w:pPr>
            <w:r/>
            <w:r>
              <w:rPr>
                <w:rFonts w:ascii="Consolas" w:hAnsi="Consolas"/>
                <w:sz w:val="17"/>
              </w:rPr>
              <w:t>J9</w:t>
            </w:r>
          </w:p>
        </w:tc>
        <w:tc>
          <w:tcPr>
            <w:tcW w:type="dxa" w:w="2608"/>
            <w:shd w:val="clear" w:fill="F4F4F7"/>
          </w:tcPr>
          <w:p>
            <w:pPr>
              <w:spacing w:after="40" w:before="40"/>
            </w:pPr>
            <w:r/>
            <w:r>
              <w:rPr>
                <w:sz w:val="17"/>
              </w:rPr>
              <w:t>No</w:t>
            </w:r>
          </w:p>
        </w:tc>
      </w:tr>
      <w:tr>
        <w:tc>
          <w:tcPr>
            <w:tcW w:type="dxa" w:w="1247"/>
          </w:tcPr>
          <w:p>
            <w:pPr>
              <w:spacing w:after="40" w:before="40"/>
            </w:pPr>
            <w:r/>
            <w:r>
              <w:rPr>
                <w:rFonts w:ascii="Consolas" w:hAnsi="Consolas"/>
                <w:sz w:val="17"/>
              </w:rPr>
              <w:t>F10</w:t>
            </w:r>
          </w:p>
        </w:tc>
        <w:tc>
          <w:tcPr>
            <w:tcW w:type="dxa" w:w="2835"/>
          </w:tcPr>
          <w:p>
            <w:pPr>
              <w:spacing w:after="40" w:before="40"/>
            </w:pPr>
            <w:r/>
            <w:r>
              <w:rPr>
                <w:sz w:val="17"/>
              </w:rPr>
              <w:t>First Settlement Date</w:t>
            </w:r>
          </w:p>
        </w:tc>
        <w:tc>
          <w:tcPr>
            <w:tcW w:type="dxa" w:w="1474"/>
          </w:tcPr>
          <w:p>
            <w:pPr>
              <w:spacing w:after="40" w:before="40"/>
            </w:pPr>
            <w:r/>
            <w:r>
              <w:rPr>
                <w:rFonts w:ascii="Consolas" w:hAnsi="Consolas"/>
                <w:sz w:val="17"/>
              </w:rPr>
              <w:t>H10</w:t>
            </w:r>
          </w:p>
        </w:tc>
        <w:tc>
          <w:tcPr>
            <w:tcW w:type="dxa" w:w="1474"/>
          </w:tcPr>
          <w:p>
            <w:pPr>
              <w:spacing w:after="40" w:before="40"/>
            </w:pPr>
            <w:r/>
            <w:r>
              <w:rPr>
                <w:rFonts w:ascii="Consolas" w:hAnsi="Consolas"/>
                <w:sz w:val="17"/>
              </w:rPr>
              <w:t>J10</w:t>
            </w:r>
          </w:p>
        </w:tc>
        <w:tc>
          <w:tcPr>
            <w:tcW w:type="dxa" w:w="2608"/>
          </w:tcPr>
          <w:p>
            <w:pPr>
              <w:spacing w:after="40" w:before="40"/>
            </w:pPr>
            <w:r/>
            <w:r>
              <w:rPr>
                <w:sz w:val="17"/>
              </w:rPr>
              <w:t>No</w:t>
            </w:r>
          </w:p>
        </w:tc>
      </w:tr>
      <w:tr>
        <w:tc>
          <w:tcPr>
            <w:tcW w:type="dxa" w:w="1247"/>
            <w:shd w:val="clear" w:fill="F4F4F7"/>
          </w:tcPr>
          <w:p>
            <w:pPr>
              <w:spacing w:after="40" w:before="40"/>
            </w:pPr>
            <w:r/>
            <w:r>
              <w:rPr>
                <w:rFonts w:ascii="Consolas" w:hAnsi="Consolas"/>
                <w:sz w:val="17"/>
              </w:rPr>
              <w:t>F11</w:t>
            </w:r>
          </w:p>
        </w:tc>
        <w:tc>
          <w:tcPr>
            <w:tcW w:type="dxa" w:w="2835"/>
            <w:shd w:val="clear" w:fill="F4F4F7"/>
          </w:tcPr>
          <w:p>
            <w:pPr>
              <w:spacing w:after="40" w:before="40"/>
            </w:pPr>
            <w:r/>
            <w:r>
              <w:rPr>
                <w:sz w:val="17"/>
              </w:rPr>
              <w:t>Drawdown</w:t>
            </w:r>
          </w:p>
        </w:tc>
        <w:tc>
          <w:tcPr>
            <w:tcW w:type="dxa" w:w="1474"/>
            <w:shd w:val="clear" w:fill="F4F4F7"/>
          </w:tcPr>
          <w:p>
            <w:pPr>
              <w:spacing w:after="40" w:before="40"/>
            </w:pPr>
            <w:r/>
            <w:r>
              <w:rPr>
                <w:rFonts w:ascii="Consolas" w:hAnsi="Consolas"/>
                <w:sz w:val="17"/>
              </w:rPr>
              <w:t>H11</w:t>
            </w:r>
          </w:p>
        </w:tc>
        <w:tc>
          <w:tcPr>
            <w:tcW w:type="dxa" w:w="1474"/>
            <w:shd w:val="clear" w:fill="F4F4F7"/>
          </w:tcPr>
          <w:p>
            <w:pPr>
              <w:spacing w:after="40" w:before="40"/>
            </w:pPr>
            <w:r/>
            <w:r>
              <w:rPr>
                <w:rFonts w:ascii="Consolas" w:hAnsi="Consolas"/>
                <w:sz w:val="17"/>
              </w:rPr>
              <w:t>J11</w:t>
            </w:r>
          </w:p>
        </w:tc>
        <w:tc>
          <w:tcPr>
            <w:tcW w:type="dxa" w:w="2608"/>
            <w:shd w:val="clear" w:fill="F4F4F7"/>
          </w:tcPr>
          <w:p>
            <w:pPr>
              <w:spacing w:after="40" w:before="40"/>
            </w:pPr>
            <w:r/>
            <w:r>
              <w:rPr>
                <w:sz w:val="17"/>
              </w:rPr>
              <w:t>No</w:t>
            </w:r>
          </w:p>
        </w:tc>
      </w:tr>
    </w:tbl>
    <w:p>
      <w:pPr>
        <w:spacing w:after="80"/>
      </w:pPr>
    </w:p>
    <w:p>
      <w:pPr>
        <w:spacing w:after="240"/>
      </w:pPr>
      <w:r>
        <w:rPr>
          <w:b/>
          <w:i w:val="0"/>
        </w:rPr>
        <w:t xml:space="preserve">How it is found: </w:t>
      </w:r>
      <w:r>
        <w:rPr>
          <w:b w:val="0"/>
          <w:i w:val="0"/>
        </w:rPr>
        <w:t xml:space="preserve">the importer looks for a cell containing exactly "Name" in the first 12 rows. That cell’s column becomes the label column, and components are read from that column + 2, + 4, + 6 and so on, stopping at the first empty name. Attribute labels are matched in the label column within 14 rows below "Name". Two further labels are accepted and recommended: </w:t>
      </w:r>
      <w:r>
        <w:rPr>
          <w:rFonts w:ascii="Consolas" w:hAnsi="Consolas"/>
          <w:b w:val="0"/>
          <w:i w:val="0"/>
          <w:sz w:val="19"/>
        </w:rPr>
        <w:t>Calculation Method</w:t>
      </w:r>
      <w:r>
        <w:rPr>
          <w:b w:val="0"/>
          <w:i w:val="0"/>
        </w:rPr>
        <w:t xml:space="preserve"> and </w:t>
      </w:r>
      <w:r>
        <w:rPr>
          <w:rFonts w:ascii="Consolas" w:hAnsi="Consolas"/>
          <w:b w:val="0"/>
          <w:i w:val="0"/>
          <w:sz w:val="19"/>
        </w:rPr>
        <w:t>Index</w:t>
      </w:r>
      <w:r>
        <w:rPr>
          <w:b w:val="0"/>
          <w:i w:val="0"/>
        </w:rPr>
        <w:t>.</w:t>
      </w:r>
    </w:p>
    <w:p>
      <w:pPr>
        <w:pStyle w:val="Heading2"/>
      </w:pPr>
      <w:r>
        <w:rPr>
          <w:b w:val="0"/>
          <w:i w:val="0"/>
        </w:rPr>
        <w:t>2.4 · Cashflow table  (rows 13–15 headers, row 16 onwards data)</w:t>
      </w:r>
    </w:p>
    <w:p>
      <w:pPr>
        <w:spacing w:after="120"/>
      </w:pPr>
      <w:r>
        <w:rPr>
          <w:b w:val="0"/>
          <w:i w:val="0"/>
        </w:rPr>
        <w:t>Three header rows sit above the data. This is the part of the sheet most easily misread, so each row is described separately.</w:t>
      </w:r>
    </w:p>
    <w:tbl>
      <w:tblPr>
        <w:tblStyle w:val="TableGrid"/>
        <w:tblW w:type="auto" w:w="0"/>
        <w:jc w:val="left"/>
        <w:tblLayout w:type="fixed"/>
        <w:tblLook w:firstColumn="1" w:firstRow="1" w:lastColumn="0" w:lastRow="0" w:noHBand="0" w:noVBand="1" w:val="04A0"/>
      </w:tblPr>
      <w:tblGrid>
        <w:gridCol w:w="3324"/>
        <w:gridCol w:w="3324"/>
        <w:gridCol w:w="3324"/>
      </w:tblGrid>
      <w:tr>
        <w:tc>
          <w:tcPr>
            <w:tcW w:type="dxa" w:w="737"/>
            <w:shd w:val="clear" w:fill="431B5B"/>
          </w:tcPr>
          <w:p>
            <w:pPr>
              <w:spacing w:after="40" w:before="40"/>
            </w:pPr>
            <w:r/>
            <w:r>
              <w:rPr>
                <w:b/>
                <w:color w:val="FFFFFF"/>
                <w:sz w:val="18"/>
              </w:rPr>
              <w:t>Row</w:t>
            </w:r>
          </w:p>
        </w:tc>
        <w:tc>
          <w:tcPr>
            <w:tcW w:type="dxa" w:w="3969"/>
            <w:shd w:val="clear" w:fill="431B5B"/>
          </w:tcPr>
          <w:p>
            <w:pPr>
              <w:spacing w:after="40" w:before="40"/>
            </w:pPr>
            <w:r/>
            <w:r>
              <w:rPr>
                <w:b/>
                <w:color w:val="FFFFFF"/>
                <w:sz w:val="18"/>
              </w:rPr>
              <w:t>Purpose</w:t>
            </w:r>
          </w:p>
        </w:tc>
        <w:tc>
          <w:tcPr>
            <w:tcW w:type="dxa" w:w="4932"/>
            <w:shd w:val="clear" w:fill="431B5B"/>
          </w:tcPr>
          <w:p>
            <w:pPr>
              <w:spacing w:after="40" w:before="40"/>
            </w:pPr>
            <w:r/>
            <w:r>
              <w:rPr>
                <w:b/>
                <w:color w:val="FFFFFF"/>
                <w:sz w:val="18"/>
              </w:rPr>
              <w:t>Sample content</w:t>
            </w:r>
          </w:p>
        </w:tc>
      </w:tr>
      <w:tr>
        <w:tc>
          <w:tcPr>
            <w:tcW w:type="dxa" w:w="737"/>
          </w:tcPr>
          <w:p>
            <w:pPr>
              <w:spacing w:after="40" w:before="40"/>
            </w:pPr>
            <w:r/>
            <w:r>
              <w:rPr>
                <w:rFonts w:ascii="Consolas" w:hAnsi="Consolas"/>
                <w:sz w:val="17"/>
              </w:rPr>
              <w:t>13</w:t>
            </w:r>
          </w:p>
        </w:tc>
        <w:tc>
          <w:tcPr>
            <w:tcW w:type="dxa" w:w="3969"/>
          </w:tcPr>
          <w:p>
            <w:pPr>
              <w:spacing w:after="40" w:before="40"/>
            </w:pPr>
            <w:r/>
            <w:r>
              <w:rPr>
                <w:sz w:val="17"/>
              </w:rPr>
              <w:t>Posting-type label for each Rate/Amount group</w:t>
            </w:r>
          </w:p>
        </w:tc>
        <w:tc>
          <w:tcPr>
            <w:tcW w:type="dxa" w:w="4932"/>
          </w:tcPr>
          <w:p>
            <w:pPr>
              <w:spacing w:after="40" w:before="40"/>
            </w:pPr>
            <w:r/>
            <w:r>
              <w:rPr>
                <w:sz w:val="17"/>
              </w:rPr>
              <w:t>F13 = "Cash Fee"</w:t>
            </w:r>
          </w:p>
        </w:tc>
      </w:tr>
      <w:tr>
        <w:tc>
          <w:tcPr>
            <w:tcW w:type="dxa" w:w="737"/>
            <w:shd w:val="clear" w:fill="F4F4F7"/>
          </w:tcPr>
          <w:p>
            <w:pPr>
              <w:spacing w:after="40" w:before="40"/>
            </w:pPr>
            <w:r/>
            <w:r>
              <w:rPr>
                <w:rFonts w:ascii="Consolas" w:hAnsi="Consolas"/>
                <w:sz w:val="17"/>
              </w:rPr>
              <w:t>14</w:t>
            </w:r>
          </w:p>
        </w:tc>
        <w:tc>
          <w:tcPr>
            <w:tcW w:type="dxa" w:w="3969"/>
            <w:shd w:val="clear" w:fill="F4F4F7"/>
          </w:tcPr>
          <w:p>
            <w:pPr>
              <w:spacing w:after="40" w:before="40"/>
            </w:pPr>
            <w:r/>
            <w:r>
              <w:rPr>
                <w:sz w:val="17"/>
              </w:rPr>
              <w:t>Which component(s) each group covers</w:t>
            </w:r>
          </w:p>
        </w:tc>
        <w:tc>
          <w:tcPr>
            <w:tcW w:type="dxa" w:w="4932"/>
            <w:shd w:val="clear" w:fill="F4F4F7"/>
          </w:tcPr>
          <w:p>
            <w:pPr>
              <w:spacing w:after="40" w:before="40"/>
            </w:pPr>
            <w:r/>
            <w:r>
              <w:rPr>
                <w:sz w:val="17"/>
              </w:rPr>
              <w:t>E14 = "Balance Basis", F14 = "Commitment Fee"</w:t>
            </w:r>
          </w:p>
        </w:tc>
      </w:tr>
      <w:tr>
        <w:tc>
          <w:tcPr>
            <w:tcW w:type="dxa" w:w="737"/>
          </w:tcPr>
          <w:p>
            <w:pPr>
              <w:spacing w:after="40" w:before="40"/>
            </w:pPr>
            <w:r/>
            <w:r>
              <w:rPr>
                <w:rFonts w:ascii="Consolas" w:hAnsi="Consolas"/>
                <w:sz w:val="17"/>
              </w:rPr>
              <w:t>15</w:t>
            </w:r>
          </w:p>
        </w:tc>
        <w:tc>
          <w:tcPr>
            <w:tcW w:type="dxa" w:w="3969"/>
          </w:tcPr>
          <w:p>
            <w:pPr>
              <w:spacing w:after="40" w:before="40"/>
            </w:pPr>
            <w:r/>
            <w:r>
              <w:rPr>
                <w:sz w:val="17"/>
              </w:rPr>
              <w:t>Column headers for the data below</w:t>
            </w:r>
          </w:p>
        </w:tc>
        <w:tc>
          <w:tcPr>
            <w:tcW w:type="dxa" w:w="4932"/>
          </w:tcPr>
          <w:p>
            <w:pPr>
              <w:spacing w:after="40" w:before="40"/>
            </w:pPr>
            <w:r/>
            <w:r>
              <w:rPr>
                <w:sz w:val="17"/>
              </w:rPr>
              <w:t>See the table that follows</w:t>
            </w:r>
          </w:p>
        </w:tc>
      </w:tr>
      <w:tr>
        <w:tc>
          <w:tcPr>
            <w:tcW w:type="dxa" w:w="737"/>
            <w:shd w:val="clear" w:fill="F4F4F7"/>
          </w:tcPr>
          <w:p>
            <w:pPr>
              <w:spacing w:after="40" w:before="40"/>
            </w:pPr>
            <w:r/>
            <w:r>
              <w:rPr>
                <w:rFonts w:ascii="Consolas" w:hAnsi="Consolas"/>
                <w:sz w:val="17"/>
              </w:rPr>
              <w:t>16+</w:t>
            </w:r>
          </w:p>
        </w:tc>
        <w:tc>
          <w:tcPr>
            <w:tcW w:type="dxa" w:w="3969"/>
            <w:shd w:val="clear" w:fill="F4F4F7"/>
          </w:tcPr>
          <w:p>
            <w:pPr>
              <w:spacing w:after="40" w:before="40"/>
            </w:pPr>
            <w:r/>
            <w:r>
              <w:rPr>
                <w:sz w:val="17"/>
              </w:rPr>
              <w:t>One row per date</w:t>
            </w:r>
          </w:p>
        </w:tc>
        <w:tc>
          <w:tcPr>
            <w:tcW w:type="dxa" w:w="4932"/>
            <w:shd w:val="clear" w:fill="F4F4F7"/>
          </w:tcPr>
          <w:p>
            <w:pPr>
              <w:spacing w:after="40" w:before="40"/>
            </w:pPr>
            <w:r/>
            <w:r>
              <w:rPr>
                <w:sz w:val="17"/>
              </w:rPr>
              <w:t>Data</w:t>
            </w:r>
          </w:p>
        </w:tc>
      </w:tr>
    </w:tbl>
    <w:p>
      <w:pPr>
        <w:spacing w:after="80"/>
      </w:pPr>
    </w:p>
    <w:p>
      <w:pPr>
        <w:pStyle w:val="Heading3"/>
      </w:pPr>
      <w:r>
        <w:rPr>
          <w:b w:val="0"/>
          <w:i w:val="0"/>
        </w:rPr>
        <w:t>Row 15 — column headers</w:t>
      </w:r>
    </w:p>
    <w:tbl>
      <w:tblPr>
        <w:tblStyle w:val="TableGrid"/>
        <w:tblW w:type="auto" w:w="0"/>
        <w:jc w:val="left"/>
        <w:tblLayout w:type="fixed"/>
        <w:tblLook w:firstColumn="1" w:firstRow="1" w:lastColumn="0" w:lastRow="0" w:noHBand="0" w:noVBand="1" w:val="04A0"/>
      </w:tblPr>
      <w:tblGrid>
        <w:gridCol w:w="2493"/>
        <w:gridCol w:w="2493"/>
        <w:gridCol w:w="2493"/>
        <w:gridCol w:w="2493"/>
      </w:tblGrid>
      <w:tr>
        <w:tc>
          <w:tcPr>
            <w:tcW w:type="dxa" w:w="624"/>
            <w:shd w:val="clear" w:fill="431B5B"/>
          </w:tcPr>
          <w:p>
            <w:pPr>
              <w:spacing w:after="40" w:before="40"/>
            </w:pPr>
            <w:r/>
            <w:r>
              <w:rPr>
                <w:b/>
                <w:color w:val="FFFFFF"/>
                <w:sz w:val="18"/>
              </w:rPr>
              <w:t>Col</w:t>
            </w:r>
          </w:p>
        </w:tc>
        <w:tc>
          <w:tcPr>
            <w:tcW w:type="dxa" w:w="2041"/>
            <w:shd w:val="clear" w:fill="431B5B"/>
          </w:tcPr>
          <w:p>
            <w:pPr>
              <w:spacing w:after="40" w:before="40"/>
            </w:pPr>
            <w:r/>
            <w:r>
              <w:rPr>
                <w:b/>
                <w:color w:val="FFFFFF"/>
                <w:sz w:val="18"/>
              </w:rPr>
              <w:t>Header</w:t>
            </w:r>
          </w:p>
        </w:tc>
        <w:tc>
          <w:tcPr>
            <w:tcW w:type="dxa" w:w="1020"/>
            <w:shd w:val="clear" w:fill="431B5B"/>
          </w:tcPr>
          <w:p>
            <w:pPr>
              <w:spacing w:after="40" w:before="40"/>
            </w:pPr>
            <w:r/>
            <w:r>
              <w:rPr>
                <w:b/>
                <w:color w:val="FFFFFF"/>
                <w:sz w:val="18"/>
              </w:rPr>
              <w:t>Required</w:t>
            </w:r>
          </w:p>
        </w:tc>
        <w:tc>
          <w:tcPr>
            <w:tcW w:type="dxa" w:w="5953"/>
            <w:shd w:val="clear" w:fill="431B5B"/>
          </w:tcPr>
          <w:p>
            <w:pPr>
              <w:spacing w:after="40" w:before="40"/>
            </w:pPr>
            <w:r/>
            <w:r>
              <w:rPr>
                <w:b/>
                <w:color w:val="FFFFFF"/>
                <w:sz w:val="18"/>
              </w:rPr>
              <w:t>Notes</w:t>
            </w:r>
          </w:p>
        </w:tc>
      </w:tr>
      <w:tr>
        <w:tc>
          <w:tcPr>
            <w:tcW w:type="dxa" w:w="624"/>
          </w:tcPr>
          <w:p>
            <w:pPr>
              <w:spacing w:after="40" w:before="40"/>
            </w:pPr>
            <w:r/>
            <w:r>
              <w:rPr>
                <w:rFonts w:ascii="Consolas" w:hAnsi="Consolas"/>
                <w:sz w:val="17"/>
              </w:rPr>
              <w:t>A</w:t>
            </w:r>
          </w:p>
        </w:tc>
        <w:tc>
          <w:tcPr>
            <w:tcW w:type="dxa" w:w="2041"/>
          </w:tcPr>
          <w:p>
            <w:pPr>
              <w:spacing w:after="40" w:before="40"/>
            </w:pPr>
            <w:r/>
            <w:r>
              <w:rPr>
                <w:sz w:val="17"/>
              </w:rPr>
              <w:t>Date</w:t>
            </w:r>
          </w:p>
        </w:tc>
        <w:tc>
          <w:tcPr>
            <w:tcW w:type="dxa" w:w="1020"/>
          </w:tcPr>
          <w:p>
            <w:pPr>
              <w:spacing w:after="40" w:before="40"/>
            </w:pPr>
            <w:r/>
            <w:r>
              <w:rPr>
                <w:sz w:val="17"/>
              </w:rPr>
              <w:t>Yes</w:t>
            </w:r>
          </w:p>
        </w:tc>
        <w:tc>
          <w:tcPr>
            <w:tcW w:type="dxa" w:w="5953"/>
          </w:tcPr>
          <w:p>
            <w:pPr>
              <w:spacing w:after="40" w:before="40"/>
            </w:pPr>
            <w:r/>
            <w:r>
              <w:rPr>
                <w:sz w:val="17"/>
              </w:rPr>
              <w:t>Anchor. Identifies the header row.</w:t>
            </w:r>
          </w:p>
        </w:tc>
      </w:tr>
      <w:tr>
        <w:tc>
          <w:tcPr>
            <w:tcW w:type="dxa" w:w="624"/>
            <w:shd w:val="clear" w:fill="F4F4F7"/>
          </w:tcPr>
          <w:p>
            <w:pPr>
              <w:spacing w:after="40" w:before="40"/>
            </w:pPr>
            <w:r/>
            <w:r>
              <w:rPr>
                <w:rFonts w:ascii="Consolas" w:hAnsi="Consolas"/>
                <w:sz w:val="17"/>
              </w:rPr>
              <w:t>B</w:t>
            </w:r>
          </w:p>
        </w:tc>
        <w:tc>
          <w:tcPr>
            <w:tcW w:type="dxa" w:w="2041"/>
            <w:shd w:val="clear" w:fill="F4F4F7"/>
          </w:tcPr>
          <w:p>
            <w:pPr>
              <w:spacing w:after="40" w:before="40"/>
            </w:pPr>
            <w:r/>
            <w:r>
              <w:rPr>
                <w:sz w:val="17"/>
              </w:rPr>
              <w:t>Initial Purchase</w:t>
            </w:r>
          </w:p>
        </w:tc>
        <w:tc>
          <w:tcPr>
            <w:tcW w:type="dxa" w:w="1020"/>
            <w:shd w:val="clear" w:fill="F4F4F7"/>
          </w:tcPr>
          <w:p>
            <w:pPr>
              <w:spacing w:after="40" w:before="40"/>
            </w:pPr>
            <w:r/>
            <w:r>
              <w:rPr>
                <w:sz w:val="17"/>
              </w:rPr>
              <w:t>Yes</w:t>
            </w:r>
          </w:p>
        </w:tc>
        <w:tc>
          <w:tcPr>
            <w:tcW w:type="dxa" w:w="5953"/>
            <w:shd w:val="clear" w:fill="F4F4F7"/>
          </w:tcPr>
          <w:p>
            <w:pPr>
              <w:spacing w:after="40" w:before="40"/>
            </w:pPr>
            <w:r/>
            <w:r>
              <w:rPr>
                <w:sz w:val="17"/>
              </w:rPr>
              <w:t>Anchor. Non-zero becomes an initial-purchase event.</w:t>
            </w:r>
          </w:p>
        </w:tc>
      </w:tr>
      <w:tr>
        <w:tc>
          <w:tcPr>
            <w:tcW w:type="dxa" w:w="624"/>
          </w:tcPr>
          <w:p>
            <w:pPr>
              <w:spacing w:after="40" w:before="40"/>
            </w:pPr>
            <w:r/>
            <w:r>
              <w:rPr>
                <w:rFonts w:ascii="Consolas" w:hAnsi="Consolas"/>
                <w:sz w:val="17"/>
              </w:rPr>
              <w:t>C</w:t>
            </w:r>
          </w:p>
        </w:tc>
        <w:tc>
          <w:tcPr>
            <w:tcW w:type="dxa" w:w="2041"/>
          </w:tcPr>
          <w:p>
            <w:pPr>
              <w:spacing w:after="40" w:before="40"/>
            </w:pPr>
            <w:r/>
            <w:r>
              <w:rPr>
                <w:sz w:val="17"/>
              </w:rPr>
              <w:t>Drawdown</w:t>
            </w:r>
          </w:p>
        </w:tc>
        <w:tc>
          <w:tcPr>
            <w:tcW w:type="dxa" w:w="1020"/>
          </w:tcPr>
          <w:p>
            <w:pPr>
              <w:spacing w:after="40" w:before="40"/>
            </w:pPr>
            <w:r/>
            <w:r>
              <w:rPr>
                <w:sz w:val="17"/>
              </w:rPr>
              <w:t>No</w:t>
            </w:r>
          </w:p>
        </w:tc>
        <w:tc>
          <w:tcPr>
            <w:tcW w:type="dxa" w:w="5953"/>
          </w:tcPr>
          <w:p>
            <w:pPr>
              <w:spacing w:after="40" w:before="40"/>
            </w:pPr>
            <w:r/>
            <w:r>
              <w:rPr>
                <w:sz w:val="17"/>
              </w:rPr>
              <w:t>Non-zero becomes a drawdown event.</w:t>
            </w:r>
          </w:p>
        </w:tc>
      </w:tr>
      <w:tr>
        <w:tc>
          <w:tcPr>
            <w:tcW w:type="dxa" w:w="624"/>
            <w:shd w:val="clear" w:fill="F4F4F7"/>
          </w:tcPr>
          <w:p>
            <w:pPr>
              <w:spacing w:after="40" w:before="40"/>
            </w:pPr>
            <w:r/>
            <w:r>
              <w:rPr>
                <w:rFonts w:ascii="Consolas" w:hAnsi="Consolas"/>
                <w:sz w:val="17"/>
              </w:rPr>
              <w:t>D</w:t>
            </w:r>
          </w:p>
        </w:tc>
        <w:tc>
          <w:tcPr>
            <w:tcW w:type="dxa" w:w="2041"/>
            <w:shd w:val="clear" w:fill="F4F4F7"/>
          </w:tcPr>
          <w:p>
            <w:pPr>
              <w:spacing w:after="40" w:before="40"/>
            </w:pPr>
            <w:r/>
            <w:r>
              <w:rPr>
                <w:sz w:val="17"/>
              </w:rPr>
              <w:t>Principal Payment</w:t>
            </w:r>
          </w:p>
        </w:tc>
        <w:tc>
          <w:tcPr>
            <w:tcW w:type="dxa" w:w="1020"/>
            <w:shd w:val="clear" w:fill="F4F4F7"/>
          </w:tcPr>
          <w:p>
            <w:pPr>
              <w:spacing w:after="40" w:before="40"/>
            </w:pPr>
            <w:r/>
            <w:r>
              <w:rPr>
                <w:sz w:val="17"/>
              </w:rPr>
              <w:t>No</w:t>
            </w:r>
          </w:p>
        </w:tc>
        <w:tc>
          <w:tcPr>
            <w:tcW w:type="dxa" w:w="5953"/>
            <w:shd w:val="clear" w:fill="F4F4F7"/>
          </w:tcPr>
          <w:p>
            <w:pPr>
              <w:spacing w:after="40" w:before="40"/>
            </w:pPr>
            <w:r/>
            <w:r>
              <w:rPr>
                <w:sz w:val="17"/>
              </w:rPr>
              <w:t>Non-zero becomes a principal-payment event.</w:t>
            </w:r>
          </w:p>
        </w:tc>
      </w:tr>
      <w:tr>
        <w:tc>
          <w:tcPr>
            <w:tcW w:type="dxa" w:w="624"/>
          </w:tcPr>
          <w:p>
            <w:pPr>
              <w:spacing w:after="40" w:before="40"/>
            </w:pPr>
            <w:r/>
            <w:r>
              <w:rPr>
                <w:rFonts w:ascii="Consolas" w:hAnsi="Consolas"/>
                <w:sz w:val="17"/>
              </w:rPr>
              <w:t>E</w:t>
            </w:r>
          </w:p>
        </w:tc>
        <w:tc>
          <w:tcPr>
            <w:tcW w:type="dxa" w:w="2041"/>
          </w:tcPr>
          <w:p>
            <w:pPr>
              <w:spacing w:after="40" w:before="40"/>
            </w:pPr>
            <w:r/>
            <w:r>
              <w:rPr>
                <w:sz w:val="17"/>
              </w:rPr>
              <w:t>Unfunded Balance</w:t>
            </w:r>
          </w:p>
        </w:tc>
        <w:tc>
          <w:tcPr>
            <w:tcW w:type="dxa" w:w="1020"/>
          </w:tcPr>
          <w:p>
            <w:pPr>
              <w:spacing w:after="40" w:before="40"/>
            </w:pPr>
            <w:r/>
            <w:r>
              <w:rPr>
                <w:sz w:val="17"/>
              </w:rPr>
              <w:t>Yes</w:t>
            </w:r>
          </w:p>
        </w:tc>
        <w:tc>
          <w:tcPr>
            <w:tcW w:type="dxa" w:w="5953"/>
          </w:tcPr>
          <w:p>
            <w:pPr>
              <w:spacing w:after="40" w:before="40"/>
            </w:pPr>
            <w:r/>
            <w:r>
              <w:rPr>
                <w:sz w:val="17"/>
              </w:rPr>
              <w:t>The balance the component accrues on.</w:t>
            </w:r>
          </w:p>
        </w:tc>
      </w:tr>
      <w:tr>
        <w:tc>
          <w:tcPr>
            <w:tcW w:type="dxa" w:w="624"/>
            <w:shd w:val="clear" w:fill="F4F4F7"/>
          </w:tcPr>
          <w:p>
            <w:pPr>
              <w:spacing w:after="40" w:before="40"/>
            </w:pPr>
            <w:r/>
            <w:r>
              <w:rPr>
                <w:rFonts w:ascii="Consolas" w:hAnsi="Consolas"/>
                <w:sz w:val="17"/>
              </w:rPr>
              <w:t>F</w:t>
            </w:r>
          </w:p>
        </w:tc>
        <w:tc>
          <w:tcPr>
            <w:tcW w:type="dxa" w:w="2041"/>
            <w:shd w:val="clear" w:fill="F4F4F7"/>
          </w:tcPr>
          <w:p>
            <w:pPr>
              <w:spacing w:after="40" w:before="40"/>
            </w:pPr>
            <w:r/>
            <w:r>
              <w:rPr>
                <w:sz w:val="17"/>
              </w:rPr>
              <w:t>Rate</w:t>
            </w:r>
          </w:p>
        </w:tc>
        <w:tc>
          <w:tcPr>
            <w:tcW w:type="dxa" w:w="1020"/>
            <w:shd w:val="clear" w:fill="F4F4F7"/>
          </w:tcPr>
          <w:p>
            <w:pPr>
              <w:spacing w:after="40" w:before="40"/>
            </w:pPr>
            <w:r/>
            <w:r>
              <w:rPr>
                <w:sz w:val="17"/>
              </w:rPr>
              <w:t>Yes</w:t>
            </w:r>
          </w:p>
        </w:tc>
        <w:tc>
          <w:tcPr>
            <w:tcW w:type="dxa" w:w="5953"/>
            <w:shd w:val="clear" w:fill="F4F4F7"/>
          </w:tcPr>
          <w:p>
            <w:pPr>
              <w:spacing w:after="40" w:before="40"/>
            </w:pPr>
            <w:r/>
            <w:r>
              <w:rPr>
                <w:sz w:val="17"/>
              </w:rPr>
              <w:t>Starts a group. Must be followed immediately by Amount.</w:t>
            </w:r>
          </w:p>
        </w:tc>
      </w:tr>
      <w:tr>
        <w:tc>
          <w:tcPr>
            <w:tcW w:type="dxa" w:w="624"/>
          </w:tcPr>
          <w:p>
            <w:pPr>
              <w:spacing w:after="40" w:before="40"/>
            </w:pPr>
            <w:r/>
            <w:r>
              <w:rPr>
                <w:rFonts w:ascii="Consolas" w:hAnsi="Consolas"/>
                <w:sz w:val="17"/>
              </w:rPr>
              <w:t>G</w:t>
            </w:r>
          </w:p>
        </w:tc>
        <w:tc>
          <w:tcPr>
            <w:tcW w:type="dxa" w:w="2041"/>
          </w:tcPr>
          <w:p>
            <w:pPr>
              <w:spacing w:after="40" w:before="40"/>
            </w:pPr>
            <w:r/>
            <w:r>
              <w:rPr>
                <w:sz w:val="17"/>
              </w:rPr>
              <w:t>Amount</w:t>
            </w:r>
          </w:p>
        </w:tc>
        <w:tc>
          <w:tcPr>
            <w:tcW w:type="dxa" w:w="1020"/>
          </w:tcPr>
          <w:p>
            <w:pPr>
              <w:spacing w:after="40" w:before="40"/>
            </w:pPr>
            <w:r/>
            <w:r>
              <w:rPr>
                <w:sz w:val="17"/>
              </w:rPr>
              <w:t>Yes</w:t>
            </w:r>
          </w:p>
        </w:tc>
        <w:tc>
          <w:tcPr>
            <w:tcW w:type="dxa" w:w="5953"/>
          </w:tcPr>
          <w:p>
            <w:pPr>
              <w:spacing w:after="40" w:before="40"/>
            </w:pPr>
            <w:r/>
            <w:r>
              <w:rPr>
                <w:sz w:val="17"/>
              </w:rPr>
              <w:t>The accrual for the period. This is what PCS posts.</w:t>
            </w:r>
          </w:p>
        </w:tc>
      </w:tr>
      <w:tr>
        <w:tc>
          <w:tcPr>
            <w:tcW w:type="dxa" w:w="624"/>
            <w:shd w:val="clear" w:fill="F4F4F7"/>
          </w:tcPr>
          <w:p>
            <w:pPr>
              <w:spacing w:after="40" w:before="40"/>
            </w:pPr>
            <w:r/>
            <w:r>
              <w:rPr>
                <w:rFonts w:ascii="Consolas" w:hAnsi="Consolas"/>
                <w:sz w:val="17"/>
              </w:rPr>
              <w:t>H</w:t>
            </w:r>
          </w:p>
        </w:tc>
        <w:tc>
          <w:tcPr>
            <w:tcW w:type="dxa" w:w="2041"/>
            <w:shd w:val="clear" w:fill="F4F4F7"/>
          </w:tcPr>
          <w:p>
            <w:pPr>
              <w:spacing w:after="40" w:before="40"/>
            </w:pPr>
            <w:r/>
            <w:r>
              <w:rPr>
                <w:sz w:val="17"/>
              </w:rPr>
              <w:t>Total Cash Fee</w:t>
            </w:r>
          </w:p>
        </w:tc>
        <w:tc>
          <w:tcPr>
            <w:tcW w:type="dxa" w:w="1020"/>
            <w:shd w:val="clear" w:fill="F4F4F7"/>
          </w:tcPr>
          <w:p>
            <w:pPr>
              <w:spacing w:after="40" w:before="40"/>
            </w:pPr>
            <w:r/>
            <w:r>
              <w:rPr>
                <w:sz w:val="17"/>
              </w:rPr>
              <w:t>No</w:t>
            </w:r>
          </w:p>
        </w:tc>
        <w:tc>
          <w:tcPr>
            <w:tcW w:type="dxa" w:w="5953"/>
            <w:shd w:val="clear" w:fill="F4F4F7"/>
          </w:tcPr>
          <w:p>
            <w:pPr>
              <w:spacing w:after="40" w:before="40"/>
            </w:pPr>
            <w:r/>
            <w:r>
              <w:rPr>
                <w:sz w:val="17"/>
              </w:rPr>
              <w:t>Cash settled. Read if headed "Total Cash …".</w:t>
            </w:r>
          </w:p>
        </w:tc>
      </w:tr>
      <w:tr>
        <w:tc>
          <w:tcPr>
            <w:tcW w:type="dxa" w:w="624"/>
          </w:tcPr>
          <w:p>
            <w:pPr>
              <w:spacing w:after="40" w:before="40"/>
            </w:pPr>
            <w:r/>
            <w:r>
              <w:rPr>
                <w:rFonts w:ascii="Consolas" w:hAnsi="Consolas"/>
                <w:sz w:val="17"/>
              </w:rPr>
              <w:t>I</w:t>
            </w:r>
          </w:p>
        </w:tc>
        <w:tc>
          <w:tcPr>
            <w:tcW w:type="dxa" w:w="2041"/>
          </w:tcPr>
          <w:p>
            <w:pPr>
              <w:spacing w:after="40" w:before="40"/>
            </w:pPr>
            <w:r/>
            <w:r>
              <w:rPr>
                <w:sz w:val="17"/>
              </w:rPr>
              <w:t>Total Cash</w:t>
            </w:r>
          </w:p>
        </w:tc>
        <w:tc>
          <w:tcPr>
            <w:tcW w:type="dxa" w:w="1020"/>
          </w:tcPr>
          <w:p>
            <w:pPr>
              <w:spacing w:after="40" w:before="40"/>
            </w:pPr>
            <w:r/>
            <w:r>
              <w:rPr>
                <w:sz w:val="17"/>
              </w:rPr>
              <w:t>No</w:t>
            </w:r>
          </w:p>
        </w:tc>
        <w:tc>
          <w:tcPr>
            <w:tcW w:type="dxa" w:w="5953"/>
          </w:tcPr>
          <w:p>
            <w:pPr>
              <w:spacing w:after="40" w:before="40"/>
            </w:pPr>
            <w:r/>
            <w:r>
              <w:rPr>
                <w:sz w:val="17"/>
              </w:rPr>
              <w:t>Ignored — a spreadsheet total.</w:t>
            </w:r>
          </w:p>
        </w:tc>
      </w:tr>
      <w:tr>
        <w:tc>
          <w:tcPr>
            <w:tcW w:type="dxa" w:w="624"/>
            <w:shd w:val="clear" w:fill="F4F4F7"/>
          </w:tcPr>
          <w:p>
            <w:pPr>
              <w:spacing w:after="40" w:before="40"/>
            </w:pPr>
            <w:r/>
            <w:r>
              <w:rPr>
                <w:rFonts w:ascii="Consolas" w:hAnsi="Consolas"/>
                <w:sz w:val="17"/>
              </w:rPr>
              <w:t>J</w:t>
            </w:r>
          </w:p>
        </w:tc>
        <w:tc>
          <w:tcPr>
            <w:tcW w:type="dxa" w:w="2041"/>
            <w:shd w:val="clear" w:fill="F4F4F7"/>
          </w:tcPr>
          <w:p>
            <w:pPr>
              <w:spacing w:after="40" w:before="40"/>
            </w:pPr>
            <w:r/>
            <w:r>
              <w:rPr>
                <w:sz w:val="17"/>
              </w:rPr>
              <w:t>Total</w:t>
            </w:r>
          </w:p>
        </w:tc>
        <w:tc>
          <w:tcPr>
            <w:tcW w:type="dxa" w:w="1020"/>
            <w:shd w:val="clear" w:fill="F4F4F7"/>
          </w:tcPr>
          <w:p>
            <w:pPr>
              <w:spacing w:after="40" w:before="40"/>
            </w:pPr>
            <w:r/>
            <w:r>
              <w:rPr>
                <w:sz w:val="17"/>
              </w:rPr>
              <w:t>No</w:t>
            </w:r>
          </w:p>
        </w:tc>
        <w:tc>
          <w:tcPr>
            <w:tcW w:type="dxa" w:w="5953"/>
            <w:shd w:val="clear" w:fill="F4F4F7"/>
          </w:tcPr>
          <w:p>
            <w:pPr>
              <w:spacing w:after="40" w:before="40"/>
            </w:pPr>
            <w:r/>
            <w:r>
              <w:rPr>
                <w:sz w:val="17"/>
              </w:rPr>
              <w:t>Ignored — a spreadsheet total.</w:t>
            </w:r>
          </w:p>
        </w:tc>
      </w:tr>
    </w:tbl>
    <w:p>
      <w:pPr>
        <w:spacing w:after="80"/>
      </w:pPr>
    </w:p>
    <w:p>
      <w:pPr>
        <w:spacing w:after="240"/>
      </w:pPr>
      <w:r>
        <w:rPr>
          <w:b/>
          <w:i w:val="0"/>
        </w:rPr>
        <w:t xml:space="preserve">How groups are found: </w:t>
      </w:r>
      <w:r>
        <w:rPr>
          <w:b w:val="0"/>
          <w:i w:val="0"/>
        </w:rPr>
        <w:t>every column headed "Rate" begins a group and must have "Amount" immediately to its right. The group’s posting type is taken from the nearest non-empty cell at or to the left of the Rate column, two rows above the header. Its component membership comes from the same position one row above. A cell reading "Balance Basis" is treated as a label, not a member.</w:t>
      </w:r>
    </w:p>
    <w:tbl>
      <w:tblPr>
        <w:tblStyle w:val="TableGrid"/>
        <w:tblW w:type="auto" w:w="0"/>
        <w:tblLook w:firstColumn="1" w:firstRow="1" w:lastColumn="0" w:lastRow="0" w:noHBand="0" w:noVBand="1" w:val="04A0"/>
      </w:tblPr>
      <w:tblGrid>
        <w:gridCol w:w="9972"/>
      </w:tblGrid>
      <w:tr>
        <w:tc>
          <w:tcPr>
            <w:tcW w:type="dxa" w:w="9638"/>
            <w:shd w:val="clear" w:fill="FDECEC"/>
          </w:tcPr>
          <w:p>
            <w:pPr>
              <w:spacing w:after="40"/>
            </w:pPr>
            <w:r/>
            <w:r>
              <w:rPr>
                <w:b/>
                <w:sz w:val="19"/>
              </w:rPr>
              <w:t>One Rate/Amount pair must cover exactly one component</w:t>
            </w:r>
          </w:p>
          <w:p>
            <w:pPr>
              <w:spacing w:after="40"/>
            </w:pPr>
            <w:r>
              <w:rPr>
                <w:sz w:val="19"/>
              </w:rPr>
              <w:t>In the sample tranche sheet a single pair is labelled "20 Year Fixed, Monthly SONIA" — two components sharing one rate and one amount. The workbook gives no way to say how the amount splits between them, so PCS imports it as one combined line and flags it. Combined lines cannot be reported or reconciled per component. Please emit a separate Rate/Amount pair for every component.</w:t>
            </w:r>
          </w:p>
        </w:tc>
      </w:tr>
    </w:tbl>
    <w:p>
      <w:pPr>
        <w:spacing w:after="80"/>
      </w:pPr>
    </w:p>
    <w:p>
      <w:r>
        <w:br w:type="page"/>
      </w:r>
    </w:p>
    <w:p>
      <w:pPr>
        <w:pStyle w:val="Heading1"/>
      </w:pPr>
      <w:r>
        <w:rPr>
          <w:b w:val="0"/>
          <w:i w:val="0"/>
        </w:rPr>
        <w:t>3 · Tranche sheets — one per tranche</w:t>
      </w:r>
    </w:p>
    <w:p>
      <w:pPr>
        <w:spacing w:after="200"/>
      </w:pPr>
      <w:r>
        <w:rPr>
          <w:b w:val="0"/>
          <w:i w:val="0"/>
        </w:rPr>
        <w:t>A tranche sheet has the same four blocks as the facility sheet, in the same order, with the differences below. Anything not mentioned here behaves exactly as in section 2.</w:t>
      </w:r>
    </w:p>
    <w:p>
      <w:pPr>
        <w:pStyle w:val="Heading2"/>
      </w:pPr>
      <w:r>
        <w:rPr>
          <w:b w:val="0"/>
          <w:i w:val="0"/>
        </w:rPr>
        <w:t>3.1 · Tranche header  (A2:B8)</w:t>
      </w:r>
    </w:p>
    <w:tbl>
      <w:tblPr>
        <w:tblStyle w:val="TableGrid"/>
        <w:tblW w:type="auto" w:w="0"/>
        <w:jc w:val="left"/>
        <w:tblLayout w:type="fixed"/>
        <w:tblLook w:firstColumn="1" w:firstRow="1" w:lastColumn="0" w:lastRow="0" w:noHBand="0" w:noVBand="1" w:val="04A0"/>
      </w:tblPr>
      <w:tblGrid>
        <w:gridCol w:w="1994"/>
        <w:gridCol w:w="1994"/>
        <w:gridCol w:w="1994"/>
        <w:gridCol w:w="1994"/>
        <w:gridCol w:w="1994"/>
      </w:tblGrid>
      <w:tr>
        <w:tc>
          <w:tcPr>
            <w:tcW w:type="dxa" w:w="1247"/>
            <w:shd w:val="clear" w:fill="431B5B"/>
          </w:tcPr>
          <w:p>
            <w:pPr>
              <w:spacing w:after="40" w:before="40"/>
            </w:pPr>
            <w:r/>
            <w:r>
              <w:rPr>
                <w:b/>
                <w:color w:val="FFFFFF"/>
                <w:sz w:val="18"/>
              </w:rPr>
              <w:t>Cell</w:t>
            </w:r>
          </w:p>
        </w:tc>
        <w:tc>
          <w:tcPr>
            <w:tcW w:type="dxa" w:w="2948"/>
            <w:shd w:val="clear" w:fill="431B5B"/>
          </w:tcPr>
          <w:p>
            <w:pPr>
              <w:spacing w:after="40" w:before="40"/>
            </w:pPr>
            <w:r/>
            <w:r>
              <w:rPr>
                <w:b/>
                <w:color w:val="FFFFFF"/>
                <w:sz w:val="18"/>
              </w:rPr>
              <w:t>Label</w:t>
            </w:r>
          </w:p>
        </w:tc>
        <w:tc>
          <w:tcPr>
            <w:tcW w:type="dxa" w:w="1020"/>
            <w:shd w:val="clear" w:fill="431B5B"/>
          </w:tcPr>
          <w:p>
            <w:pPr>
              <w:spacing w:after="40" w:before="40"/>
            </w:pPr>
            <w:r/>
            <w:r>
              <w:rPr>
                <w:b/>
                <w:color w:val="FFFFFF"/>
                <w:sz w:val="18"/>
              </w:rPr>
              <w:t>Value</w:t>
            </w:r>
          </w:p>
        </w:tc>
        <w:tc>
          <w:tcPr>
            <w:tcW w:type="dxa" w:w="1020"/>
            <w:shd w:val="clear" w:fill="431B5B"/>
          </w:tcPr>
          <w:p>
            <w:pPr>
              <w:spacing w:after="40" w:before="40"/>
            </w:pPr>
            <w:r/>
            <w:r>
              <w:rPr>
                <w:b/>
                <w:color w:val="FFFFFF"/>
                <w:sz w:val="18"/>
              </w:rPr>
              <w:t>Required</w:t>
            </w:r>
          </w:p>
        </w:tc>
        <w:tc>
          <w:tcPr>
            <w:tcW w:type="dxa" w:w="3402"/>
            <w:shd w:val="clear" w:fill="431B5B"/>
          </w:tcPr>
          <w:p>
            <w:pPr>
              <w:spacing w:after="40" w:before="40"/>
            </w:pPr>
            <w:r/>
            <w:r>
              <w:rPr>
                <w:b/>
                <w:color w:val="FFFFFF"/>
                <w:sz w:val="18"/>
              </w:rPr>
              <w:t>Notes</w:t>
            </w:r>
          </w:p>
        </w:tc>
      </w:tr>
      <w:tr>
        <w:tc>
          <w:tcPr>
            <w:tcW w:type="dxa" w:w="1247"/>
          </w:tcPr>
          <w:p>
            <w:pPr>
              <w:spacing w:after="40" w:before="40"/>
            </w:pPr>
            <w:r/>
            <w:r>
              <w:rPr>
                <w:rFonts w:ascii="Consolas" w:hAnsi="Consolas"/>
                <w:sz w:val="17"/>
              </w:rPr>
              <w:t>A2:A7</w:t>
            </w:r>
          </w:p>
        </w:tc>
        <w:tc>
          <w:tcPr>
            <w:tcW w:type="dxa" w:w="2948"/>
          </w:tcPr>
          <w:p>
            <w:pPr>
              <w:spacing w:after="40" w:before="40"/>
            </w:pPr>
            <w:r/>
            <w:r>
              <w:rPr>
                <w:sz w:val="17"/>
              </w:rPr>
              <w:t>As per the facility header</w:t>
            </w:r>
          </w:p>
        </w:tc>
        <w:tc>
          <w:tcPr>
            <w:tcW w:type="dxa" w:w="1020"/>
          </w:tcPr>
          <w:p>
            <w:pPr>
              <w:spacing w:after="40" w:before="40"/>
            </w:pPr>
            <w:r/>
            <w:r>
              <w:rPr>
                <w:rFonts w:ascii="Consolas" w:hAnsi="Consolas"/>
                <w:sz w:val="17"/>
              </w:rPr>
              <w:t>B2:B7</w:t>
            </w:r>
          </w:p>
        </w:tc>
        <w:tc>
          <w:tcPr>
            <w:tcW w:type="dxa" w:w="1020"/>
          </w:tcPr>
          <w:p>
            <w:pPr>
              <w:spacing w:after="40" w:before="40"/>
            </w:pPr>
            <w:r/>
            <w:r>
              <w:rPr>
                <w:sz w:val="17"/>
              </w:rPr>
              <w:t>Yes</w:t>
            </w:r>
          </w:p>
        </w:tc>
        <w:tc>
          <w:tcPr>
            <w:tcW w:type="dxa" w:w="3402"/>
          </w:tcPr>
          <w:p>
            <w:pPr>
              <w:spacing w:after="40" w:before="40"/>
            </w:pPr>
            <w:r/>
            <w:r>
              <w:rPr>
                <w:sz w:val="17"/>
              </w:rPr>
              <w:t>Same labels, same rules.</w:t>
            </w:r>
          </w:p>
        </w:tc>
      </w:tr>
      <w:tr>
        <w:tc>
          <w:tcPr>
            <w:tcW w:type="dxa" w:w="1247"/>
            <w:shd w:val="clear" w:fill="F4F4F7"/>
          </w:tcPr>
          <w:p>
            <w:pPr>
              <w:spacing w:after="40" w:before="40"/>
            </w:pPr>
            <w:r/>
            <w:r>
              <w:rPr>
                <w:rFonts w:ascii="Consolas" w:hAnsi="Consolas"/>
                <w:sz w:val="17"/>
              </w:rPr>
              <w:t>A8</w:t>
            </w:r>
          </w:p>
        </w:tc>
        <w:tc>
          <w:tcPr>
            <w:tcW w:type="dxa" w:w="2948"/>
            <w:shd w:val="clear" w:fill="F4F4F7"/>
          </w:tcPr>
          <w:p>
            <w:pPr>
              <w:spacing w:after="40" w:before="40"/>
            </w:pPr>
            <w:r/>
            <w:r>
              <w:rPr>
                <w:sz w:val="17"/>
              </w:rPr>
              <w:t>Tranche Name</w:t>
            </w:r>
          </w:p>
        </w:tc>
        <w:tc>
          <w:tcPr>
            <w:tcW w:type="dxa" w:w="1020"/>
            <w:shd w:val="clear" w:fill="F4F4F7"/>
          </w:tcPr>
          <w:p>
            <w:pPr>
              <w:spacing w:after="40" w:before="40"/>
            </w:pPr>
            <w:r/>
            <w:r>
              <w:rPr>
                <w:rFonts w:ascii="Consolas" w:hAnsi="Consolas"/>
                <w:sz w:val="17"/>
              </w:rPr>
              <w:t>B8</w:t>
            </w:r>
          </w:p>
        </w:tc>
        <w:tc>
          <w:tcPr>
            <w:tcW w:type="dxa" w:w="1020"/>
            <w:shd w:val="clear" w:fill="F4F4F7"/>
          </w:tcPr>
          <w:p>
            <w:pPr>
              <w:spacing w:after="40" w:before="40"/>
            </w:pPr>
            <w:r/>
            <w:r>
              <w:rPr>
                <w:sz w:val="17"/>
              </w:rPr>
              <w:t>Yes</w:t>
            </w:r>
          </w:p>
        </w:tc>
        <w:tc>
          <w:tcPr>
            <w:tcW w:type="dxa" w:w="3402"/>
            <w:shd w:val="clear" w:fill="F4F4F7"/>
          </w:tcPr>
          <w:p>
            <w:pPr>
              <w:spacing w:after="40" w:before="40"/>
            </w:pPr>
            <w:r/>
            <w:r>
              <w:rPr>
                <w:sz w:val="17"/>
              </w:rPr>
              <w:t>A human-readable name. See the note below.</w:t>
            </w:r>
          </w:p>
        </w:tc>
      </w:tr>
    </w:tbl>
    <w:p>
      <w:pPr>
        <w:spacing w:after="80"/>
      </w:pPr>
    </w:p>
    <w:tbl>
      <w:tblPr>
        <w:tblStyle w:val="TableGrid"/>
        <w:tblW w:type="auto" w:w="0"/>
        <w:tblLook w:firstColumn="1" w:firstRow="1" w:lastColumn="0" w:lastRow="0" w:noHBand="0" w:noVBand="1" w:val="04A0"/>
      </w:tblPr>
      <w:tblGrid>
        <w:gridCol w:w="9972"/>
      </w:tblGrid>
      <w:tr>
        <w:tc>
          <w:tcPr>
            <w:tcW w:type="dxa" w:w="9638"/>
            <w:shd w:val="clear" w:fill="FFF8E6"/>
          </w:tcPr>
          <w:p>
            <w:pPr>
              <w:spacing w:after="40"/>
            </w:pPr>
            <w:r/>
            <w:r>
              <w:rPr>
                <w:b/>
                <w:sz w:val="19"/>
              </w:rPr>
              <w:t>Tranche Name currently holds a date</w:t>
            </w:r>
          </w:p>
          <w:p>
            <w:pPr>
              <w:spacing w:after="40"/>
            </w:pPr>
            <w:r>
              <w:rPr>
                <w:sz w:val="19"/>
              </w:rPr>
              <w:t>In the sample, B8 contains 2026-01-04 rather than a name. PCS falls back to the worksheet name, keeps the date as a candidate tranche start date, and warns. Please put a name here. If that date is in fact the tranche start date, it needs its own labelled row.</w:t>
            </w:r>
          </w:p>
        </w:tc>
      </w:tr>
    </w:tbl>
    <w:p>
      <w:pPr>
        <w:spacing w:after="80"/>
      </w:pPr>
    </w:p>
    <w:p>
      <w:pPr>
        <w:pStyle w:val="Heading2"/>
      </w:pPr>
      <w:r>
        <w:rPr>
          <w:b w:val="0"/>
          <w:i w:val="0"/>
        </w:rPr>
        <w:t>3.2 · Tranche commitment  (D2:E3)</w:t>
      </w:r>
    </w:p>
    <w:p>
      <w:pPr>
        <w:spacing w:after="200"/>
      </w:pPr>
      <w:r>
        <w:rPr>
          <w:b w:val="0"/>
          <w:i w:val="0"/>
        </w:rPr>
        <w:t>Same two-column shape as the facility commitment schedule. On a tranche sheet the first row is taken as the tranche commitment, and its effective date as the tranche start date.</w:t>
      </w:r>
    </w:p>
    <w:p>
      <w:pPr>
        <w:pStyle w:val="Heading2"/>
      </w:pPr>
      <w:r>
        <w:rPr>
          <w:b w:val="0"/>
          <w:i w:val="0"/>
        </w:rPr>
        <w:t>3.3 · Component definitions  (H2 downwards, values from column J)</w:t>
      </w:r>
    </w:p>
    <w:p>
      <w:pPr>
        <w:spacing w:after="120"/>
      </w:pPr>
      <w:r>
        <w:rPr>
          <w:b w:val="0"/>
          <w:i w:val="0"/>
        </w:rPr>
        <w:t>Identical in structure to the facility sheet, but shifted right: the label column is H and the components sit in J, L, N and onwards. Because the importer locates the block by searching for "Name", this shift needs no configuration — but the two-column step between components must be preserved.</w:t>
      </w:r>
    </w:p>
    <w:tbl>
      <w:tblPr>
        <w:tblStyle w:val="TableGrid"/>
        <w:tblW w:type="auto" w:w="0"/>
        <w:jc w:val="left"/>
        <w:tblLayout w:type="fixed"/>
        <w:tblLook w:firstColumn="1" w:firstRow="1" w:lastColumn="0" w:lastRow="0" w:noHBand="0" w:noVBand="1" w:val="04A0"/>
      </w:tblPr>
      <w:tblGrid>
        <w:gridCol w:w="1994"/>
        <w:gridCol w:w="1994"/>
        <w:gridCol w:w="1994"/>
        <w:gridCol w:w="1994"/>
        <w:gridCol w:w="1994"/>
      </w:tblGrid>
      <w:tr>
        <w:tc>
          <w:tcPr>
            <w:tcW w:type="dxa" w:w="1247"/>
            <w:shd w:val="clear" w:fill="431B5B"/>
          </w:tcPr>
          <w:p>
            <w:pPr>
              <w:spacing w:after="40" w:before="40"/>
            </w:pPr>
            <w:r/>
            <w:r>
              <w:rPr>
                <w:b/>
                <w:color w:val="FFFFFF"/>
                <w:sz w:val="18"/>
              </w:rPr>
              <w:t>Label cell</w:t>
            </w:r>
          </w:p>
        </w:tc>
        <w:tc>
          <w:tcPr>
            <w:tcW w:type="dxa" w:w="2835"/>
            <w:shd w:val="clear" w:fill="431B5B"/>
          </w:tcPr>
          <w:p>
            <w:pPr>
              <w:spacing w:after="40" w:before="40"/>
            </w:pPr>
            <w:r/>
            <w:r>
              <w:rPr>
                <w:b/>
                <w:color w:val="FFFFFF"/>
                <w:sz w:val="18"/>
              </w:rPr>
              <w:t>Label</w:t>
            </w:r>
          </w:p>
        </w:tc>
        <w:tc>
          <w:tcPr>
            <w:tcW w:type="dxa" w:w="1587"/>
            <w:shd w:val="clear" w:fill="431B5B"/>
          </w:tcPr>
          <w:p>
            <w:pPr>
              <w:spacing w:after="40" w:before="40"/>
            </w:pPr>
            <w:r/>
            <w:r>
              <w:rPr>
                <w:b/>
                <w:color w:val="FFFFFF"/>
                <w:sz w:val="18"/>
              </w:rPr>
              <w:t>Component 1</w:t>
            </w:r>
          </w:p>
        </w:tc>
        <w:tc>
          <w:tcPr>
            <w:tcW w:type="dxa" w:w="1587"/>
            <w:shd w:val="clear" w:fill="431B5B"/>
          </w:tcPr>
          <w:p>
            <w:pPr>
              <w:spacing w:after="40" w:before="40"/>
            </w:pPr>
            <w:r/>
            <w:r>
              <w:rPr>
                <w:b/>
                <w:color w:val="FFFFFF"/>
                <w:sz w:val="18"/>
              </w:rPr>
              <w:t>Component 2</w:t>
            </w:r>
          </w:p>
        </w:tc>
        <w:tc>
          <w:tcPr>
            <w:tcW w:type="dxa" w:w="2381"/>
            <w:shd w:val="clear" w:fill="431B5B"/>
          </w:tcPr>
          <w:p>
            <w:pPr>
              <w:spacing w:after="40" w:before="40"/>
            </w:pPr>
            <w:r/>
            <w:r>
              <w:rPr>
                <w:b/>
                <w:color w:val="FFFFFF"/>
                <w:sz w:val="18"/>
              </w:rPr>
              <w:t>Component 3</w:t>
            </w:r>
          </w:p>
        </w:tc>
      </w:tr>
      <w:tr>
        <w:tc>
          <w:tcPr>
            <w:tcW w:type="dxa" w:w="1247"/>
          </w:tcPr>
          <w:p>
            <w:pPr>
              <w:spacing w:after="40" w:before="40"/>
            </w:pPr>
            <w:r/>
            <w:r>
              <w:rPr>
                <w:rFonts w:ascii="Consolas" w:hAnsi="Consolas"/>
                <w:sz w:val="17"/>
              </w:rPr>
              <w:t>H2</w:t>
            </w:r>
          </w:p>
        </w:tc>
        <w:tc>
          <w:tcPr>
            <w:tcW w:type="dxa" w:w="2835"/>
          </w:tcPr>
          <w:p>
            <w:pPr>
              <w:spacing w:after="40" w:before="40"/>
            </w:pPr>
            <w:r/>
            <w:r>
              <w:rPr>
                <w:sz w:val="17"/>
              </w:rPr>
              <w:t>Name</w:t>
            </w:r>
          </w:p>
        </w:tc>
        <w:tc>
          <w:tcPr>
            <w:tcW w:type="dxa" w:w="1587"/>
          </w:tcPr>
          <w:p>
            <w:pPr>
              <w:spacing w:after="40" w:before="40"/>
            </w:pPr>
            <w:r/>
            <w:r>
              <w:rPr>
                <w:rFonts w:ascii="Consolas" w:hAnsi="Consolas"/>
                <w:sz w:val="17"/>
              </w:rPr>
              <w:t>J2</w:t>
            </w:r>
          </w:p>
        </w:tc>
        <w:tc>
          <w:tcPr>
            <w:tcW w:type="dxa" w:w="1587"/>
          </w:tcPr>
          <w:p>
            <w:pPr>
              <w:spacing w:after="40" w:before="40"/>
            </w:pPr>
            <w:r/>
            <w:r>
              <w:rPr>
                <w:rFonts w:ascii="Consolas" w:hAnsi="Consolas"/>
                <w:sz w:val="17"/>
              </w:rPr>
              <w:t>L2</w:t>
            </w:r>
          </w:p>
        </w:tc>
        <w:tc>
          <w:tcPr>
            <w:tcW w:type="dxa" w:w="2381"/>
          </w:tcPr>
          <w:p>
            <w:pPr>
              <w:spacing w:after="40" w:before="40"/>
            </w:pPr>
            <w:r/>
            <w:r>
              <w:rPr>
                <w:rFonts w:ascii="Consolas" w:hAnsi="Consolas"/>
                <w:sz w:val="17"/>
              </w:rPr>
              <w:t>N2</w:t>
            </w:r>
          </w:p>
        </w:tc>
      </w:tr>
      <w:tr>
        <w:tc>
          <w:tcPr>
            <w:tcW w:type="dxa" w:w="1247"/>
            <w:shd w:val="clear" w:fill="F4F4F7"/>
          </w:tcPr>
          <w:p>
            <w:pPr>
              <w:spacing w:after="40" w:before="40"/>
            </w:pPr>
            <w:r/>
            <w:r>
              <w:rPr>
                <w:rFonts w:ascii="Consolas" w:hAnsi="Consolas"/>
                <w:sz w:val="17"/>
              </w:rPr>
              <w:t>H3</w:t>
            </w:r>
          </w:p>
        </w:tc>
        <w:tc>
          <w:tcPr>
            <w:tcW w:type="dxa" w:w="2835"/>
            <w:shd w:val="clear" w:fill="F4F4F7"/>
          </w:tcPr>
          <w:p>
            <w:pPr>
              <w:spacing w:after="40" w:before="40"/>
            </w:pPr>
            <w:r/>
            <w:r>
              <w:rPr>
                <w:sz w:val="17"/>
              </w:rPr>
              <w:t>Posting Type</w:t>
            </w:r>
          </w:p>
        </w:tc>
        <w:tc>
          <w:tcPr>
            <w:tcW w:type="dxa" w:w="1587"/>
            <w:shd w:val="clear" w:fill="F4F4F7"/>
          </w:tcPr>
          <w:p>
            <w:pPr>
              <w:spacing w:after="40" w:before="40"/>
            </w:pPr>
            <w:r/>
            <w:r>
              <w:rPr>
                <w:rFonts w:ascii="Consolas" w:hAnsi="Consolas"/>
                <w:sz w:val="17"/>
              </w:rPr>
              <w:t>J3</w:t>
            </w:r>
          </w:p>
        </w:tc>
        <w:tc>
          <w:tcPr>
            <w:tcW w:type="dxa" w:w="1587"/>
            <w:shd w:val="clear" w:fill="F4F4F7"/>
          </w:tcPr>
          <w:p>
            <w:pPr>
              <w:spacing w:after="40" w:before="40"/>
            </w:pPr>
            <w:r/>
            <w:r>
              <w:rPr>
                <w:rFonts w:ascii="Consolas" w:hAnsi="Consolas"/>
                <w:sz w:val="17"/>
              </w:rPr>
              <w:t>L3</w:t>
            </w:r>
          </w:p>
        </w:tc>
        <w:tc>
          <w:tcPr>
            <w:tcW w:type="dxa" w:w="2381"/>
            <w:shd w:val="clear" w:fill="F4F4F7"/>
          </w:tcPr>
          <w:p>
            <w:pPr>
              <w:spacing w:after="40" w:before="40"/>
            </w:pPr>
            <w:r/>
            <w:r>
              <w:rPr>
                <w:rFonts w:ascii="Consolas" w:hAnsi="Consolas"/>
                <w:sz w:val="17"/>
              </w:rPr>
              <w:t>N3</w:t>
            </w:r>
          </w:p>
        </w:tc>
      </w:tr>
      <w:tr>
        <w:tc>
          <w:tcPr>
            <w:tcW w:type="dxa" w:w="1247"/>
          </w:tcPr>
          <w:p>
            <w:pPr>
              <w:spacing w:after="40" w:before="40"/>
            </w:pPr>
            <w:r/>
            <w:r>
              <w:rPr>
                <w:rFonts w:ascii="Consolas" w:hAnsi="Consolas"/>
                <w:sz w:val="17"/>
              </w:rPr>
              <w:t>H4</w:t>
            </w:r>
          </w:p>
        </w:tc>
        <w:tc>
          <w:tcPr>
            <w:tcW w:type="dxa" w:w="2835"/>
          </w:tcPr>
          <w:p>
            <w:pPr>
              <w:spacing w:after="40" w:before="40"/>
            </w:pPr>
            <w:r/>
            <w:r>
              <w:rPr>
                <w:sz w:val="17"/>
              </w:rPr>
              <w:t>Calculation Basis</w:t>
            </w:r>
          </w:p>
        </w:tc>
        <w:tc>
          <w:tcPr>
            <w:tcW w:type="dxa" w:w="1587"/>
          </w:tcPr>
          <w:p>
            <w:pPr>
              <w:spacing w:after="40" w:before="40"/>
            </w:pPr>
            <w:r/>
            <w:r>
              <w:rPr>
                <w:rFonts w:ascii="Consolas" w:hAnsi="Consolas"/>
                <w:sz w:val="17"/>
              </w:rPr>
              <w:t>J4</w:t>
            </w:r>
          </w:p>
        </w:tc>
        <w:tc>
          <w:tcPr>
            <w:tcW w:type="dxa" w:w="1587"/>
          </w:tcPr>
          <w:p>
            <w:pPr>
              <w:spacing w:after="40" w:before="40"/>
            </w:pPr>
            <w:r/>
            <w:r>
              <w:rPr>
                <w:rFonts w:ascii="Consolas" w:hAnsi="Consolas"/>
                <w:sz w:val="17"/>
              </w:rPr>
              <w:t>L4</w:t>
            </w:r>
          </w:p>
        </w:tc>
        <w:tc>
          <w:tcPr>
            <w:tcW w:type="dxa" w:w="2381"/>
          </w:tcPr>
          <w:p>
            <w:pPr>
              <w:spacing w:after="40" w:before="40"/>
            </w:pPr>
            <w:r/>
            <w:r>
              <w:rPr>
                <w:rFonts w:ascii="Consolas" w:hAnsi="Consolas"/>
                <w:sz w:val="17"/>
              </w:rPr>
              <w:t>N4</w:t>
            </w:r>
          </w:p>
        </w:tc>
      </w:tr>
      <w:tr>
        <w:tc>
          <w:tcPr>
            <w:tcW w:type="dxa" w:w="1247"/>
            <w:shd w:val="clear" w:fill="F4F4F7"/>
          </w:tcPr>
          <w:p>
            <w:pPr>
              <w:spacing w:after="40" w:before="40"/>
            </w:pPr>
            <w:r/>
            <w:r>
              <w:rPr>
                <w:rFonts w:ascii="Consolas" w:hAnsi="Consolas"/>
                <w:sz w:val="17"/>
              </w:rPr>
              <w:t>H5</w:t>
            </w:r>
          </w:p>
        </w:tc>
        <w:tc>
          <w:tcPr>
            <w:tcW w:type="dxa" w:w="2835"/>
            <w:shd w:val="clear" w:fill="F4F4F7"/>
          </w:tcPr>
          <w:p>
            <w:pPr>
              <w:spacing w:after="40" w:before="40"/>
            </w:pPr>
            <w:r/>
            <w:r>
              <w:rPr>
                <w:sz w:val="17"/>
              </w:rPr>
              <w:t>Interest Rate Structure</w:t>
            </w:r>
          </w:p>
        </w:tc>
        <w:tc>
          <w:tcPr>
            <w:tcW w:type="dxa" w:w="1587"/>
            <w:shd w:val="clear" w:fill="F4F4F7"/>
          </w:tcPr>
          <w:p>
            <w:pPr>
              <w:spacing w:after="40" w:before="40"/>
            </w:pPr>
            <w:r/>
            <w:r>
              <w:rPr>
                <w:rFonts w:ascii="Consolas" w:hAnsi="Consolas"/>
                <w:sz w:val="17"/>
              </w:rPr>
              <w:t>J5</w:t>
            </w:r>
          </w:p>
        </w:tc>
        <w:tc>
          <w:tcPr>
            <w:tcW w:type="dxa" w:w="1587"/>
            <w:shd w:val="clear" w:fill="F4F4F7"/>
          </w:tcPr>
          <w:p>
            <w:pPr>
              <w:spacing w:after="40" w:before="40"/>
            </w:pPr>
            <w:r/>
            <w:r>
              <w:rPr>
                <w:rFonts w:ascii="Consolas" w:hAnsi="Consolas"/>
                <w:sz w:val="17"/>
              </w:rPr>
              <w:t>L5</w:t>
            </w:r>
          </w:p>
        </w:tc>
        <w:tc>
          <w:tcPr>
            <w:tcW w:type="dxa" w:w="2381"/>
            <w:shd w:val="clear" w:fill="F4F4F7"/>
          </w:tcPr>
          <w:p>
            <w:pPr>
              <w:spacing w:after="40" w:before="40"/>
            </w:pPr>
            <w:r/>
            <w:r>
              <w:rPr>
                <w:rFonts w:ascii="Consolas" w:hAnsi="Consolas"/>
                <w:sz w:val="17"/>
              </w:rPr>
              <w:t>N5</w:t>
            </w:r>
          </w:p>
        </w:tc>
      </w:tr>
      <w:tr>
        <w:tc>
          <w:tcPr>
            <w:tcW w:type="dxa" w:w="1247"/>
          </w:tcPr>
          <w:p>
            <w:pPr>
              <w:spacing w:after="40" w:before="40"/>
            </w:pPr>
            <w:r/>
            <w:r>
              <w:rPr>
                <w:rFonts w:ascii="Consolas" w:hAnsi="Consolas"/>
                <w:sz w:val="17"/>
              </w:rPr>
              <w:t>H6</w:t>
            </w:r>
          </w:p>
        </w:tc>
        <w:tc>
          <w:tcPr>
            <w:tcW w:type="dxa" w:w="2835"/>
          </w:tcPr>
          <w:p>
            <w:pPr>
              <w:spacing w:after="40" w:before="40"/>
            </w:pPr>
            <w:r/>
            <w:r>
              <w:rPr>
                <w:sz w:val="17"/>
              </w:rPr>
              <w:t>Interest Rate</w:t>
            </w:r>
          </w:p>
        </w:tc>
        <w:tc>
          <w:tcPr>
            <w:tcW w:type="dxa" w:w="1587"/>
          </w:tcPr>
          <w:p>
            <w:pPr>
              <w:spacing w:after="40" w:before="40"/>
            </w:pPr>
            <w:r/>
            <w:r>
              <w:rPr>
                <w:rFonts w:ascii="Consolas" w:hAnsi="Consolas"/>
                <w:sz w:val="17"/>
              </w:rPr>
              <w:t>J6</w:t>
            </w:r>
          </w:p>
        </w:tc>
        <w:tc>
          <w:tcPr>
            <w:tcW w:type="dxa" w:w="1587"/>
          </w:tcPr>
          <w:p>
            <w:pPr>
              <w:spacing w:after="40" w:before="40"/>
            </w:pPr>
            <w:r/>
            <w:r>
              <w:rPr>
                <w:rFonts w:ascii="Consolas" w:hAnsi="Consolas"/>
                <w:sz w:val="17"/>
              </w:rPr>
              <w:t>L6</w:t>
            </w:r>
          </w:p>
        </w:tc>
        <w:tc>
          <w:tcPr>
            <w:tcW w:type="dxa" w:w="2381"/>
          </w:tcPr>
          <w:p>
            <w:pPr>
              <w:spacing w:after="40" w:before="40"/>
            </w:pPr>
            <w:r/>
            <w:r>
              <w:rPr>
                <w:rFonts w:ascii="Consolas" w:hAnsi="Consolas"/>
                <w:sz w:val="17"/>
              </w:rPr>
              <w:t>N6</w:t>
            </w:r>
          </w:p>
        </w:tc>
      </w:tr>
      <w:tr>
        <w:tc>
          <w:tcPr>
            <w:tcW w:type="dxa" w:w="1247"/>
            <w:shd w:val="clear" w:fill="F4F4F7"/>
          </w:tcPr>
          <w:p>
            <w:pPr>
              <w:spacing w:after="40" w:before="40"/>
            </w:pPr>
            <w:r/>
            <w:r>
              <w:rPr>
                <w:rFonts w:ascii="Consolas" w:hAnsi="Consolas"/>
                <w:sz w:val="17"/>
              </w:rPr>
              <w:t>H7</w:t>
            </w:r>
          </w:p>
        </w:tc>
        <w:tc>
          <w:tcPr>
            <w:tcW w:type="dxa" w:w="2835"/>
            <w:shd w:val="clear" w:fill="F4F4F7"/>
          </w:tcPr>
          <w:p>
            <w:pPr>
              <w:spacing w:after="40" w:before="40"/>
            </w:pPr>
            <w:r/>
            <w:r>
              <w:rPr>
                <w:sz w:val="17"/>
              </w:rPr>
              <w:t>Accrual Frequency</w:t>
            </w:r>
          </w:p>
        </w:tc>
        <w:tc>
          <w:tcPr>
            <w:tcW w:type="dxa" w:w="1587"/>
            <w:shd w:val="clear" w:fill="F4F4F7"/>
          </w:tcPr>
          <w:p>
            <w:pPr>
              <w:spacing w:after="40" w:before="40"/>
            </w:pPr>
            <w:r/>
            <w:r>
              <w:rPr>
                <w:rFonts w:ascii="Consolas" w:hAnsi="Consolas"/>
                <w:sz w:val="17"/>
              </w:rPr>
              <w:t>J7</w:t>
            </w:r>
          </w:p>
        </w:tc>
        <w:tc>
          <w:tcPr>
            <w:tcW w:type="dxa" w:w="1587"/>
            <w:shd w:val="clear" w:fill="F4F4F7"/>
          </w:tcPr>
          <w:p>
            <w:pPr>
              <w:spacing w:after="40" w:before="40"/>
            </w:pPr>
            <w:r/>
            <w:r>
              <w:rPr>
                <w:rFonts w:ascii="Consolas" w:hAnsi="Consolas"/>
                <w:sz w:val="17"/>
              </w:rPr>
              <w:t>L7</w:t>
            </w:r>
          </w:p>
        </w:tc>
        <w:tc>
          <w:tcPr>
            <w:tcW w:type="dxa" w:w="2381"/>
            <w:shd w:val="clear" w:fill="F4F4F7"/>
          </w:tcPr>
          <w:p>
            <w:pPr>
              <w:spacing w:after="40" w:before="40"/>
            </w:pPr>
            <w:r/>
            <w:r>
              <w:rPr>
                <w:rFonts w:ascii="Consolas" w:hAnsi="Consolas"/>
                <w:sz w:val="17"/>
              </w:rPr>
              <w:t>N7</w:t>
            </w:r>
          </w:p>
        </w:tc>
      </w:tr>
      <w:tr>
        <w:tc>
          <w:tcPr>
            <w:tcW w:type="dxa" w:w="1247"/>
          </w:tcPr>
          <w:p>
            <w:pPr>
              <w:spacing w:after="40" w:before="40"/>
            </w:pPr>
            <w:r/>
            <w:r>
              <w:rPr>
                <w:rFonts w:ascii="Consolas" w:hAnsi="Consolas"/>
                <w:sz w:val="17"/>
              </w:rPr>
              <w:t>H8</w:t>
            </w:r>
          </w:p>
        </w:tc>
        <w:tc>
          <w:tcPr>
            <w:tcW w:type="dxa" w:w="2835"/>
          </w:tcPr>
          <w:p>
            <w:pPr>
              <w:spacing w:after="40" w:before="40"/>
            </w:pPr>
            <w:r/>
            <w:r>
              <w:rPr>
                <w:sz w:val="17"/>
              </w:rPr>
              <w:t>Settlement Frequency</w:t>
            </w:r>
          </w:p>
        </w:tc>
        <w:tc>
          <w:tcPr>
            <w:tcW w:type="dxa" w:w="1587"/>
          </w:tcPr>
          <w:p>
            <w:pPr>
              <w:spacing w:after="40" w:before="40"/>
            </w:pPr>
            <w:r/>
            <w:r>
              <w:rPr>
                <w:rFonts w:ascii="Consolas" w:hAnsi="Consolas"/>
                <w:sz w:val="17"/>
              </w:rPr>
              <w:t>J8</w:t>
            </w:r>
          </w:p>
        </w:tc>
        <w:tc>
          <w:tcPr>
            <w:tcW w:type="dxa" w:w="1587"/>
          </w:tcPr>
          <w:p>
            <w:pPr>
              <w:spacing w:after="40" w:before="40"/>
            </w:pPr>
            <w:r/>
            <w:r>
              <w:rPr>
                <w:rFonts w:ascii="Consolas" w:hAnsi="Consolas"/>
                <w:sz w:val="17"/>
              </w:rPr>
              <w:t>L8</w:t>
            </w:r>
          </w:p>
        </w:tc>
        <w:tc>
          <w:tcPr>
            <w:tcW w:type="dxa" w:w="2381"/>
          </w:tcPr>
          <w:p>
            <w:pPr>
              <w:spacing w:after="40" w:before="40"/>
            </w:pPr>
            <w:r/>
            <w:r>
              <w:rPr>
                <w:rFonts w:ascii="Consolas" w:hAnsi="Consolas"/>
                <w:sz w:val="17"/>
              </w:rPr>
              <w:t>N8</w:t>
            </w:r>
          </w:p>
        </w:tc>
      </w:tr>
      <w:tr>
        <w:tc>
          <w:tcPr>
            <w:tcW w:type="dxa" w:w="1247"/>
            <w:shd w:val="clear" w:fill="F4F4F7"/>
          </w:tcPr>
          <w:p>
            <w:pPr>
              <w:spacing w:after="40" w:before="40"/>
            </w:pPr>
            <w:r/>
            <w:r>
              <w:rPr>
                <w:rFonts w:ascii="Consolas" w:hAnsi="Consolas"/>
                <w:sz w:val="17"/>
              </w:rPr>
              <w:t>H9</w:t>
            </w:r>
          </w:p>
        </w:tc>
        <w:tc>
          <w:tcPr>
            <w:tcW w:type="dxa" w:w="2835"/>
            <w:shd w:val="clear" w:fill="F4F4F7"/>
          </w:tcPr>
          <w:p>
            <w:pPr>
              <w:spacing w:after="40" w:before="40"/>
            </w:pPr>
            <w:r/>
            <w:r>
              <w:rPr>
                <w:sz w:val="17"/>
              </w:rPr>
              <w:t>Settlement Type</w:t>
            </w:r>
          </w:p>
        </w:tc>
        <w:tc>
          <w:tcPr>
            <w:tcW w:type="dxa" w:w="1587"/>
            <w:shd w:val="clear" w:fill="F4F4F7"/>
          </w:tcPr>
          <w:p>
            <w:pPr>
              <w:spacing w:after="40" w:before="40"/>
            </w:pPr>
            <w:r/>
            <w:r>
              <w:rPr>
                <w:rFonts w:ascii="Consolas" w:hAnsi="Consolas"/>
                <w:sz w:val="17"/>
              </w:rPr>
              <w:t>J9</w:t>
            </w:r>
          </w:p>
        </w:tc>
        <w:tc>
          <w:tcPr>
            <w:tcW w:type="dxa" w:w="1587"/>
            <w:shd w:val="clear" w:fill="F4F4F7"/>
          </w:tcPr>
          <w:p>
            <w:pPr>
              <w:spacing w:after="40" w:before="40"/>
            </w:pPr>
            <w:r/>
            <w:r>
              <w:rPr>
                <w:rFonts w:ascii="Consolas" w:hAnsi="Consolas"/>
                <w:sz w:val="17"/>
              </w:rPr>
              <w:t>L9</w:t>
            </w:r>
          </w:p>
        </w:tc>
        <w:tc>
          <w:tcPr>
            <w:tcW w:type="dxa" w:w="2381"/>
            <w:shd w:val="clear" w:fill="F4F4F7"/>
          </w:tcPr>
          <w:p>
            <w:pPr>
              <w:spacing w:after="40" w:before="40"/>
            </w:pPr>
            <w:r/>
            <w:r>
              <w:rPr>
                <w:rFonts w:ascii="Consolas" w:hAnsi="Consolas"/>
                <w:sz w:val="17"/>
              </w:rPr>
              <w:t>N9</w:t>
            </w:r>
          </w:p>
        </w:tc>
      </w:tr>
      <w:tr>
        <w:tc>
          <w:tcPr>
            <w:tcW w:type="dxa" w:w="1247"/>
          </w:tcPr>
          <w:p>
            <w:pPr>
              <w:spacing w:after="40" w:before="40"/>
            </w:pPr>
            <w:r/>
            <w:r>
              <w:rPr>
                <w:rFonts w:ascii="Consolas" w:hAnsi="Consolas"/>
                <w:sz w:val="17"/>
              </w:rPr>
              <w:t>H10</w:t>
            </w:r>
          </w:p>
        </w:tc>
        <w:tc>
          <w:tcPr>
            <w:tcW w:type="dxa" w:w="2835"/>
          </w:tcPr>
          <w:p>
            <w:pPr>
              <w:spacing w:after="40" w:before="40"/>
            </w:pPr>
            <w:r/>
            <w:r>
              <w:rPr>
                <w:sz w:val="17"/>
              </w:rPr>
              <w:t>First Settlement Date</w:t>
            </w:r>
          </w:p>
        </w:tc>
        <w:tc>
          <w:tcPr>
            <w:tcW w:type="dxa" w:w="1587"/>
          </w:tcPr>
          <w:p>
            <w:pPr>
              <w:spacing w:after="40" w:before="40"/>
            </w:pPr>
            <w:r/>
            <w:r>
              <w:rPr>
                <w:rFonts w:ascii="Consolas" w:hAnsi="Consolas"/>
                <w:sz w:val="17"/>
              </w:rPr>
              <w:t>J10</w:t>
            </w:r>
          </w:p>
        </w:tc>
        <w:tc>
          <w:tcPr>
            <w:tcW w:type="dxa" w:w="1587"/>
          </w:tcPr>
          <w:p>
            <w:pPr>
              <w:spacing w:after="40" w:before="40"/>
            </w:pPr>
            <w:r/>
            <w:r>
              <w:rPr>
                <w:rFonts w:ascii="Consolas" w:hAnsi="Consolas"/>
                <w:sz w:val="17"/>
              </w:rPr>
              <w:t>L10</w:t>
            </w:r>
          </w:p>
        </w:tc>
        <w:tc>
          <w:tcPr>
            <w:tcW w:type="dxa" w:w="2381"/>
          </w:tcPr>
          <w:p>
            <w:pPr>
              <w:spacing w:after="40" w:before="40"/>
            </w:pPr>
            <w:r/>
            <w:r>
              <w:rPr>
                <w:rFonts w:ascii="Consolas" w:hAnsi="Consolas"/>
                <w:sz w:val="17"/>
              </w:rPr>
              <w:t>N10</w:t>
            </w:r>
          </w:p>
        </w:tc>
      </w:tr>
      <w:tr>
        <w:tc>
          <w:tcPr>
            <w:tcW w:type="dxa" w:w="1247"/>
            <w:shd w:val="clear" w:fill="F4F4F7"/>
          </w:tcPr>
          <w:p>
            <w:pPr>
              <w:spacing w:after="40" w:before="40"/>
            </w:pPr>
            <w:r/>
            <w:r>
              <w:rPr>
                <w:rFonts w:ascii="Consolas" w:hAnsi="Consolas"/>
                <w:sz w:val="17"/>
              </w:rPr>
              <w:t>H11</w:t>
            </w:r>
          </w:p>
        </w:tc>
        <w:tc>
          <w:tcPr>
            <w:tcW w:type="dxa" w:w="2835"/>
            <w:shd w:val="clear" w:fill="F4F4F7"/>
          </w:tcPr>
          <w:p>
            <w:pPr>
              <w:spacing w:after="40" w:before="40"/>
            </w:pPr>
            <w:r/>
            <w:r>
              <w:rPr>
                <w:sz w:val="17"/>
              </w:rPr>
              <w:t>Drawdown</w:t>
            </w:r>
          </w:p>
        </w:tc>
        <w:tc>
          <w:tcPr>
            <w:tcW w:type="dxa" w:w="1587"/>
            <w:shd w:val="clear" w:fill="F4F4F7"/>
          </w:tcPr>
          <w:p>
            <w:pPr>
              <w:spacing w:after="40" w:before="40"/>
            </w:pPr>
            <w:r/>
            <w:r>
              <w:rPr>
                <w:rFonts w:ascii="Consolas" w:hAnsi="Consolas"/>
                <w:sz w:val="17"/>
              </w:rPr>
              <w:t>J11</w:t>
            </w:r>
          </w:p>
        </w:tc>
        <w:tc>
          <w:tcPr>
            <w:tcW w:type="dxa" w:w="1587"/>
            <w:shd w:val="clear" w:fill="F4F4F7"/>
          </w:tcPr>
          <w:p>
            <w:pPr>
              <w:spacing w:after="40" w:before="40"/>
            </w:pPr>
            <w:r/>
            <w:r>
              <w:rPr>
                <w:rFonts w:ascii="Consolas" w:hAnsi="Consolas"/>
                <w:sz w:val="17"/>
              </w:rPr>
              <w:t>L11</w:t>
            </w:r>
          </w:p>
        </w:tc>
        <w:tc>
          <w:tcPr>
            <w:tcW w:type="dxa" w:w="2381"/>
            <w:shd w:val="clear" w:fill="F4F4F7"/>
          </w:tcPr>
          <w:p>
            <w:pPr>
              <w:spacing w:after="40" w:before="40"/>
            </w:pPr>
            <w:r/>
            <w:r>
              <w:rPr>
                <w:rFonts w:ascii="Consolas" w:hAnsi="Consolas"/>
                <w:sz w:val="17"/>
              </w:rPr>
              <w:t>N11</w:t>
            </w:r>
          </w:p>
        </w:tc>
      </w:tr>
    </w:tbl>
    <w:p>
      <w:pPr>
        <w:spacing w:after="80"/>
      </w:pPr>
    </w:p>
    <w:p>
      <w:pPr>
        <w:pStyle w:val="Heading2"/>
      </w:pPr>
      <w:r>
        <w:rPr>
          <w:b w:val="0"/>
          <w:i w:val="0"/>
        </w:rPr>
        <w:t>3.4 · Cashflow table</w:t>
      </w:r>
    </w:p>
    <w:p>
      <w:pPr>
        <w:spacing w:after="120"/>
      </w:pPr>
      <w:r>
        <w:rPr>
          <w:b w:val="0"/>
          <w:i w:val="0"/>
        </w:rPr>
        <w:t>Same three header rows. The column set differs from the facility sheet in two ways: there is a Drawdown Scope column, and the balance column is Principal Balance rather than Unfunded Balance.</w:t>
      </w:r>
    </w:p>
    <w:tbl>
      <w:tblPr>
        <w:tblStyle w:val="TableGrid"/>
        <w:tblW w:type="auto" w:w="0"/>
        <w:jc w:val="left"/>
        <w:tblLayout w:type="fixed"/>
        <w:tblLook w:firstColumn="1" w:firstRow="1" w:lastColumn="0" w:lastRow="0" w:noHBand="0" w:noVBand="1" w:val="04A0"/>
      </w:tblPr>
      <w:tblGrid>
        <w:gridCol w:w="2493"/>
        <w:gridCol w:w="2493"/>
        <w:gridCol w:w="2493"/>
        <w:gridCol w:w="2493"/>
      </w:tblGrid>
      <w:tr>
        <w:tc>
          <w:tcPr>
            <w:tcW w:type="dxa" w:w="624"/>
            <w:shd w:val="clear" w:fill="431B5B"/>
          </w:tcPr>
          <w:p>
            <w:pPr>
              <w:spacing w:after="40" w:before="40"/>
            </w:pPr>
            <w:r/>
            <w:r>
              <w:rPr>
                <w:b/>
                <w:color w:val="FFFFFF"/>
                <w:sz w:val="18"/>
              </w:rPr>
              <w:t>Col</w:t>
            </w:r>
          </w:p>
        </w:tc>
        <w:tc>
          <w:tcPr>
            <w:tcW w:type="dxa" w:w="2268"/>
            <w:shd w:val="clear" w:fill="431B5B"/>
          </w:tcPr>
          <w:p>
            <w:pPr>
              <w:spacing w:after="40" w:before="40"/>
            </w:pPr>
            <w:r/>
            <w:r>
              <w:rPr>
                <w:b/>
                <w:color w:val="FFFFFF"/>
                <w:sz w:val="18"/>
              </w:rPr>
              <w:t>Header</w:t>
            </w:r>
          </w:p>
        </w:tc>
        <w:tc>
          <w:tcPr>
            <w:tcW w:type="dxa" w:w="1077"/>
            <w:shd w:val="clear" w:fill="431B5B"/>
          </w:tcPr>
          <w:p>
            <w:pPr>
              <w:spacing w:after="40" w:before="40"/>
            </w:pPr>
            <w:r/>
            <w:r>
              <w:rPr>
                <w:b/>
                <w:color w:val="FFFFFF"/>
                <w:sz w:val="18"/>
              </w:rPr>
              <w:t>Required</w:t>
            </w:r>
          </w:p>
        </w:tc>
        <w:tc>
          <w:tcPr>
            <w:tcW w:type="dxa" w:w="5669"/>
            <w:shd w:val="clear" w:fill="431B5B"/>
          </w:tcPr>
          <w:p>
            <w:pPr>
              <w:spacing w:after="40" w:before="40"/>
            </w:pPr>
            <w:r/>
            <w:r>
              <w:rPr>
                <w:b/>
                <w:color w:val="FFFFFF"/>
                <w:sz w:val="18"/>
              </w:rPr>
              <w:t>Notes</w:t>
            </w:r>
          </w:p>
        </w:tc>
      </w:tr>
      <w:tr>
        <w:tc>
          <w:tcPr>
            <w:tcW w:type="dxa" w:w="624"/>
          </w:tcPr>
          <w:p>
            <w:pPr>
              <w:spacing w:after="40" w:before="40"/>
            </w:pPr>
            <w:r/>
            <w:r>
              <w:rPr>
                <w:rFonts w:ascii="Consolas" w:hAnsi="Consolas"/>
                <w:sz w:val="17"/>
              </w:rPr>
              <w:t>A</w:t>
            </w:r>
          </w:p>
        </w:tc>
        <w:tc>
          <w:tcPr>
            <w:tcW w:type="dxa" w:w="2268"/>
          </w:tcPr>
          <w:p>
            <w:pPr>
              <w:spacing w:after="40" w:before="40"/>
            </w:pPr>
            <w:r/>
            <w:r>
              <w:rPr>
                <w:sz w:val="17"/>
              </w:rPr>
              <w:t>Date</w:t>
            </w:r>
          </w:p>
        </w:tc>
        <w:tc>
          <w:tcPr>
            <w:tcW w:type="dxa" w:w="1077"/>
          </w:tcPr>
          <w:p>
            <w:pPr>
              <w:spacing w:after="40" w:before="40"/>
            </w:pPr>
            <w:r/>
            <w:r>
              <w:rPr>
                <w:sz w:val="17"/>
              </w:rPr>
              <w:t>Yes</w:t>
            </w:r>
          </w:p>
        </w:tc>
        <w:tc>
          <w:tcPr>
            <w:tcW w:type="dxa" w:w="5669"/>
          </w:tcPr>
          <w:p>
            <w:pPr>
              <w:spacing w:after="40" w:before="40"/>
            </w:pPr>
            <w:r/>
            <w:r>
              <w:rPr>
                <w:sz w:val="17"/>
              </w:rPr>
              <w:t>Anchor.</w:t>
            </w:r>
          </w:p>
        </w:tc>
      </w:tr>
      <w:tr>
        <w:tc>
          <w:tcPr>
            <w:tcW w:type="dxa" w:w="624"/>
            <w:shd w:val="clear" w:fill="F4F4F7"/>
          </w:tcPr>
          <w:p>
            <w:pPr>
              <w:spacing w:after="40" w:before="40"/>
            </w:pPr>
            <w:r/>
            <w:r>
              <w:rPr>
                <w:rFonts w:ascii="Consolas" w:hAnsi="Consolas"/>
                <w:sz w:val="17"/>
              </w:rPr>
              <w:t>B</w:t>
            </w:r>
          </w:p>
        </w:tc>
        <w:tc>
          <w:tcPr>
            <w:tcW w:type="dxa" w:w="2268"/>
            <w:shd w:val="clear" w:fill="F4F4F7"/>
          </w:tcPr>
          <w:p>
            <w:pPr>
              <w:spacing w:after="40" w:before="40"/>
            </w:pPr>
            <w:r/>
            <w:r>
              <w:rPr>
                <w:sz w:val="17"/>
              </w:rPr>
              <w:t>Initial Purchase</w:t>
            </w:r>
          </w:p>
        </w:tc>
        <w:tc>
          <w:tcPr>
            <w:tcW w:type="dxa" w:w="1077"/>
            <w:shd w:val="clear" w:fill="F4F4F7"/>
          </w:tcPr>
          <w:p>
            <w:pPr>
              <w:spacing w:after="40" w:before="40"/>
            </w:pPr>
            <w:r/>
            <w:r>
              <w:rPr>
                <w:sz w:val="17"/>
              </w:rPr>
              <w:t>Yes</w:t>
            </w:r>
          </w:p>
        </w:tc>
        <w:tc>
          <w:tcPr>
            <w:tcW w:type="dxa" w:w="5669"/>
            <w:shd w:val="clear" w:fill="F4F4F7"/>
          </w:tcPr>
          <w:p>
            <w:pPr>
              <w:spacing w:after="40" w:before="40"/>
            </w:pPr>
            <w:r/>
            <w:r>
              <w:rPr>
                <w:sz w:val="17"/>
              </w:rPr>
              <w:t>Anchor.</w:t>
            </w:r>
          </w:p>
        </w:tc>
      </w:tr>
      <w:tr>
        <w:tc>
          <w:tcPr>
            <w:tcW w:type="dxa" w:w="624"/>
          </w:tcPr>
          <w:p>
            <w:pPr>
              <w:spacing w:after="40" w:before="40"/>
            </w:pPr>
            <w:r/>
            <w:r>
              <w:rPr>
                <w:rFonts w:ascii="Consolas" w:hAnsi="Consolas"/>
                <w:sz w:val="17"/>
              </w:rPr>
              <w:t>C</w:t>
            </w:r>
          </w:p>
        </w:tc>
        <w:tc>
          <w:tcPr>
            <w:tcW w:type="dxa" w:w="2268"/>
          </w:tcPr>
          <w:p>
            <w:pPr>
              <w:spacing w:after="40" w:before="40"/>
            </w:pPr>
            <w:r/>
            <w:r>
              <w:rPr>
                <w:sz w:val="17"/>
              </w:rPr>
              <w:t>Drawdown</w:t>
            </w:r>
          </w:p>
        </w:tc>
        <w:tc>
          <w:tcPr>
            <w:tcW w:type="dxa" w:w="1077"/>
          </w:tcPr>
          <w:p>
            <w:pPr>
              <w:spacing w:after="40" w:before="40"/>
            </w:pPr>
            <w:r/>
            <w:r>
              <w:rPr>
                <w:sz w:val="17"/>
              </w:rPr>
              <w:t>No</w:t>
            </w:r>
          </w:p>
        </w:tc>
        <w:tc>
          <w:tcPr>
            <w:tcW w:type="dxa" w:w="5669"/>
          </w:tcPr>
          <w:p>
            <w:pPr>
              <w:spacing w:after="40" w:before="40"/>
            </w:pPr>
            <w:r/>
            <w:r>
              <w:rPr>
                <w:sz w:val="17"/>
              </w:rPr>
              <w:t>Non-zero becomes a drawdown event.</w:t>
            </w:r>
          </w:p>
        </w:tc>
      </w:tr>
      <w:tr>
        <w:tc>
          <w:tcPr>
            <w:tcW w:type="dxa" w:w="624"/>
            <w:shd w:val="clear" w:fill="F4F4F7"/>
          </w:tcPr>
          <w:p>
            <w:pPr>
              <w:spacing w:after="40" w:before="40"/>
            </w:pPr>
            <w:r/>
            <w:r>
              <w:rPr>
                <w:rFonts w:ascii="Consolas" w:hAnsi="Consolas"/>
                <w:sz w:val="17"/>
              </w:rPr>
              <w:t>D</w:t>
            </w:r>
          </w:p>
        </w:tc>
        <w:tc>
          <w:tcPr>
            <w:tcW w:type="dxa" w:w="2268"/>
            <w:shd w:val="clear" w:fill="F4F4F7"/>
          </w:tcPr>
          <w:p>
            <w:pPr>
              <w:spacing w:after="40" w:before="40"/>
            </w:pPr>
            <w:r/>
            <w:r>
              <w:rPr>
                <w:sz w:val="17"/>
              </w:rPr>
              <w:t>Principal Payment</w:t>
            </w:r>
          </w:p>
        </w:tc>
        <w:tc>
          <w:tcPr>
            <w:tcW w:type="dxa" w:w="1077"/>
            <w:shd w:val="clear" w:fill="F4F4F7"/>
          </w:tcPr>
          <w:p>
            <w:pPr>
              <w:spacing w:after="40" w:before="40"/>
            </w:pPr>
            <w:r/>
            <w:r>
              <w:rPr>
                <w:sz w:val="17"/>
              </w:rPr>
              <w:t>No</w:t>
            </w:r>
          </w:p>
        </w:tc>
        <w:tc>
          <w:tcPr>
            <w:tcW w:type="dxa" w:w="5669"/>
            <w:shd w:val="clear" w:fill="F4F4F7"/>
          </w:tcPr>
          <w:p>
            <w:pPr>
              <w:spacing w:after="40" w:before="40"/>
            </w:pPr>
            <w:r/>
            <w:r>
              <w:rPr>
                <w:sz w:val="17"/>
              </w:rPr>
              <w:t>Non-zero becomes a principal-payment event.</w:t>
            </w:r>
          </w:p>
        </w:tc>
      </w:tr>
      <w:tr>
        <w:tc>
          <w:tcPr>
            <w:tcW w:type="dxa" w:w="624"/>
          </w:tcPr>
          <w:p>
            <w:pPr>
              <w:spacing w:after="40" w:before="40"/>
            </w:pPr>
            <w:r/>
            <w:r>
              <w:rPr>
                <w:rFonts w:ascii="Consolas" w:hAnsi="Consolas"/>
                <w:sz w:val="17"/>
              </w:rPr>
              <w:t>E</w:t>
            </w:r>
          </w:p>
        </w:tc>
        <w:tc>
          <w:tcPr>
            <w:tcW w:type="dxa" w:w="2268"/>
          </w:tcPr>
          <w:p>
            <w:pPr>
              <w:spacing w:after="40" w:before="40"/>
            </w:pPr>
            <w:r/>
            <w:r>
              <w:rPr>
                <w:sz w:val="17"/>
              </w:rPr>
              <w:t>Drawdown Scope</w:t>
            </w:r>
          </w:p>
        </w:tc>
        <w:tc>
          <w:tcPr>
            <w:tcW w:type="dxa" w:w="1077"/>
          </w:tcPr>
          <w:p>
            <w:pPr>
              <w:spacing w:after="40" w:before="40"/>
            </w:pPr>
            <w:r/>
            <w:r>
              <w:rPr>
                <w:sz w:val="17"/>
              </w:rPr>
              <w:t>If lots</w:t>
            </w:r>
          </w:p>
        </w:tc>
        <w:tc>
          <w:tcPr>
            <w:tcW w:type="dxa" w:w="5669"/>
          </w:tcPr>
          <w:p>
            <w:pPr>
              <w:spacing w:after="40" w:before="40"/>
            </w:pPr>
            <w:r/>
            <w:r>
              <w:rPr>
                <w:sz w:val="17"/>
              </w:rPr>
              <w:t>Identifies the drawdown lot. See below.</w:t>
            </w:r>
          </w:p>
        </w:tc>
      </w:tr>
      <w:tr>
        <w:tc>
          <w:tcPr>
            <w:tcW w:type="dxa" w:w="624"/>
            <w:shd w:val="clear" w:fill="F4F4F7"/>
          </w:tcPr>
          <w:p>
            <w:pPr>
              <w:spacing w:after="40" w:before="40"/>
            </w:pPr>
            <w:r/>
            <w:r>
              <w:rPr>
                <w:rFonts w:ascii="Consolas" w:hAnsi="Consolas"/>
                <w:sz w:val="17"/>
              </w:rPr>
              <w:t>F</w:t>
            </w:r>
          </w:p>
        </w:tc>
        <w:tc>
          <w:tcPr>
            <w:tcW w:type="dxa" w:w="2268"/>
            <w:shd w:val="clear" w:fill="F4F4F7"/>
          </w:tcPr>
          <w:p>
            <w:pPr>
              <w:spacing w:after="40" w:before="40"/>
            </w:pPr>
            <w:r/>
            <w:r>
              <w:rPr>
                <w:sz w:val="17"/>
              </w:rPr>
              <w:t>Principal Balance</w:t>
            </w:r>
          </w:p>
        </w:tc>
        <w:tc>
          <w:tcPr>
            <w:tcW w:type="dxa" w:w="1077"/>
            <w:shd w:val="clear" w:fill="F4F4F7"/>
          </w:tcPr>
          <w:p>
            <w:pPr>
              <w:spacing w:after="40" w:before="40"/>
            </w:pPr>
            <w:r/>
            <w:r>
              <w:rPr>
                <w:sz w:val="17"/>
              </w:rPr>
              <w:t>Yes</w:t>
            </w:r>
          </w:p>
        </w:tc>
        <w:tc>
          <w:tcPr>
            <w:tcW w:type="dxa" w:w="5669"/>
            <w:shd w:val="clear" w:fill="F4F4F7"/>
          </w:tcPr>
          <w:p>
            <w:pPr>
              <w:spacing w:after="40" w:before="40"/>
            </w:pPr>
            <w:r/>
            <w:r>
              <w:rPr>
                <w:sz w:val="17"/>
              </w:rPr>
              <w:t>The balance accrued on.</w:t>
            </w:r>
          </w:p>
        </w:tc>
      </w:tr>
      <w:tr>
        <w:tc>
          <w:tcPr>
            <w:tcW w:type="dxa" w:w="624"/>
          </w:tcPr>
          <w:p>
            <w:pPr>
              <w:spacing w:after="40" w:before="40"/>
            </w:pPr>
            <w:r/>
            <w:r>
              <w:rPr>
                <w:rFonts w:ascii="Consolas" w:hAnsi="Consolas"/>
                <w:sz w:val="17"/>
              </w:rPr>
              <w:t>G</w:t>
            </w:r>
          </w:p>
        </w:tc>
        <w:tc>
          <w:tcPr>
            <w:tcW w:type="dxa" w:w="2268"/>
          </w:tcPr>
          <w:p>
            <w:pPr>
              <w:spacing w:after="40" w:before="40"/>
            </w:pPr>
            <w:r/>
            <w:r>
              <w:rPr>
                <w:sz w:val="17"/>
              </w:rPr>
              <w:t>Rate</w:t>
            </w:r>
          </w:p>
        </w:tc>
        <w:tc>
          <w:tcPr>
            <w:tcW w:type="dxa" w:w="1077"/>
          </w:tcPr>
          <w:p>
            <w:pPr>
              <w:spacing w:after="40" w:before="40"/>
            </w:pPr>
            <w:r/>
            <w:r>
              <w:rPr>
                <w:sz w:val="17"/>
              </w:rPr>
              <w:t>Yes</w:t>
            </w:r>
          </w:p>
        </w:tc>
        <w:tc>
          <w:tcPr>
            <w:tcW w:type="dxa" w:w="5669"/>
          </w:tcPr>
          <w:p>
            <w:pPr>
              <w:spacing w:after="40" w:before="40"/>
            </w:pPr>
            <w:r/>
            <w:r>
              <w:rPr>
                <w:sz w:val="17"/>
              </w:rPr>
              <w:t>Group 1 — interest.</w:t>
            </w:r>
          </w:p>
        </w:tc>
      </w:tr>
      <w:tr>
        <w:tc>
          <w:tcPr>
            <w:tcW w:type="dxa" w:w="624"/>
            <w:shd w:val="clear" w:fill="F4F4F7"/>
          </w:tcPr>
          <w:p>
            <w:pPr>
              <w:spacing w:after="40" w:before="40"/>
            </w:pPr>
            <w:r/>
            <w:r>
              <w:rPr>
                <w:rFonts w:ascii="Consolas" w:hAnsi="Consolas"/>
                <w:sz w:val="17"/>
              </w:rPr>
              <w:t>H</w:t>
            </w:r>
          </w:p>
        </w:tc>
        <w:tc>
          <w:tcPr>
            <w:tcW w:type="dxa" w:w="2268"/>
            <w:shd w:val="clear" w:fill="F4F4F7"/>
          </w:tcPr>
          <w:p>
            <w:pPr>
              <w:spacing w:after="40" w:before="40"/>
            </w:pPr>
            <w:r/>
            <w:r>
              <w:rPr>
                <w:sz w:val="17"/>
              </w:rPr>
              <w:t>Amount</w:t>
            </w:r>
          </w:p>
        </w:tc>
        <w:tc>
          <w:tcPr>
            <w:tcW w:type="dxa" w:w="1077"/>
            <w:shd w:val="clear" w:fill="F4F4F7"/>
          </w:tcPr>
          <w:p>
            <w:pPr>
              <w:spacing w:after="40" w:before="40"/>
            </w:pPr>
            <w:r/>
            <w:r>
              <w:rPr>
                <w:sz w:val="17"/>
              </w:rPr>
              <w:t>Yes</w:t>
            </w:r>
          </w:p>
        </w:tc>
        <w:tc>
          <w:tcPr>
            <w:tcW w:type="dxa" w:w="5669"/>
            <w:shd w:val="clear" w:fill="F4F4F7"/>
          </w:tcPr>
          <w:p>
            <w:pPr>
              <w:spacing w:after="40" w:before="40"/>
            </w:pPr>
            <w:r/>
            <w:r>
              <w:rPr>
                <w:sz w:val="17"/>
              </w:rPr>
            </w:r>
          </w:p>
        </w:tc>
      </w:tr>
      <w:tr>
        <w:tc>
          <w:tcPr>
            <w:tcW w:type="dxa" w:w="624"/>
          </w:tcPr>
          <w:p>
            <w:pPr>
              <w:spacing w:after="40" w:before="40"/>
            </w:pPr>
            <w:r/>
            <w:r>
              <w:rPr>
                <w:rFonts w:ascii="Consolas" w:hAnsi="Consolas"/>
                <w:sz w:val="17"/>
              </w:rPr>
              <w:t>I</w:t>
            </w:r>
          </w:p>
        </w:tc>
        <w:tc>
          <w:tcPr>
            <w:tcW w:type="dxa" w:w="2268"/>
          </w:tcPr>
          <w:p>
            <w:pPr>
              <w:spacing w:after="40" w:before="40"/>
            </w:pPr>
            <w:r/>
            <w:r>
              <w:rPr>
                <w:sz w:val="17"/>
              </w:rPr>
              <w:t>Total Cash Interest</w:t>
            </w:r>
          </w:p>
        </w:tc>
        <w:tc>
          <w:tcPr>
            <w:tcW w:type="dxa" w:w="1077"/>
          </w:tcPr>
          <w:p>
            <w:pPr>
              <w:spacing w:after="40" w:before="40"/>
            </w:pPr>
            <w:r/>
            <w:r>
              <w:rPr>
                <w:sz w:val="17"/>
              </w:rPr>
              <w:t>No</w:t>
            </w:r>
          </w:p>
        </w:tc>
        <w:tc>
          <w:tcPr>
            <w:tcW w:type="dxa" w:w="5669"/>
          </w:tcPr>
          <w:p>
            <w:pPr>
              <w:spacing w:after="40" w:before="40"/>
            </w:pPr>
            <w:r/>
            <w:r>
              <w:rPr>
                <w:sz w:val="17"/>
              </w:rPr>
              <w:t>Cash settled for group 1.</w:t>
            </w:r>
          </w:p>
        </w:tc>
      </w:tr>
      <w:tr>
        <w:tc>
          <w:tcPr>
            <w:tcW w:type="dxa" w:w="624"/>
            <w:shd w:val="clear" w:fill="F4F4F7"/>
          </w:tcPr>
          <w:p>
            <w:pPr>
              <w:spacing w:after="40" w:before="40"/>
            </w:pPr>
            <w:r/>
            <w:r>
              <w:rPr>
                <w:rFonts w:ascii="Consolas" w:hAnsi="Consolas"/>
                <w:sz w:val="17"/>
              </w:rPr>
              <w:t>J</w:t>
            </w:r>
          </w:p>
        </w:tc>
        <w:tc>
          <w:tcPr>
            <w:tcW w:type="dxa" w:w="2268"/>
            <w:shd w:val="clear" w:fill="F4F4F7"/>
          </w:tcPr>
          <w:p>
            <w:pPr>
              <w:spacing w:after="40" w:before="40"/>
            </w:pPr>
            <w:r/>
            <w:r>
              <w:rPr>
                <w:sz w:val="17"/>
              </w:rPr>
              <w:t>Rate</w:t>
            </w:r>
          </w:p>
        </w:tc>
        <w:tc>
          <w:tcPr>
            <w:tcW w:type="dxa" w:w="1077"/>
            <w:shd w:val="clear" w:fill="F4F4F7"/>
          </w:tcPr>
          <w:p>
            <w:pPr>
              <w:spacing w:after="40" w:before="40"/>
            </w:pPr>
            <w:r/>
            <w:r>
              <w:rPr>
                <w:sz w:val="17"/>
              </w:rPr>
              <w:t>No</w:t>
            </w:r>
          </w:p>
        </w:tc>
        <w:tc>
          <w:tcPr>
            <w:tcW w:type="dxa" w:w="5669"/>
            <w:shd w:val="clear" w:fill="F4F4F7"/>
          </w:tcPr>
          <w:p>
            <w:pPr>
              <w:spacing w:after="40" w:before="40"/>
            </w:pPr>
            <w:r/>
            <w:r>
              <w:rPr>
                <w:sz w:val="17"/>
              </w:rPr>
              <w:t>Group 2 — fee.</w:t>
            </w:r>
          </w:p>
        </w:tc>
      </w:tr>
      <w:tr>
        <w:tc>
          <w:tcPr>
            <w:tcW w:type="dxa" w:w="624"/>
          </w:tcPr>
          <w:p>
            <w:pPr>
              <w:spacing w:after="40" w:before="40"/>
            </w:pPr>
            <w:r/>
            <w:r>
              <w:rPr>
                <w:rFonts w:ascii="Consolas" w:hAnsi="Consolas"/>
                <w:sz w:val="17"/>
              </w:rPr>
              <w:t>K</w:t>
            </w:r>
          </w:p>
        </w:tc>
        <w:tc>
          <w:tcPr>
            <w:tcW w:type="dxa" w:w="2268"/>
          </w:tcPr>
          <w:p>
            <w:pPr>
              <w:spacing w:after="40" w:before="40"/>
            </w:pPr>
            <w:r/>
            <w:r>
              <w:rPr>
                <w:sz w:val="17"/>
              </w:rPr>
              <w:t>Amount</w:t>
            </w:r>
          </w:p>
        </w:tc>
        <w:tc>
          <w:tcPr>
            <w:tcW w:type="dxa" w:w="1077"/>
          </w:tcPr>
          <w:p>
            <w:pPr>
              <w:spacing w:after="40" w:before="40"/>
            </w:pPr>
            <w:r/>
            <w:r>
              <w:rPr>
                <w:sz w:val="17"/>
              </w:rPr>
              <w:t>No</w:t>
            </w:r>
          </w:p>
        </w:tc>
        <w:tc>
          <w:tcPr>
            <w:tcW w:type="dxa" w:w="5669"/>
          </w:tcPr>
          <w:p>
            <w:pPr>
              <w:spacing w:after="40" w:before="40"/>
            </w:pPr>
            <w:r/>
            <w:r>
              <w:rPr>
                <w:sz w:val="17"/>
              </w:rPr>
            </w:r>
          </w:p>
        </w:tc>
      </w:tr>
      <w:tr>
        <w:tc>
          <w:tcPr>
            <w:tcW w:type="dxa" w:w="624"/>
            <w:shd w:val="clear" w:fill="F4F4F7"/>
          </w:tcPr>
          <w:p>
            <w:pPr>
              <w:spacing w:after="40" w:before="40"/>
            </w:pPr>
            <w:r/>
            <w:r>
              <w:rPr>
                <w:rFonts w:ascii="Consolas" w:hAnsi="Consolas"/>
                <w:sz w:val="17"/>
              </w:rPr>
              <w:t>L</w:t>
            </w:r>
          </w:p>
        </w:tc>
        <w:tc>
          <w:tcPr>
            <w:tcW w:type="dxa" w:w="2268"/>
            <w:shd w:val="clear" w:fill="F4F4F7"/>
          </w:tcPr>
          <w:p>
            <w:pPr>
              <w:spacing w:after="40" w:before="40"/>
            </w:pPr>
            <w:r/>
            <w:r>
              <w:rPr>
                <w:sz w:val="17"/>
              </w:rPr>
              <w:t>Total Cash Fee</w:t>
            </w:r>
          </w:p>
        </w:tc>
        <w:tc>
          <w:tcPr>
            <w:tcW w:type="dxa" w:w="1077"/>
            <w:shd w:val="clear" w:fill="F4F4F7"/>
          </w:tcPr>
          <w:p>
            <w:pPr>
              <w:spacing w:after="40" w:before="40"/>
            </w:pPr>
            <w:r/>
            <w:r>
              <w:rPr>
                <w:sz w:val="17"/>
              </w:rPr>
              <w:t>No</w:t>
            </w:r>
          </w:p>
        </w:tc>
        <w:tc>
          <w:tcPr>
            <w:tcW w:type="dxa" w:w="5669"/>
            <w:shd w:val="clear" w:fill="F4F4F7"/>
          </w:tcPr>
          <w:p>
            <w:pPr>
              <w:spacing w:after="40" w:before="40"/>
            </w:pPr>
            <w:r/>
            <w:r>
              <w:rPr>
                <w:sz w:val="17"/>
              </w:rPr>
              <w:t>Cash settled for group 2.</w:t>
            </w:r>
          </w:p>
        </w:tc>
      </w:tr>
      <w:tr>
        <w:tc>
          <w:tcPr>
            <w:tcW w:type="dxa" w:w="624"/>
          </w:tcPr>
          <w:p>
            <w:pPr>
              <w:spacing w:after="40" w:before="40"/>
            </w:pPr>
            <w:r/>
            <w:r>
              <w:rPr>
                <w:rFonts w:ascii="Consolas" w:hAnsi="Consolas"/>
                <w:sz w:val="17"/>
              </w:rPr>
              <w:t>M</w:t>
            </w:r>
          </w:p>
        </w:tc>
        <w:tc>
          <w:tcPr>
            <w:tcW w:type="dxa" w:w="2268"/>
          </w:tcPr>
          <w:p>
            <w:pPr>
              <w:spacing w:after="40" w:before="40"/>
            </w:pPr>
            <w:r/>
            <w:r>
              <w:rPr>
                <w:sz w:val="17"/>
              </w:rPr>
              <w:t>Total Cash</w:t>
            </w:r>
          </w:p>
        </w:tc>
        <w:tc>
          <w:tcPr>
            <w:tcW w:type="dxa" w:w="1077"/>
          </w:tcPr>
          <w:p>
            <w:pPr>
              <w:spacing w:after="40" w:before="40"/>
            </w:pPr>
            <w:r/>
            <w:r>
              <w:rPr>
                <w:sz w:val="17"/>
              </w:rPr>
              <w:t>No</w:t>
            </w:r>
          </w:p>
        </w:tc>
        <w:tc>
          <w:tcPr>
            <w:tcW w:type="dxa" w:w="5669"/>
          </w:tcPr>
          <w:p>
            <w:pPr>
              <w:spacing w:after="40" w:before="40"/>
            </w:pPr>
            <w:r/>
            <w:r>
              <w:rPr>
                <w:sz w:val="17"/>
              </w:rPr>
              <w:t>Ignored.</w:t>
            </w:r>
          </w:p>
        </w:tc>
      </w:tr>
      <w:tr>
        <w:tc>
          <w:tcPr>
            <w:tcW w:type="dxa" w:w="624"/>
            <w:shd w:val="clear" w:fill="F4F4F7"/>
          </w:tcPr>
          <w:p>
            <w:pPr>
              <w:spacing w:after="40" w:before="40"/>
            </w:pPr>
            <w:r/>
            <w:r>
              <w:rPr>
                <w:rFonts w:ascii="Consolas" w:hAnsi="Consolas"/>
                <w:sz w:val="17"/>
              </w:rPr>
              <w:t>N</w:t>
            </w:r>
          </w:p>
        </w:tc>
        <w:tc>
          <w:tcPr>
            <w:tcW w:type="dxa" w:w="2268"/>
            <w:shd w:val="clear" w:fill="F4F4F7"/>
          </w:tcPr>
          <w:p>
            <w:pPr>
              <w:spacing w:after="40" w:before="40"/>
            </w:pPr>
            <w:r/>
            <w:r>
              <w:rPr>
                <w:sz w:val="17"/>
              </w:rPr>
              <w:t>Total</w:t>
            </w:r>
          </w:p>
        </w:tc>
        <w:tc>
          <w:tcPr>
            <w:tcW w:type="dxa" w:w="1077"/>
            <w:shd w:val="clear" w:fill="F4F4F7"/>
          </w:tcPr>
          <w:p>
            <w:pPr>
              <w:spacing w:after="40" w:before="40"/>
            </w:pPr>
            <w:r/>
            <w:r>
              <w:rPr>
                <w:sz w:val="17"/>
              </w:rPr>
              <w:t>No</w:t>
            </w:r>
          </w:p>
        </w:tc>
        <w:tc>
          <w:tcPr>
            <w:tcW w:type="dxa" w:w="5669"/>
            <w:shd w:val="clear" w:fill="F4F4F7"/>
          </w:tcPr>
          <w:p>
            <w:pPr>
              <w:spacing w:after="40" w:before="40"/>
            </w:pPr>
            <w:r/>
            <w:r>
              <w:rPr>
                <w:sz w:val="17"/>
              </w:rPr>
              <w:t>Ignored.</w:t>
            </w:r>
          </w:p>
        </w:tc>
      </w:tr>
    </w:tbl>
    <w:p>
      <w:pPr>
        <w:spacing w:after="80"/>
      </w:pPr>
    </w:p>
    <w:p>
      <w:pPr>
        <w:pStyle w:val="Heading3"/>
      </w:pPr>
      <w:r>
        <w:rPr>
          <w:b w:val="0"/>
          <w:i w:val="0"/>
        </w:rPr>
        <w:t>Drawdown Scope</w:t>
      </w:r>
    </w:p>
    <w:p>
      <w:pPr>
        <w:spacing w:after="80"/>
      </w:pPr>
      <w:r>
        <w:rPr>
          <w:b w:val="0"/>
          <w:i w:val="0"/>
        </w:rPr>
        <w:t>This column ties each accrual row to the drawdown it arises from. The sample uses free text in a consistent shape:</w:t>
      </w:r>
    </w:p>
    <w:p>
      <w:pPr>
        <w:spacing w:after="120"/>
      </w:pPr>
      <w:r>
        <w:rPr>
          <w:rFonts w:ascii="Consolas" w:hAnsi="Consolas"/>
          <w:b w:val="0"/>
          <w:i w:val="0"/>
          <w:sz w:val="19"/>
        </w:rPr>
        <w:t>Drawdown — £23,000,000 on 2026-07-31</w:t>
      </w:r>
    </w:p>
    <w:p>
      <w:pPr>
        <w:spacing w:after="200"/>
      </w:pPr>
      <w:r>
        <w:rPr>
          <w:b w:val="0"/>
          <w:i w:val="0"/>
        </w:rPr>
        <w:t>PCS reads the amount and the date out of that text to build a stable lot identifier, and derives the same identifier from the drawdown event itself, so the two join up. Keep the amount and an ISO date in the text. If the wording changes, the lot link is lost and per-lot tracing stops working — a dedicated lot reference column would be more robust.</w:t>
      </w:r>
    </w:p>
    <w:p>
      <w:r>
        <w:br w:type="page"/>
      </w:r>
    </w:p>
    <w:p>
      <w:pPr>
        <w:pStyle w:val="Heading1"/>
      </w:pPr>
      <w:r>
        <w:rPr>
          <w:b w:val="0"/>
          <w:i w:val="0"/>
        </w:rPr>
        <w:t>4 · Dates, periods and days covered</w:t>
      </w:r>
    </w:p>
    <w:p>
      <w:pPr>
        <w:spacing w:after="160"/>
      </w:pPr>
      <w:r>
        <w:rPr>
          <w:b w:val="0"/>
          <w:i w:val="0"/>
        </w:rPr>
        <w:t>The workbook never states how many days each accrual row covers, and this matters: it is the difference between a row carrying one day of interest and three.</w:t>
      </w:r>
    </w:p>
    <w:p>
      <w:pPr>
        <w:spacing w:after="120"/>
      </w:pPr>
      <w:r>
        <w:rPr>
          <w:b w:val="0"/>
          <w:i w:val="0"/>
        </w:rPr>
        <w:t>In the sample, the two sheet types use opposite conventions:</w:t>
      </w:r>
    </w:p>
    <w:tbl>
      <w:tblPr>
        <w:tblStyle w:val="TableGrid"/>
        <w:tblW w:type="auto" w:w="0"/>
        <w:jc w:val="left"/>
        <w:tblLayout w:type="fixed"/>
        <w:tblLook w:firstColumn="1" w:firstRow="1" w:lastColumn="0" w:lastRow="0" w:noHBand="0" w:noVBand="1" w:val="04A0"/>
      </w:tblPr>
      <w:tblGrid>
        <w:gridCol w:w="2493"/>
        <w:gridCol w:w="2493"/>
        <w:gridCol w:w="2493"/>
        <w:gridCol w:w="2493"/>
      </w:tblGrid>
      <w:tr>
        <w:tc>
          <w:tcPr>
            <w:tcW w:type="dxa" w:w="1247"/>
            <w:shd w:val="clear" w:fill="431B5B"/>
          </w:tcPr>
          <w:p>
            <w:pPr>
              <w:spacing w:after="40" w:before="40"/>
            </w:pPr>
            <w:r/>
            <w:r>
              <w:rPr>
                <w:b/>
                <w:color w:val="FFFFFF"/>
                <w:sz w:val="18"/>
              </w:rPr>
              <w:t>Sheet</w:t>
            </w:r>
          </w:p>
        </w:tc>
        <w:tc>
          <w:tcPr>
            <w:tcW w:type="dxa" w:w="1474"/>
            <w:shd w:val="clear" w:fill="431B5B"/>
          </w:tcPr>
          <w:p>
            <w:pPr>
              <w:spacing w:after="40" w:before="40"/>
            </w:pPr>
            <w:r/>
            <w:r>
              <w:rPr>
                <w:b/>
                <w:color w:val="FFFFFF"/>
                <w:sz w:val="18"/>
              </w:rPr>
              <w:t>The row date is the…</w:t>
            </w:r>
          </w:p>
        </w:tc>
        <w:tc>
          <w:tcPr>
            <w:tcW w:type="dxa" w:w="2494"/>
            <w:shd w:val="clear" w:fill="431B5B"/>
          </w:tcPr>
          <w:p>
            <w:pPr>
              <w:spacing w:after="40" w:before="40"/>
            </w:pPr>
            <w:r/>
            <w:r>
              <w:rPr>
                <w:b/>
                <w:color w:val="FFFFFF"/>
                <w:sz w:val="18"/>
              </w:rPr>
              <w:t>Days covered is…</w:t>
            </w:r>
          </w:p>
        </w:tc>
        <w:tc>
          <w:tcPr>
            <w:tcW w:type="dxa" w:w="4422"/>
            <w:shd w:val="clear" w:fill="431B5B"/>
          </w:tcPr>
          <w:p>
            <w:pPr>
              <w:spacing w:after="40" w:before="40"/>
            </w:pPr>
            <w:r/>
            <w:r>
              <w:rPr>
                <w:b/>
                <w:color w:val="FFFFFF"/>
                <w:sz w:val="18"/>
              </w:rPr>
              <w:t>Evidence</w:t>
            </w:r>
          </w:p>
        </w:tc>
      </w:tr>
      <w:tr>
        <w:tc>
          <w:tcPr>
            <w:tcW w:type="dxa" w:w="1247"/>
          </w:tcPr>
          <w:p>
            <w:pPr>
              <w:spacing w:after="40" w:before="40"/>
            </w:pPr>
            <w:r/>
            <w:r>
              <w:rPr>
                <w:sz w:val="17"/>
              </w:rPr>
              <w:t>Loan info</w:t>
            </w:r>
          </w:p>
        </w:tc>
        <w:tc>
          <w:tcPr>
            <w:tcW w:type="dxa" w:w="1474"/>
          </w:tcPr>
          <w:p>
            <w:pPr>
              <w:spacing w:after="40" w:before="40"/>
            </w:pPr>
            <w:r/>
            <w:r>
              <w:rPr>
                <w:sz w:val="17"/>
              </w:rPr>
              <w:t>period END</w:t>
            </w:r>
          </w:p>
        </w:tc>
        <w:tc>
          <w:tcPr>
            <w:tcW w:type="dxa" w:w="2494"/>
          </w:tcPr>
          <w:p>
            <w:pPr>
              <w:spacing w:after="40" w:before="40"/>
            </w:pPr>
            <w:r/>
            <w:r>
              <w:rPr>
                <w:sz w:val="17"/>
              </w:rPr>
              <w:t>the gap back to the previous date, or to the loan start for the first row</w:t>
            </w:r>
          </w:p>
        </w:tc>
        <w:tc>
          <w:tcPr>
            <w:tcW w:type="dxa" w:w="4422"/>
          </w:tcPr>
          <w:p>
            <w:pPr>
              <w:spacing w:after="40" w:before="40"/>
            </w:pPr>
            <w:r/>
            <w:r>
              <w:rPr>
                <w:sz w:val="17"/>
              </w:rPr>
              <w:t>31 Mar 2026 back to the 4 Nov 2025 loan start is 147 days, which matches the amount.</w:t>
            </w:r>
          </w:p>
        </w:tc>
      </w:tr>
      <w:tr>
        <w:tc>
          <w:tcPr>
            <w:tcW w:type="dxa" w:w="1247"/>
            <w:shd w:val="clear" w:fill="F4F4F7"/>
          </w:tcPr>
          <w:p>
            <w:pPr>
              <w:spacing w:after="40" w:before="40"/>
            </w:pPr>
            <w:r/>
            <w:r>
              <w:rPr>
                <w:sz w:val="17"/>
              </w:rPr>
              <w:t>Tranch info</w:t>
            </w:r>
          </w:p>
        </w:tc>
        <w:tc>
          <w:tcPr>
            <w:tcW w:type="dxa" w:w="1474"/>
            <w:shd w:val="clear" w:fill="F4F4F7"/>
          </w:tcPr>
          <w:p>
            <w:pPr>
              <w:spacing w:after="40" w:before="40"/>
            </w:pPr>
            <w:r/>
            <w:r>
              <w:rPr>
                <w:sz w:val="17"/>
              </w:rPr>
              <w:t>period START</w:t>
            </w:r>
          </w:p>
        </w:tc>
        <w:tc>
          <w:tcPr>
            <w:tcW w:type="dxa" w:w="2494"/>
            <w:shd w:val="clear" w:fill="F4F4F7"/>
          </w:tcPr>
          <w:p>
            <w:pPr>
              <w:spacing w:after="40" w:before="40"/>
            </w:pPr>
            <w:r/>
            <w:r>
              <w:rPr>
                <w:sz w:val="17"/>
              </w:rPr>
              <w:t>the gap forward to the next date</w:t>
            </w:r>
          </w:p>
        </w:tc>
        <w:tc>
          <w:tcPr>
            <w:tcW w:type="dxa" w:w="4422"/>
            <w:shd w:val="clear" w:fill="F4F4F7"/>
          </w:tcPr>
          <w:p>
            <w:pPr>
              <w:spacing w:after="40" w:before="40"/>
            </w:pPr>
            <w:r/>
            <w:r>
              <w:rPr>
                <w:sz w:val="17"/>
              </w:rPr>
              <w:t>31 Jul (Fri) → 3 Aug (Mon) is 3 days and carries £10,697.65, exactly 3 × the following 1-day row of £3,565.88.</w:t>
            </w:r>
          </w:p>
        </w:tc>
      </w:tr>
    </w:tbl>
    <w:p>
      <w:pPr>
        <w:spacing w:after="80"/>
      </w:pPr>
    </w:p>
    <w:p>
      <w:pPr>
        <w:spacing w:after="160"/>
      </w:pPr>
      <w:r>
        <w:rPr>
          <w:b w:val="0"/>
          <w:i w:val="0"/>
        </w:rPr>
        <w:t>PCS resolves this by testing both readings against the days implied by the figures themselves and taking whichever fits — the margin is wide enough to be unambiguous (0.03% against 1,199% on one sheet, 0.72% against 3,692% on the other). It is nonetheless an inference.</w:t>
      </w:r>
    </w:p>
    <w:p>
      <w:pPr>
        <w:spacing w:after="240"/>
      </w:pPr>
      <w:r>
        <w:rPr>
          <w:b/>
          <w:i w:val="0"/>
        </w:rPr>
        <w:t xml:space="preserve">Please add an explicit days-covered column, or state the period start and end on every row. </w:t>
      </w:r>
      <w:r>
        <w:rPr>
          <w:b w:val="0"/>
          <w:i w:val="0"/>
        </w:rPr>
        <w:t>The amounts are posted as given either way, so the accounting is unaffected — but everything shown on screen, and every reconciliation, rests on a guess until this is stated.</w:t>
      </w:r>
    </w:p>
    <w:p>
      <w:pPr>
        <w:pStyle w:val="Heading2"/>
      </w:pPr>
      <w:r>
        <w:rPr>
          <w:b w:val="0"/>
          <w:i w:val="0"/>
        </w:rPr>
        <w:t>4.1 · Rate precision</w:t>
      </w:r>
    </w:p>
    <w:p>
      <w:pPr>
        <w:spacing w:after="120"/>
      </w:pPr>
      <w:r>
        <w:rPr>
          <w:b w:val="0"/>
          <w:i w:val="0"/>
        </w:rPr>
        <w:t>Rates in the sample are rounded to four decimal places. The commitment fee reads 0.0045; the amounts imply 0.0044669. On a 45 basis point fee that rounding shifts any recalculation by 0.74% — exactly the discrepancy seen on every facility row. On the tranche sheet, where rates are around 5.7%, the same rounding is only 0.02%, which is why it looks fine there.</w:t>
      </w:r>
    </w:p>
    <w:p>
      <w:pPr>
        <w:spacing w:after="200"/>
      </w:pPr>
      <w:r>
        <w:rPr>
          <w:b/>
          <w:i w:val="0"/>
        </w:rPr>
        <w:t xml:space="preserve">Please send rates at full precision. </w:t>
      </w:r>
      <w:r>
        <w:rPr>
          <w:b w:val="0"/>
          <w:i w:val="0"/>
        </w:rPr>
        <w:t>Four decimal places is not enough for a low-rate fee.</w:t>
      </w:r>
    </w:p>
    <w:p>
      <w:pPr>
        <w:pStyle w:val="Heading1"/>
      </w:pPr>
      <w:r>
        <w:rPr>
          <w:b w:val="0"/>
          <w:i w:val="0"/>
        </w:rPr>
        <w:t>5 · Events</w:t>
      </w:r>
    </w:p>
    <w:p>
      <w:pPr>
        <w:spacing w:after="120"/>
      </w:pPr>
      <w:r>
        <w:rPr>
          <w:b w:val="0"/>
          <w:i w:val="0"/>
        </w:rPr>
        <w:t>Events are read from the movement columns of the cashflow table rather than from a separate block. A non-zero value in one of these columns creates an event dated on that row.</w:t>
      </w:r>
    </w:p>
    <w:tbl>
      <w:tblPr>
        <w:tblStyle w:val="TableGrid"/>
        <w:tblW w:type="auto" w:w="0"/>
        <w:jc w:val="left"/>
        <w:tblLayout w:type="fixed"/>
        <w:tblLook w:firstColumn="1" w:firstRow="1" w:lastColumn="0" w:lastRow="0" w:noHBand="0" w:noVBand="1" w:val="04A0"/>
      </w:tblPr>
      <w:tblGrid>
        <w:gridCol w:w="3324"/>
        <w:gridCol w:w="3324"/>
        <w:gridCol w:w="3324"/>
      </w:tblGrid>
      <w:tr>
        <w:tc>
          <w:tcPr>
            <w:tcW w:type="dxa" w:w="2268"/>
            <w:shd w:val="clear" w:fill="431B5B"/>
          </w:tcPr>
          <w:p>
            <w:pPr>
              <w:spacing w:after="40" w:before="40"/>
            </w:pPr>
            <w:r/>
            <w:r>
              <w:rPr>
                <w:b/>
                <w:color w:val="FFFFFF"/>
                <w:sz w:val="18"/>
              </w:rPr>
              <w:t>Column</w:t>
            </w:r>
          </w:p>
        </w:tc>
        <w:tc>
          <w:tcPr>
            <w:tcW w:type="dxa" w:w="2268"/>
            <w:shd w:val="clear" w:fill="431B5B"/>
          </w:tcPr>
          <w:p>
            <w:pPr>
              <w:spacing w:after="40" w:before="40"/>
            </w:pPr>
            <w:r/>
            <w:r>
              <w:rPr>
                <w:b/>
                <w:color w:val="FFFFFF"/>
                <w:sz w:val="18"/>
              </w:rPr>
              <w:t>Event created</w:t>
            </w:r>
          </w:p>
        </w:tc>
        <w:tc>
          <w:tcPr>
            <w:tcW w:type="dxa" w:w="5102"/>
            <w:shd w:val="clear" w:fill="431B5B"/>
          </w:tcPr>
          <w:p>
            <w:pPr>
              <w:spacing w:after="40" w:before="40"/>
            </w:pPr>
            <w:r/>
            <w:r>
              <w:rPr>
                <w:b/>
                <w:color w:val="FFFFFF"/>
                <w:sz w:val="18"/>
              </w:rPr>
              <w:t>Notes</w:t>
            </w:r>
          </w:p>
        </w:tc>
      </w:tr>
      <w:tr>
        <w:tc>
          <w:tcPr>
            <w:tcW w:type="dxa" w:w="2268"/>
          </w:tcPr>
          <w:p>
            <w:pPr>
              <w:spacing w:after="40" w:before="40"/>
            </w:pPr>
            <w:r/>
            <w:r>
              <w:rPr>
                <w:sz w:val="17"/>
              </w:rPr>
              <w:t>Initial Purchase</w:t>
            </w:r>
          </w:p>
        </w:tc>
        <w:tc>
          <w:tcPr>
            <w:tcW w:type="dxa" w:w="2268"/>
          </w:tcPr>
          <w:p>
            <w:pPr>
              <w:spacing w:after="40" w:before="40"/>
            </w:pPr>
            <w:r/>
            <w:r>
              <w:rPr>
                <w:rFonts w:ascii="Consolas" w:hAnsi="Consolas"/>
                <w:sz w:val="17"/>
              </w:rPr>
              <w:t>initialPurchase</w:t>
            </w:r>
          </w:p>
        </w:tc>
        <w:tc>
          <w:tcPr>
            <w:tcW w:type="dxa" w:w="5102"/>
          </w:tcPr>
          <w:p>
            <w:pPr>
              <w:spacing w:after="40" w:before="40"/>
            </w:pPr>
            <w:r/>
            <w:r>
              <w:rPr>
                <w:sz w:val="17"/>
              </w:rPr>
              <w:t>The first funding of the tranche.</w:t>
            </w:r>
          </w:p>
        </w:tc>
      </w:tr>
      <w:tr>
        <w:tc>
          <w:tcPr>
            <w:tcW w:type="dxa" w:w="2268"/>
            <w:shd w:val="clear" w:fill="F4F4F7"/>
          </w:tcPr>
          <w:p>
            <w:pPr>
              <w:spacing w:after="40" w:before="40"/>
            </w:pPr>
            <w:r/>
            <w:r>
              <w:rPr>
                <w:sz w:val="17"/>
              </w:rPr>
              <w:t>Drawdown</w:t>
            </w:r>
          </w:p>
        </w:tc>
        <w:tc>
          <w:tcPr>
            <w:tcW w:type="dxa" w:w="2268"/>
            <w:shd w:val="clear" w:fill="F4F4F7"/>
          </w:tcPr>
          <w:p>
            <w:pPr>
              <w:spacing w:after="40" w:before="40"/>
            </w:pPr>
            <w:r/>
            <w:r>
              <w:rPr>
                <w:rFonts w:ascii="Consolas" w:hAnsi="Consolas"/>
                <w:sz w:val="17"/>
              </w:rPr>
              <w:t>drawdown</w:t>
            </w:r>
          </w:p>
        </w:tc>
        <w:tc>
          <w:tcPr>
            <w:tcW w:type="dxa" w:w="5102"/>
            <w:shd w:val="clear" w:fill="F4F4F7"/>
          </w:tcPr>
          <w:p>
            <w:pPr>
              <w:spacing w:after="40" w:before="40"/>
            </w:pPr>
            <w:r/>
            <w:r>
              <w:rPr>
                <w:sz w:val="17"/>
              </w:rPr>
              <w:t>A subsequent utilisation.</w:t>
            </w:r>
          </w:p>
        </w:tc>
      </w:tr>
      <w:tr>
        <w:tc>
          <w:tcPr>
            <w:tcW w:type="dxa" w:w="2268"/>
          </w:tcPr>
          <w:p>
            <w:pPr>
              <w:spacing w:after="40" w:before="40"/>
            </w:pPr>
            <w:r/>
            <w:r>
              <w:rPr>
                <w:sz w:val="17"/>
              </w:rPr>
              <w:t>Principal Payment</w:t>
            </w:r>
          </w:p>
        </w:tc>
        <w:tc>
          <w:tcPr>
            <w:tcW w:type="dxa" w:w="2268"/>
          </w:tcPr>
          <w:p>
            <w:pPr>
              <w:spacing w:after="40" w:before="40"/>
            </w:pPr>
            <w:r/>
            <w:r>
              <w:rPr>
                <w:rFonts w:ascii="Consolas" w:hAnsi="Consolas"/>
                <w:sz w:val="17"/>
              </w:rPr>
              <w:t>principalPayment</w:t>
            </w:r>
          </w:p>
        </w:tc>
        <w:tc>
          <w:tcPr>
            <w:tcW w:type="dxa" w:w="5102"/>
          </w:tcPr>
          <w:p>
            <w:pPr>
              <w:spacing w:after="40" w:before="40"/>
            </w:pPr>
            <w:r/>
            <w:r>
              <w:rPr>
                <w:sz w:val="17"/>
              </w:rPr>
              <w:t>A repayment or prepayment.</w:t>
            </w:r>
          </w:p>
        </w:tc>
      </w:tr>
    </w:tbl>
    <w:p>
      <w:pPr>
        <w:spacing w:after="80"/>
      </w:pPr>
    </w:p>
    <w:p>
      <w:pPr>
        <w:spacing w:after="200"/>
      </w:pPr>
      <w:r>
        <w:rPr>
          <w:b w:val="0"/>
          <w:i w:val="0"/>
        </w:rPr>
        <w:t>Zero and "£ -" are not events; only a non-zero number creates one.</w:t>
      </w:r>
    </w:p>
    <w:tbl>
      <w:tblPr>
        <w:tblStyle w:val="TableGrid"/>
        <w:tblW w:type="auto" w:w="0"/>
        <w:tblLook w:firstColumn="1" w:firstRow="1" w:lastColumn="0" w:lastRow="0" w:noHBand="0" w:noVBand="1" w:val="04A0"/>
      </w:tblPr>
      <w:tblGrid>
        <w:gridCol w:w="9972"/>
      </w:tblGrid>
      <w:tr>
        <w:tc>
          <w:tcPr>
            <w:tcW w:type="dxa" w:w="9638"/>
            <w:shd w:val="clear" w:fill="FDECEC"/>
          </w:tcPr>
          <w:p>
            <w:pPr>
              <w:spacing w:after="40"/>
            </w:pPr>
            <w:r/>
            <w:r>
              <w:rPr>
                <w:b/>
                <w:sz w:val="19"/>
              </w:rPr>
              <w:t>No way to express a consolidation</w:t>
            </w:r>
          </w:p>
          <w:p>
            <w:pPr>
              <w:spacing w:after="40"/>
            </w:pPr>
            <w:r>
              <w:rPr>
                <w:sz w:val="19"/>
              </w:rPr>
              <w:t>The sample structure runs daily SONIA for six months with monthly drawdowns, then consolidates into a single 20-year loan at a rate negotiated on the day. The workbook has no column for that. PCS will not infer it from balances quietly changing, because the consequences are too significant — a negotiated conversion of a 6-month floating facility into a 20-year loan is likely a modification under IFRS 9, which can require derecognition and a fresh effective interest rate. Please add an explicit consolidation event carrying the effective date, the lots being consolidated, the new rate, the new structure and the new term.</w:t>
            </w:r>
          </w:p>
        </w:tc>
      </w:tr>
    </w:tbl>
    <w:p>
      <w:pPr>
        <w:spacing w:after="80"/>
      </w:pPr>
    </w:p>
    <w:p>
      <w:r>
        <w:br w:type="page"/>
      </w:r>
    </w:p>
    <w:p>
      <w:pPr>
        <w:pStyle w:val="Heading1"/>
      </w:pPr>
      <w:r>
        <w:rPr>
          <w:b w:val="0"/>
          <w:i w:val="0"/>
        </w:rPr>
        <w:t>6 · Allowed values</w:t>
      </w:r>
    </w:p>
    <w:p>
      <w:pPr>
        <w:spacing w:after="200"/>
      </w:pPr>
      <w:r>
        <w:rPr>
          <w:b w:val="0"/>
          <w:i w:val="0"/>
        </w:rPr>
        <w:t>These lists are enforced. A value outside them is rejected at import with the offending cell named — it is never quietly mapped to a default, because a silently defaulted day count is a wrong number that looks right.</w:t>
      </w:r>
    </w:p>
    <w:p>
      <w:pPr>
        <w:pStyle w:val="Heading3"/>
      </w:pPr>
      <w:r>
        <w:rPr>
          <w:b w:val="0"/>
          <w:i w:val="0"/>
        </w:rPr>
        <w:t>6.1 · Posting Type</w:t>
      </w:r>
    </w:p>
    <w:p>
      <w:pPr>
        <w:spacing w:after="160"/>
      </w:pPr>
      <w:r>
        <w:rPr>
          <w:rFonts w:ascii="Consolas" w:hAnsi="Consolas"/>
          <w:b w:val="0"/>
          <w:i w:val="0"/>
          <w:sz w:val="19"/>
        </w:rPr>
        <w:t>Interest</w:t>
      </w:r>
      <w:r>
        <w:rPr>
          <w:b w:val="0"/>
          <w:i w:val="0"/>
        </w:rPr>
        <w:t xml:space="preserve">    </w:t>
      </w:r>
      <w:r>
        <w:rPr>
          <w:rFonts w:ascii="Consolas" w:hAnsi="Consolas"/>
          <w:b w:val="0"/>
          <w:i w:val="0"/>
          <w:sz w:val="19"/>
        </w:rPr>
        <w:t>Fee</w:t>
      </w:r>
      <w:r>
        <w:rPr>
          <w:b w:val="0"/>
          <w:i w:val="0"/>
        </w:rPr>
        <w:t xml:space="preserve">    </w:t>
      </w:r>
      <w:r>
        <w:rPr>
          <w:rFonts w:ascii="Consolas" w:hAnsi="Consolas"/>
          <w:b w:val="0"/>
          <w:i w:val="0"/>
          <w:sz w:val="19"/>
        </w:rPr>
        <w:t>Principal</w:t>
      </w:r>
    </w:p>
    <w:p>
      <w:pPr>
        <w:pStyle w:val="Heading3"/>
      </w:pPr>
      <w:r>
        <w:rPr>
          <w:b w:val="0"/>
          <w:i w:val="0"/>
        </w:rPr>
        <w:t>6.2 · Calculation Basis</w:t>
      </w:r>
    </w:p>
    <w:p>
      <w:pPr>
        <w:spacing w:after="160"/>
      </w:pPr>
      <w:r>
        <w:rPr>
          <w:rFonts w:ascii="Consolas" w:hAnsi="Consolas"/>
          <w:b w:val="0"/>
          <w:i w:val="0"/>
          <w:sz w:val="19"/>
        </w:rPr>
        <w:t>Principal Balance</w:t>
      </w:r>
      <w:r>
        <w:rPr>
          <w:b w:val="0"/>
          <w:i w:val="0"/>
        </w:rPr>
        <w:t xml:space="preserve">    </w:t>
      </w:r>
      <w:r>
        <w:rPr>
          <w:rFonts w:ascii="Consolas" w:hAnsi="Consolas"/>
          <w:b w:val="0"/>
          <w:i w:val="0"/>
          <w:sz w:val="19"/>
        </w:rPr>
        <w:t>Unfunded Balance</w:t>
      </w:r>
      <w:r>
        <w:rPr>
          <w:b w:val="0"/>
          <w:i w:val="0"/>
        </w:rPr>
        <w:t xml:space="preserve">    </w:t>
      </w:r>
      <w:r>
        <w:rPr>
          <w:rFonts w:ascii="Consolas" w:hAnsi="Consolas"/>
          <w:b w:val="0"/>
          <w:i w:val="0"/>
          <w:sz w:val="19"/>
        </w:rPr>
        <w:t>Commitment</w:t>
      </w:r>
      <w:r>
        <w:rPr>
          <w:b w:val="0"/>
          <w:i w:val="0"/>
        </w:rPr>
        <w:t xml:space="preserve">    </w:t>
      </w:r>
      <w:r>
        <w:rPr>
          <w:rFonts w:ascii="Consolas" w:hAnsi="Consolas"/>
          <w:b w:val="0"/>
          <w:i w:val="0"/>
          <w:sz w:val="19"/>
        </w:rPr>
        <w:t>Face Value</w:t>
      </w:r>
      <w:r>
        <w:rPr>
          <w:b w:val="0"/>
          <w:i w:val="0"/>
        </w:rPr>
        <w:t xml:space="preserve">    </w:t>
      </w:r>
      <w:r>
        <w:rPr>
          <w:rFonts w:ascii="Consolas" w:hAnsi="Consolas"/>
          <w:b w:val="0"/>
          <w:i w:val="0"/>
          <w:sz w:val="19"/>
        </w:rPr>
        <w:t>Drawn Balance</w:t>
      </w:r>
    </w:p>
    <w:p>
      <w:pPr>
        <w:pStyle w:val="Heading3"/>
      </w:pPr>
      <w:r>
        <w:rPr>
          <w:b w:val="0"/>
          <w:i w:val="0"/>
        </w:rPr>
        <w:t>6.3 · Interest Rate Structure</w:t>
      </w:r>
    </w:p>
    <w:p>
      <w:pPr>
        <w:spacing w:after="80"/>
      </w:pPr>
      <w:r>
        <w:rPr>
          <w:rFonts w:ascii="Consolas" w:hAnsi="Consolas"/>
          <w:b w:val="0"/>
          <w:i w:val="0"/>
          <w:sz w:val="19"/>
        </w:rPr>
        <w:t>Fixed</w:t>
      </w:r>
      <w:r>
        <w:rPr>
          <w:b w:val="0"/>
          <w:i w:val="0"/>
        </w:rPr>
        <w:t xml:space="preserve">    </w:t>
      </w:r>
      <w:r>
        <w:rPr>
          <w:rFonts w:ascii="Consolas" w:hAnsi="Consolas"/>
          <w:b w:val="0"/>
          <w:i w:val="0"/>
          <w:sz w:val="19"/>
        </w:rPr>
        <w:t>Floating</w:t>
      </w:r>
    </w:p>
    <w:p>
      <w:pPr>
        <w:spacing w:after="160"/>
      </w:pPr>
      <w:r>
        <w:rPr>
          <w:b w:val="0"/>
          <w:i w:val="0"/>
        </w:rPr>
        <w:t>A floating component should also carry an Index value — SONIA, SOFR, ESTR, EURIBOR, BBSY, BBSW, TONA, CORRA or SORA. If there is no Index row, PCS looks for one of those names inside the component name ("Monthly SONIA" works) and warns if it cannot find one.</w:t>
      </w:r>
    </w:p>
    <w:p>
      <w:pPr>
        <w:pStyle w:val="Heading3"/>
      </w:pPr>
      <w:r>
        <w:rPr>
          <w:b w:val="0"/>
          <w:i w:val="0"/>
        </w:rPr>
        <w:t>6.4 · Accrual and Settlement Frequency</w:t>
      </w:r>
    </w:p>
    <w:p>
      <w:pPr>
        <w:spacing w:after="80"/>
      </w:pPr>
      <w:r>
        <w:rPr>
          <w:rFonts w:ascii="Consolas" w:hAnsi="Consolas"/>
          <w:b w:val="0"/>
          <w:i w:val="0"/>
          <w:sz w:val="19"/>
        </w:rPr>
        <w:t>Daily</w:t>
      </w:r>
      <w:r>
        <w:rPr>
          <w:b w:val="0"/>
          <w:i w:val="0"/>
        </w:rPr>
        <w:t xml:space="preserve">    </w:t>
      </w:r>
      <w:r>
        <w:rPr>
          <w:rFonts w:ascii="Consolas" w:hAnsi="Consolas"/>
          <w:b w:val="0"/>
          <w:i w:val="0"/>
          <w:sz w:val="19"/>
        </w:rPr>
        <w:t>Weekly</w:t>
      </w:r>
      <w:r>
        <w:rPr>
          <w:b w:val="0"/>
          <w:i w:val="0"/>
        </w:rPr>
        <w:t xml:space="preserve">    </w:t>
      </w:r>
      <w:r>
        <w:rPr>
          <w:rFonts w:ascii="Consolas" w:hAnsi="Consolas"/>
          <w:b w:val="0"/>
          <w:i w:val="0"/>
          <w:sz w:val="19"/>
        </w:rPr>
        <w:t>Fortnightly</w:t>
      </w:r>
      <w:r>
        <w:rPr>
          <w:b w:val="0"/>
          <w:i w:val="0"/>
        </w:rPr>
        <w:t xml:space="preserve">    </w:t>
      </w:r>
      <w:r>
        <w:rPr>
          <w:rFonts w:ascii="Consolas" w:hAnsi="Consolas"/>
          <w:b w:val="0"/>
          <w:i w:val="0"/>
          <w:sz w:val="19"/>
        </w:rPr>
        <w:t>Monthly</w:t>
      </w:r>
      <w:r>
        <w:rPr>
          <w:b w:val="0"/>
          <w:i w:val="0"/>
        </w:rPr>
        <w:t xml:space="preserve">    </w:t>
      </w:r>
      <w:r>
        <w:rPr>
          <w:rFonts w:ascii="Consolas" w:hAnsi="Consolas"/>
          <w:b w:val="0"/>
          <w:i w:val="0"/>
          <w:sz w:val="19"/>
        </w:rPr>
        <w:t>Quarterly</w:t>
      </w:r>
      <w:r>
        <w:rPr>
          <w:b w:val="0"/>
          <w:i w:val="0"/>
        </w:rPr>
        <w:t xml:space="preserve">    </w:t>
      </w:r>
      <w:r>
        <w:rPr>
          <w:rFonts w:ascii="Consolas" w:hAnsi="Consolas"/>
          <w:b w:val="0"/>
          <w:i w:val="0"/>
          <w:sz w:val="19"/>
        </w:rPr>
        <w:t>Semi-annually</w:t>
      </w:r>
      <w:r>
        <w:rPr>
          <w:b w:val="0"/>
          <w:i w:val="0"/>
        </w:rPr>
        <w:t xml:space="preserve">    </w:t>
      </w:r>
      <w:r>
        <w:rPr>
          <w:rFonts w:ascii="Consolas" w:hAnsi="Consolas"/>
          <w:b w:val="0"/>
          <w:i w:val="0"/>
          <w:sz w:val="19"/>
        </w:rPr>
        <w:t>Annually</w:t>
      </w:r>
      <w:r>
        <w:rPr>
          <w:b w:val="0"/>
          <w:i w:val="0"/>
        </w:rPr>
        <w:t xml:space="preserve">    </w:t>
      </w:r>
      <w:r>
        <w:rPr>
          <w:rFonts w:ascii="Consolas" w:hAnsi="Consolas"/>
          <w:b w:val="0"/>
          <w:i w:val="0"/>
          <w:sz w:val="19"/>
        </w:rPr>
        <w:t>One-off</w:t>
      </w:r>
      <w:r>
        <w:rPr>
          <w:b w:val="0"/>
          <w:i w:val="0"/>
        </w:rPr>
        <w:t xml:space="preserve">    </w:t>
      </w:r>
      <w:r>
        <w:rPr>
          <w:rFonts w:ascii="Consolas" w:hAnsi="Consolas"/>
          <w:b w:val="0"/>
          <w:i w:val="0"/>
          <w:sz w:val="19"/>
        </w:rPr>
        <w:t>At maturity</w:t>
      </w:r>
    </w:p>
    <w:p>
      <w:pPr>
        <w:spacing w:after="160"/>
      </w:pPr>
      <w:r>
        <w:rPr>
          <w:b w:val="0"/>
          <w:i w:val="0"/>
        </w:rPr>
        <w:t>An anchor may be appended in brackets — "Semi-annually (Anniversary)" or "Monthly (Calendar)". Accrual Frequency may be left blank when Settlement Frequency is One-off, since a one-off fee is charged rather than accrued.</w:t>
      </w:r>
    </w:p>
    <w:p>
      <w:pPr>
        <w:pStyle w:val="Heading3"/>
      </w:pPr>
      <w:r>
        <w:rPr>
          <w:b w:val="0"/>
          <w:i w:val="0"/>
        </w:rPr>
        <w:t>6.5 · Day Count Convention</w:t>
      </w:r>
    </w:p>
    <w:p>
      <w:pPr>
        <w:spacing w:after="80"/>
      </w:pPr>
      <w:r>
        <w:rPr>
          <w:rFonts w:ascii="Consolas" w:hAnsi="Consolas"/>
          <w:b w:val="0"/>
          <w:i w:val="0"/>
          <w:sz w:val="19"/>
        </w:rPr>
        <w:t>ACT/360</w:t>
      </w:r>
      <w:r>
        <w:rPr>
          <w:b w:val="0"/>
          <w:i w:val="0"/>
        </w:rPr>
        <w:t xml:space="preserve">    </w:t>
      </w:r>
      <w:r>
        <w:rPr>
          <w:rFonts w:ascii="Consolas" w:hAnsi="Consolas"/>
          <w:b w:val="0"/>
          <w:i w:val="0"/>
          <w:sz w:val="19"/>
        </w:rPr>
        <w:t>ACT/365</w:t>
      </w:r>
      <w:r>
        <w:rPr>
          <w:b w:val="0"/>
          <w:i w:val="0"/>
        </w:rPr>
        <w:t xml:space="preserve">    </w:t>
      </w:r>
      <w:r>
        <w:rPr>
          <w:rFonts w:ascii="Consolas" w:hAnsi="Consolas"/>
          <w:b w:val="0"/>
          <w:i w:val="0"/>
          <w:sz w:val="19"/>
        </w:rPr>
        <w:t>ACT/ACT</w:t>
      </w:r>
      <w:r>
        <w:rPr>
          <w:b w:val="0"/>
          <w:i w:val="0"/>
        </w:rPr>
        <w:t xml:space="preserve">    </w:t>
      </w:r>
      <w:r>
        <w:rPr>
          <w:rFonts w:ascii="Consolas" w:hAnsi="Consolas"/>
          <w:b w:val="0"/>
          <w:i w:val="0"/>
          <w:sz w:val="19"/>
        </w:rPr>
        <w:t>30/360</w:t>
      </w:r>
      <w:r>
        <w:rPr>
          <w:b w:val="0"/>
          <w:i w:val="0"/>
        </w:rPr>
        <w:t xml:space="preserve">    </w:t>
      </w:r>
      <w:r>
        <w:rPr>
          <w:rFonts w:ascii="Consolas" w:hAnsi="Consolas"/>
          <w:b w:val="0"/>
          <w:i w:val="0"/>
          <w:sz w:val="19"/>
        </w:rPr>
        <w:t>30E/360</w:t>
      </w:r>
    </w:p>
    <w:p>
      <w:pPr>
        <w:spacing w:after="160"/>
      </w:pPr>
      <w:r>
        <w:rPr>
          <w:b w:val="0"/>
          <w:i w:val="0"/>
        </w:rPr>
        <w:t>Blank in the sample. PCS falls back to ACT/365 and warns loudly, but this should be stated — it changes every accrual in the file.</w:t>
      </w:r>
    </w:p>
    <w:p>
      <w:pPr>
        <w:pStyle w:val="Heading3"/>
      </w:pPr>
      <w:r>
        <w:rPr>
          <w:b w:val="0"/>
          <w:i w:val="0"/>
        </w:rPr>
        <w:t>6.6 · Settlement Type</w:t>
      </w:r>
    </w:p>
    <w:p>
      <w:pPr>
        <w:spacing w:after="160"/>
      </w:pPr>
      <w:r>
        <w:rPr>
          <w:rFonts w:ascii="Consolas" w:hAnsi="Consolas"/>
          <w:b w:val="0"/>
          <w:i w:val="0"/>
          <w:sz w:val="19"/>
        </w:rPr>
        <w:t>Cash</w:t>
      </w:r>
      <w:r>
        <w:rPr>
          <w:b w:val="0"/>
          <w:i w:val="0"/>
        </w:rPr>
        <w:t xml:space="preserve">    </w:t>
      </w:r>
      <w:r>
        <w:rPr>
          <w:rFonts w:ascii="Consolas" w:hAnsi="Consolas"/>
          <w:b w:val="0"/>
          <w:i w:val="0"/>
          <w:sz w:val="19"/>
        </w:rPr>
        <w:t>Capitalised</w:t>
      </w:r>
      <w:r>
        <w:rPr>
          <w:b w:val="0"/>
          <w:i w:val="0"/>
        </w:rPr>
        <w:t xml:space="preserve">    </w:t>
      </w:r>
      <w:r>
        <w:rPr>
          <w:rFonts w:ascii="Consolas" w:hAnsi="Consolas"/>
          <w:b w:val="0"/>
          <w:i w:val="0"/>
          <w:sz w:val="19"/>
        </w:rPr>
        <w:t>PIK</w:t>
      </w:r>
    </w:p>
    <w:p>
      <w:pPr>
        <w:pStyle w:val="Heading3"/>
      </w:pPr>
      <w:r>
        <w:rPr>
          <w:b w:val="0"/>
          <w:i w:val="0"/>
        </w:rPr>
        <w:t>6.7 · Calculation Method</w:t>
      </w:r>
    </w:p>
    <w:p>
      <w:pPr>
        <w:spacing w:after="80"/>
      </w:pPr>
      <w:r>
        <w:rPr>
          <w:rFonts w:ascii="Consolas" w:hAnsi="Consolas"/>
          <w:b w:val="0"/>
          <w:i w:val="0"/>
          <w:sz w:val="19"/>
        </w:rPr>
        <w:t>Day count</w:t>
      </w:r>
      <w:r>
        <w:rPr>
          <w:b w:val="0"/>
          <w:i w:val="0"/>
        </w:rPr>
        <w:t xml:space="preserve">    </w:t>
      </w:r>
      <w:r>
        <w:rPr>
          <w:rFonts w:ascii="Consolas" w:hAnsi="Consolas"/>
          <w:b w:val="0"/>
          <w:i w:val="0"/>
          <w:sz w:val="19"/>
        </w:rPr>
        <w:t>Level payment</w:t>
      </w:r>
    </w:p>
    <w:p>
      <w:pPr>
        <w:spacing w:after="160"/>
      </w:pPr>
      <w:r>
        <w:rPr>
          <w:b w:val="0"/>
          <w:i w:val="0"/>
        </w:rPr>
        <w:t>Not present in the sample; defaults to day count. This is deliberately separate from the day count convention, because level payment is an annuity calculation rather than a day count, and forcing it into that field produces plausible-looking but wrong fee accruals.</w:t>
      </w:r>
    </w:p>
    <w:p>
      <w:pPr>
        <w:pStyle w:val="Heading3"/>
      </w:pPr>
      <w:r>
        <w:rPr>
          <w:b w:val="0"/>
          <w:i w:val="0"/>
        </w:rPr>
        <w:t>6.8 · Formats</w:t>
      </w:r>
    </w:p>
    <w:tbl>
      <w:tblPr>
        <w:tblStyle w:val="TableGrid"/>
        <w:tblW w:type="auto" w:w="0"/>
        <w:jc w:val="left"/>
        <w:tblLayout w:type="fixed"/>
        <w:tblLook w:firstColumn="1" w:firstRow="1" w:lastColumn="0" w:lastRow="0" w:noHBand="0" w:noVBand="1" w:val="04A0"/>
      </w:tblPr>
      <w:tblGrid>
        <w:gridCol w:w="3324"/>
        <w:gridCol w:w="3324"/>
        <w:gridCol w:w="3324"/>
      </w:tblGrid>
      <w:tr>
        <w:tc>
          <w:tcPr>
            <w:tcW w:type="dxa" w:w="1701"/>
            <w:shd w:val="clear" w:fill="431B5B"/>
          </w:tcPr>
          <w:p>
            <w:pPr>
              <w:spacing w:after="40" w:before="40"/>
            </w:pPr>
            <w:r/>
            <w:r>
              <w:rPr>
                <w:b/>
                <w:color w:val="FFFFFF"/>
                <w:sz w:val="18"/>
              </w:rPr>
              <w:t>Data</w:t>
            </w:r>
          </w:p>
        </w:tc>
        <w:tc>
          <w:tcPr>
            <w:tcW w:type="dxa" w:w="3628"/>
            <w:shd w:val="clear" w:fill="431B5B"/>
          </w:tcPr>
          <w:p>
            <w:pPr>
              <w:spacing w:after="40" w:before="40"/>
            </w:pPr>
            <w:r/>
            <w:r>
              <w:rPr>
                <w:b/>
                <w:color w:val="FFFFFF"/>
                <w:sz w:val="18"/>
              </w:rPr>
              <w:t>Format</w:t>
            </w:r>
          </w:p>
        </w:tc>
        <w:tc>
          <w:tcPr>
            <w:tcW w:type="dxa" w:w="4309"/>
            <w:shd w:val="clear" w:fill="431B5B"/>
          </w:tcPr>
          <w:p>
            <w:pPr>
              <w:spacing w:after="40" w:before="40"/>
            </w:pPr>
            <w:r/>
            <w:r>
              <w:rPr>
                <w:b/>
                <w:color w:val="FFFFFF"/>
                <w:sz w:val="18"/>
              </w:rPr>
              <w:t>Examples</w:t>
            </w:r>
          </w:p>
        </w:tc>
      </w:tr>
      <w:tr>
        <w:tc>
          <w:tcPr>
            <w:tcW w:type="dxa" w:w="1701"/>
          </w:tcPr>
          <w:p>
            <w:pPr>
              <w:spacing w:after="40" w:before="40"/>
            </w:pPr>
            <w:r/>
            <w:r>
              <w:rPr>
                <w:sz w:val="17"/>
              </w:rPr>
              <w:t>Dates</w:t>
            </w:r>
          </w:p>
        </w:tc>
        <w:tc>
          <w:tcPr>
            <w:tcW w:type="dxa" w:w="3628"/>
          </w:tcPr>
          <w:p>
            <w:pPr>
              <w:spacing w:after="40" w:before="40"/>
            </w:pPr>
            <w:r/>
            <w:r>
              <w:rPr>
                <w:sz w:val="17"/>
              </w:rPr>
              <w:t>Real Excel dates, or ISO text</w:t>
            </w:r>
          </w:p>
        </w:tc>
        <w:tc>
          <w:tcPr>
            <w:tcW w:type="dxa" w:w="4309"/>
          </w:tcPr>
          <w:p>
            <w:pPr>
              <w:spacing w:after="40" w:before="40"/>
            </w:pPr>
            <w:r/>
            <w:r>
              <w:rPr>
                <w:sz w:val="17"/>
              </w:rPr>
              <w:t>2026-07-31</w:t>
            </w:r>
          </w:p>
        </w:tc>
      </w:tr>
      <w:tr>
        <w:tc>
          <w:tcPr>
            <w:tcW w:type="dxa" w:w="1701"/>
            <w:shd w:val="clear" w:fill="F4F4F7"/>
          </w:tcPr>
          <w:p>
            <w:pPr>
              <w:spacing w:after="40" w:before="40"/>
            </w:pPr>
            <w:r/>
            <w:r>
              <w:rPr>
                <w:sz w:val="17"/>
              </w:rPr>
              <w:t>Amounts</w:t>
            </w:r>
          </w:p>
        </w:tc>
        <w:tc>
          <w:tcPr>
            <w:tcW w:type="dxa" w:w="3628"/>
            <w:shd w:val="clear" w:fill="F4F4F7"/>
          </w:tcPr>
          <w:p>
            <w:pPr>
              <w:spacing w:after="40" w:before="40"/>
            </w:pPr>
            <w:r/>
            <w:r>
              <w:rPr>
                <w:sz w:val="17"/>
              </w:rPr>
              <w:t>Numeric; symbols and separators tolerated</w:t>
            </w:r>
          </w:p>
        </w:tc>
        <w:tc>
          <w:tcPr>
            <w:tcW w:type="dxa" w:w="4309"/>
            <w:shd w:val="clear" w:fill="F4F4F7"/>
          </w:tcPr>
          <w:p>
            <w:pPr>
              <w:spacing w:after="40" w:before="40"/>
            </w:pPr>
            <w:r/>
            <w:r>
              <w:rPr>
                <w:sz w:val="17"/>
              </w:rPr>
              <w:t>£ 23,000,000.00   ·   23000000</w:t>
            </w:r>
          </w:p>
        </w:tc>
      </w:tr>
      <w:tr>
        <w:tc>
          <w:tcPr>
            <w:tcW w:type="dxa" w:w="1701"/>
          </w:tcPr>
          <w:p>
            <w:pPr>
              <w:spacing w:after="40" w:before="40"/>
            </w:pPr>
            <w:r/>
            <w:r>
              <w:rPr>
                <w:sz w:val="17"/>
              </w:rPr>
              <w:t>Zero / nil</w:t>
            </w:r>
          </w:p>
        </w:tc>
        <w:tc>
          <w:tcPr>
            <w:tcW w:type="dxa" w:w="3628"/>
          </w:tcPr>
          <w:p>
            <w:pPr>
              <w:spacing w:after="40" w:before="40"/>
            </w:pPr>
            <w:r/>
            <w:r>
              <w:rPr>
                <w:sz w:val="17"/>
              </w:rPr>
              <w:t>Any of these read as zero</w:t>
            </w:r>
          </w:p>
        </w:tc>
        <w:tc>
          <w:tcPr>
            <w:tcW w:type="dxa" w:w="4309"/>
          </w:tcPr>
          <w:p>
            <w:pPr>
              <w:spacing w:after="40" w:before="40"/>
            </w:pPr>
            <w:r/>
            <w:r>
              <w:rPr>
                <w:sz w:val="17"/>
              </w:rPr>
              <w:t>0   ·   £ -   ·   (blank)</w:t>
            </w:r>
          </w:p>
        </w:tc>
      </w:tr>
      <w:tr>
        <w:tc>
          <w:tcPr>
            <w:tcW w:type="dxa" w:w="1701"/>
            <w:shd w:val="clear" w:fill="F4F4F7"/>
          </w:tcPr>
          <w:p>
            <w:pPr>
              <w:spacing w:after="40" w:before="40"/>
            </w:pPr>
            <w:r/>
            <w:r>
              <w:rPr>
                <w:sz w:val="17"/>
              </w:rPr>
              <w:t>Rates</w:t>
            </w:r>
          </w:p>
        </w:tc>
        <w:tc>
          <w:tcPr>
            <w:tcW w:type="dxa" w:w="3628"/>
            <w:shd w:val="clear" w:fill="F4F4F7"/>
          </w:tcPr>
          <w:p>
            <w:pPr>
              <w:spacing w:after="40" w:before="40"/>
            </w:pPr>
            <w:r/>
            <w:r>
              <w:rPr>
                <w:sz w:val="17"/>
              </w:rPr>
              <w:t>Decimals, never percentages, full precision</w:t>
            </w:r>
          </w:p>
        </w:tc>
        <w:tc>
          <w:tcPr>
            <w:tcW w:type="dxa" w:w="4309"/>
            <w:shd w:val="clear" w:fill="F4F4F7"/>
          </w:tcPr>
          <w:p>
            <w:pPr>
              <w:spacing w:after="40" w:before="40"/>
            </w:pPr>
            <w:r/>
            <w:r>
              <w:rPr>
                <w:sz w:val="17"/>
              </w:rPr>
              <w:t>0.0044669, not 0.45 or 0.45%</w:t>
            </w:r>
          </w:p>
        </w:tc>
      </w:tr>
    </w:tbl>
    <w:p>
      <w:pPr>
        <w:spacing w:after="80"/>
      </w:pPr>
    </w:p>
    <w:tbl>
      <w:tblPr>
        <w:tblStyle w:val="TableGrid"/>
        <w:tblW w:type="auto" w:w="0"/>
        <w:tblLook w:firstColumn="1" w:firstRow="1" w:lastColumn="0" w:lastRow="0" w:noHBand="0" w:noVBand="1" w:val="04A0"/>
      </w:tblPr>
      <w:tblGrid>
        <w:gridCol w:w="9972"/>
      </w:tblGrid>
      <w:tr>
        <w:tc>
          <w:tcPr>
            <w:tcW w:type="dxa" w:w="9638"/>
            <w:shd w:val="clear" w:fill="FFF8E6"/>
          </w:tcPr>
          <w:p>
            <w:pPr>
              <w:spacing w:after="40"/>
            </w:pPr>
            <w:r/>
            <w:r>
              <w:rPr>
                <w:b/>
                <w:sz w:val="19"/>
              </w:rPr>
              <w:t>A rate above 1 is rejected</w:t>
            </w:r>
          </w:p>
          <w:p>
            <w:pPr>
              <w:spacing w:after="40"/>
            </w:pPr>
            <w:r>
              <w:rPr>
                <w:sz w:val="19"/>
              </w:rPr>
              <w:t>Any rate greater than 1 is treated as a percentage entered where a decimal belongs, and the import is blocked. Mixing the two conventions is a silent hundred-fold error, so it is caught rather than tolerated.</w:t>
            </w:r>
          </w:p>
        </w:tc>
      </w:tr>
    </w:tbl>
    <w:p>
      <w:pPr>
        <w:spacing w:after="80"/>
      </w:pPr>
    </w:p>
    <w:p>
      <w:pPr>
        <w:pStyle w:val="Heading1"/>
      </w:pPr>
      <w:r>
        <w:rPr>
          <w:b w:val="0"/>
          <w:i w:val="0"/>
        </w:rPr>
        <w:t>7 · What the current sample is missing</w:t>
      </w:r>
    </w:p>
    <w:p>
      <w:pPr>
        <w:spacing w:after="200"/>
      </w:pPr>
      <w:r>
        <w:rPr>
          <w:b w:val="0"/>
          <w:i w:val="0"/>
        </w:rPr>
        <w:t>Consolidated list of everything to change or add, most significant first. Items 1 to 4 affect what PCS can compute; 5 to 10 affect what it can show and reconcile.</w:t>
      </w:r>
    </w:p>
    <w:tbl>
      <w:tblPr>
        <w:tblStyle w:val="TableGrid"/>
        <w:tblW w:type="auto" w:w="0"/>
        <w:jc w:val="left"/>
        <w:tblLayout w:type="fixed"/>
        <w:tblLook w:firstColumn="1" w:firstRow="1" w:lastColumn="0" w:lastRow="0" w:noHBand="0" w:noVBand="1" w:val="04A0"/>
      </w:tblPr>
      <w:tblGrid>
        <w:gridCol w:w="2493"/>
        <w:gridCol w:w="2493"/>
        <w:gridCol w:w="2493"/>
        <w:gridCol w:w="2493"/>
      </w:tblGrid>
      <w:tr>
        <w:tc>
          <w:tcPr>
            <w:tcW w:type="dxa" w:w="454"/>
            <w:shd w:val="clear" w:fill="431B5B"/>
          </w:tcPr>
          <w:p>
            <w:pPr>
              <w:spacing w:after="40" w:before="40"/>
            </w:pPr>
            <w:r/>
            <w:r>
              <w:rPr>
                <w:b/>
                <w:color w:val="FFFFFF"/>
                <w:sz w:val="18"/>
              </w:rPr>
              <w:t>#</w:t>
            </w:r>
          </w:p>
        </w:tc>
        <w:tc>
          <w:tcPr>
            <w:tcW w:type="dxa" w:w="2268"/>
            <w:shd w:val="clear" w:fill="431B5B"/>
          </w:tcPr>
          <w:p>
            <w:pPr>
              <w:spacing w:after="40" w:before="40"/>
            </w:pPr>
            <w:r/>
            <w:r>
              <w:rPr>
                <w:b/>
                <w:color w:val="FFFFFF"/>
                <w:sz w:val="18"/>
              </w:rPr>
              <w:t>Item</w:t>
            </w:r>
          </w:p>
        </w:tc>
        <w:tc>
          <w:tcPr>
            <w:tcW w:type="dxa" w:w="4535"/>
            <w:shd w:val="clear" w:fill="431B5B"/>
          </w:tcPr>
          <w:p>
            <w:pPr>
              <w:spacing w:after="40" w:before="40"/>
            </w:pPr>
            <w:r/>
            <w:r>
              <w:rPr>
                <w:b/>
                <w:color w:val="FFFFFF"/>
                <w:sz w:val="18"/>
              </w:rPr>
              <w:t>Why it matters</w:t>
            </w:r>
          </w:p>
        </w:tc>
        <w:tc>
          <w:tcPr>
            <w:tcW w:type="dxa" w:w="2381"/>
            <w:shd w:val="clear" w:fill="431B5B"/>
          </w:tcPr>
          <w:p>
            <w:pPr>
              <w:spacing w:after="40" w:before="40"/>
            </w:pPr>
            <w:r/>
            <w:r>
              <w:rPr>
                <w:b/>
                <w:color w:val="FFFFFF"/>
                <w:sz w:val="18"/>
              </w:rPr>
              <w:t>Status today</w:t>
            </w:r>
          </w:p>
        </w:tc>
      </w:tr>
      <w:tr>
        <w:tc>
          <w:tcPr>
            <w:tcW w:type="dxa" w:w="454"/>
          </w:tcPr>
          <w:p>
            <w:pPr>
              <w:spacing w:after="40" w:before="40"/>
            </w:pPr>
            <w:r/>
            <w:r>
              <w:rPr>
                <w:sz w:val="17"/>
              </w:rPr>
              <w:t>1</w:t>
            </w:r>
          </w:p>
        </w:tc>
        <w:tc>
          <w:tcPr>
            <w:tcW w:type="dxa" w:w="2268"/>
          </w:tcPr>
          <w:p>
            <w:pPr>
              <w:spacing w:after="40" w:before="40"/>
            </w:pPr>
            <w:r/>
            <w:r>
              <w:rPr>
                <w:sz w:val="17"/>
              </w:rPr>
              <w:t>A separate Rate/Amount pair per component</w:t>
            </w:r>
          </w:p>
        </w:tc>
        <w:tc>
          <w:tcPr>
            <w:tcW w:type="dxa" w:w="4535"/>
          </w:tcPr>
          <w:p>
            <w:pPr>
              <w:spacing w:after="40" w:before="40"/>
            </w:pPr>
            <w:r/>
            <w:r>
              <w:rPr>
                <w:sz w:val="17"/>
              </w:rPr>
              <w:t>A shared pair cannot be split, so interest cannot be reported or reconciled per component.</w:t>
            </w:r>
          </w:p>
        </w:tc>
        <w:tc>
          <w:tcPr>
            <w:tcW w:type="dxa" w:w="2381"/>
          </w:tcPr>
          <w:p>
            <w:pPr>
              <w:spacing w:after="40" w:before="40"/>
            </w:pPr>
            <w:r/>
            <w:r>
              <w:rPr>
                <w:sz w:val="17"/>
              </w:rPr>
              <w:t>One pair covers two</w:t>
            </w:r>
          </w:p>
        </w:tc>
      </w:tr>
      <w:tr>
        <w:tc>
          <w:tcPr>
            <w:tcW w:type="dxa" w:w="454"/>
            <w:shd w:val="clear" w:fill="F4F4F7"/>
          </w:tcPr>
          <w:p>
            <w:pPr>
              <w:spacing w:after="40" w:before="40"/>
            </w:pPr>
            <w:r/>
            <w:r>
              <w:rPr>
                <w:sz w:val="17"/>
              </w:rPr>
              <w:t>2</w:t>
            </w:r>
          </w:p>
        </w:tc>
        <w:tc>
          <w:tcPr>
            <w:tcW w:type="dxa" w:w="2268"/>
            <w:shd w:val="clear" w:fill="F4F4F7"/>
          </w:tcPr>
          <w:p>
            <w:pPr>
              <w:spacing w:after="40" w:before="40"/>
            </w:pPr>
            <w:r/>
            <w:r>
              <w:rPr>
                <w:sz w:val="17"/>
              </w:rPr>
              <w:t>Rates at full precision</w:t>
            </w:r>
          </w:p>
        </w:tc>
        <w:tc>
          <w:tcPr>
            <w:tcW w:type="dxa" w:w="4535"/>
            <w:shd w:val="clear" w:fill="F4F4F7"/>
          </w:tcPr>
          <w:p>
            <w:pPr>
              <w:spacing w:after="40" w:before="40"/>
            </w:pPr>
            <w:r/>
            <w:r>
              <w:rPr>
                <w:sz w:val="17"/>
              </w:rPr>
              <w:t>Four decimal places distorts a low-rate fee by about 1%.</w:t>
            </w:r>
          </w:p>
        </w:tc>
        <w:tc>
          <w:tcPr>
            <w:tcW w:type="dxa" w:w="2381"/>
            <w:shd w:val="clear" w:fill="F4F4F7"/>
          </w:tcPr>
          <w:p>
            <w:pPr>
              <w:spacing w:after="40" w:before="40"/>
            </w:pPr>
            <w:r/>
            <w:r>
              <w:rPr>
                <w:sz w:val="17"/>
              </w:rPr>
              <w:t>Rounded to 4 dp</w:t>
            </w:r>
          </w:p>
        </w:tc>
      </w:tr>
      <w:tr>
        <w:tc>
          <w:tcPr>
            <w:tcW w:type="dxa" w:w="454"/>
          </w:tcPr>
          <w:p>
            <w:pPr>
              <w:spacing w:after="40" w:before="40"/>
            </w:pPr>
            <w:r/>
            <w:r>
              <w:rPr>
                <w:sz w:val="17"/>
              </w:rPr>
              <w:t>3</w:t>
            </w:r>
          </w:p>
        </w:tc>
        <w:tc>
          <w:tcPr>
            <w:tcW w:type="dxa" w:w="2268"/>
          </w:tcPr>
          <w:p>
            <w:pPr>
              <w:spacing w:after="40" w:before="40"/>
            </w:pPr>
            <w:r/>
            <w:r>
              <w:rPr>
                <w:sz w:val="17"/>
              </w:rPr>
              <w:t>Day Count Convention</w:t>
            </w:r>
          </w:p>
        </w:tc>
        <w:tc>
          <w:tcPr>
            <w:tcW w:type="dxa" w:w="4535"/>
          </w:tcPr>
          <w:p>
            <w:pPr>
              <w:spacing w:after="40" w:before="40"/>
            </w:pPr>
            <w:r/>
            <w:r>
              <w:rPr>
                <w:sz w:val="17"/>
              </w:rPr>
              <w:t>Changes every accrual in the file. Cannot be safely defaulted.</w:t>
            </w:r>
          </w:p>
        </w:tc>
        <w:tc>
          <w:tcPr>
            <w:tcW w:type="dxa" w:w="2381"/>
          </w:tcPr>
          <w:p>
            <w:pPr>
              <w:spacing w:after="40" w:before="40"/>
            </w:pPr>
            <w:r/>
            <w:r>
              <w:rPr>
                <w:sz w:val="17"/>
              </w:rPr>
              <w:t>Blank</w:t>
            </w:r>
          </w:p>
        </w:tc>
      </w:tr>
      <w:tr>
        <w:tc>
          <w:tcPr>
            <w:tcW w:type="dxa" w:w="454"/>
            <w:shd w:val="clear" w:fill="F4F4F7"/>
          </w:tcPr>
          <w:p>
            <w:pPr>
              <w:spacing w:after="40" w:before="40"/>
            </w:pPr>
            <w:r/>
            <w:r>
              <w:rPr>
                <w:sz w:val="17"/>
              </w:rPr>
              <w:t>4</w:t>
            </w:r>
          </w:p>
        </w:tc>
        <w:tc>
          <w:tcPr>
            <w:tcW w:type="dxa" w:w="2268"/>
            <w:shd w:val="clear" w:fill="F4F4F7"/>
          </w:tcPr>
          <w:p>
            <w:pPr>
              <w:spacing w:after="40" w:before="40"/>
            </w:pPr>
            <w:r/>
            <w:r>
              <w:rPr>
                <w:sz w:val="17"/>
              </w:rPr>
              <w:t>Currency</w:t>
            </w:r>
          </w:p>
        </w:tc>
        <w:tc>
          <w:tcPr>
            <w:tcW w:type="dxa" w:w="4535"/>
            <w:shd w:val="clear" w:fill="F4F4F7"/>
          </w:tcPr>
          <w:p>
            <w:pPr>
              <w:spacing w:after="40" w:before="40"/>
            </w:pPr>
            <w:r/>
            <w:r>
              <w:rPr>
                <w:sz w:val="17"/>
              </w:rPr>
              <w:t>Stated nowhere in the workbook. PCS assumes GBP.</w:t>
            </w:r>
          </w:p>
        </w:tc>
        <w:tc>
          <w:tcPr>
            <w:tcW w:type="dxa" w:w="2381"/>
            <w:shd w:val="clear" w:fill="F4F4F7"/>
          </w:tcPr>
          <w:p>
            <w:pPr>
              <w:spacing w:after="40" w:before="40"/>
            </w:pPr>
            <w:r/>
            <w:r>
              <w:rPr>
                <w:sz w:val="17"/>
              </w:rPr>
              <w:t>Absent</w:t>
            </w:r>
          </w:p>
        </w:tc>
      </w:tr>
      <w:tr>
        <w:tc>
          <w:tcPr>
            <w:tcW w:type="dxa" w:w="454"/>
          </w:tcPr>
          <w:p>
            <w:pPr>
              <w:spacing w:after="40" w:before="40"/>
            </w:pPr>
            <w:r/>
            <w:r>
              <w:rPr>
                <w:sz w:val="17"/>
              </w:rPr>
              <w:t>5</w:t>
            </w:r>
          </w:p>
        </w:tc>
        <w:tc>
          <w:tcPr>
            <w:tcW w:type="dxa" w:w="2268"/>
          </w:tcPr>
          <w:p>
            <w:pPr>
              <w:spacing w:after="40" w:before="40"/>
            </w:pPr>
            <w:r/>
            <w:r>
              <w:rPr>
                <w:sz w:val="17"/>
              </w:rPr>
              <w:t>Days covered, or period start and end</w:t>
            </w:r>
          </w:p>
        </w:tc>
        <w:tc>
          <w:tcPr>
            <w:tcW w:type="dxa" w:w="4535"/>
          </w:tcPr>
          <w:p>
            <w:pPr>
              <w:spacing w:after="40" w:before="40"/>
            </w:pPr>
            <w:r/>
            <w:r>
              <w:rPr>
                <w:sz w:val="17"/>
              </w:rPr>
              <w:t>Currently inferred, and the two sheet types use opposite conventions.</w:t>
            </w:r>
          </w:p>
        </w:tc>
        <w:tc>
          <w:tcPr>
            <w:tcW w:type="dxa" w:w="2381"/>
          </w:tcPr>
          <w:p>
            <w:pPr>
              <w:spacing w:after="40" w:before="40"/>
            </w:pPr>
            <w:r/>
            <w:r>
              <w:rPr>
                <w:sz w:val="17"/>
              </w:rPr>
              <w:t>Absent</w:t>
            </w:r>
          </w:p>
        </w:tc>
      </w:tr>
      <w:tr>
        <w:tc>
          <w:tcPr>
            <w:tcW w:type="dxa" w:w="454"/>
            <w:shd w:val="clear" w:fill="F4F4F7"/>
          </w:tcPr>
          <w:p>
            <w:pPr>
              <w:spacing w:after="40" w:before="40"/>
            </w:pPr>
            <w:r/>
            <w:r>
              <w:rPr>
                <w:sz w:val="17"/>
              </w:rPr>
              <w:t>6</w:t>
            </w:r>
          </w:p>
        </w:tc>
        <w:tc>
          <w:tcPr>
            <w:tcW w:type="dxa" w:w="2268"/>
            <w:shd w:val="clear" w:fill="F4F4F7"/>
          </w:tcPr>
          <w:p>
            <w:pPr>
              <w:spacing w:after="40" w:before="40"/>
            </w:pPr>
            <w:r/>
            <w:r>
              <w:rPr>
                <w:sz w:val="17"/>
              </w:rPr>
              <w:t>A consolidation event</w:t>
            </w:r>
          </w:p>
        </w:tc>
        <w:tc>
          <w:tcPr>
            <w:tcW w:type="dxa" w:w="4535"/>
            <w:shd w:val="clear" w:fill="F4F4F7"/>
          </w:tcPr>
          <w:p>
            <w:pPr>
              <w:spacing w:after="40" w:before="40"/>
            </w:pPr>
            <w:r/>
            <w:r>
              <w:rPr>
                <w:sz w:val="17"/>
              </w:rPr>
              <w:t>A negotiated conversion is likely a modification under IFRS 9. Must not be inferred.</w:t>
            </w:r>
          </w:p>
        </w:tc>
        <w:tc>
          <w:tcPr>
            <w:tcW w:type="dxa" w:w="2381"/>
            <w:shd w:val="clear" w:fill="F4F4F7"/>
          </w:tcPr>
          <w:p>
            <w:pPr>
              <w:spacing w:after="40" w:before="40"/>
            </w:pPr>
            <w:r/>
            <w:r>
              <w:rPr>
                <w:sz w:val="17"/>
              </w:rPr>
              <w:t>Absent</w:t>
            </w:r>
          </w:p>
        </w:tc>
      </w:tr>
      <w:tr>
        <w:tc>
          <w:tcPr>
            <w:tcW w:type="dxa" w:w="454"/>
          </w:tcPr>
          <w:p>
            <w:pPr>
              <w:spacing w:after="40" w:before="40"/>
            </w:pPr>
            <w:r/>
            <w:r>
              <w:rPr>
                <w:sz w:val="17"/>
              </w:rPr>
              <w:t>7</w:t>
            </w:r>
          </w:p>
        </w:tc>
        <w:tc>
          <w:tcPr>
            <w:tcW w:type="dxa" w:w="2268"/>
          </w:tcPr>
          <w:p>
            <w:pPr>
              <w:spacing w:after="40" w:before="40"/>
            </w:pPr>
            <w:r/>
            <w:r>
              <w:rPr>
                <w:sz w:val="17"/>
              </w:rPr>
              <w:t>Tranche Name as a name</w:t>
            </w:r>
          </w:p>
        </w:tc>
        <w:tc>
          <w:tcPr>
            <w:tcW w:type="dxa" w:w="4535"/>
          </w:tcPr>
          <w:p>
            <w:pPr>
              <w:spacing w:after="40" w:before="40"/>
            </w:pPr>
            <w:r/>
            <w:r>
              <w:rPr>
                <w:sz w:val="17"/>
              </w:rPr>
              <w:t>Holds a date, so PCS falls back to the sheet name.</w:t>
            </w:r>
          </w:p>
        </w:tc>
        <w:tc>
          <w:tcPr>
            <w:tcW w:type="dxa" w:w="2381"/>
          </w:tcPr>
          <w:p>
            <w:pPr>
              <w:spacing w:after="40" w:before="40"/>
            </w:pPr>
            <w:r/>
            <w:r>
              <w:rPr>
                <w:sz w:val="17"/>
              </w:rPr>
              <w:t>Holds 2026-01-04</w:t>
            </w:r>
          </w:p>
        </w:tc>
      </w:tr>
      <w:tr>
        <w:tc>
          <w:tcPr>
            <w:tcW w:type="dxa" w:w="454"/>
            <w:shd w:val="clear" w:fill="F4F4F7"/>
          </w:tcPr>
          <w:p>
            <w:pPr>
              <w:spacing w:after="40" w:before="40"/>
            </w:pPr>
            <w:r/>
            <w:r>
              <w:rPr>
                <w:sz w:val="17"/>
              </w:rPr>
              <w:t>8</w:t>
            </w:r>
          </w:p>
        </w:tc>
        <w:tc>
          <w:tcPr>
            <w:tcW w:type="dxa" w:w="2268"/>
            <w:shd w:val="clear" w:fill="F4F4F7"/>
          </w:tcPr>
          <w:p>
            <w:pPr>
              <w:spacing w:after="40" w:before="40"/>
            </w:pPr>
            <w:r/>
            <w:r>
              <w:rPr>
                <w:sz w:val="17"/>
              </w:rPr>
              <w:t>A stable tranche identifier cell</w:t>
            </w:r>
          </w:p>
        </w:tc>
        <w:tc>
          <w:tcPr>
            <w:tcW w:type="dxa" w:w="4535"/>
            <w:shd w:val="clear" w:fill="F4F4F7"/>
          </w:tcPr>
          <w:p>
            <w:pPr>
              <w:spacing w:after="40" w:before="40"/>
            </w:pPr>
            <w:r/>
            <w:r>
              <w:rPr>
                <w:sz w:val="17"/>
              </w:rPr>
              <w:t>Identity rests on the worksheet name, which breaks if anyone renames a sheet.</w:t>
            </w:r>
          </w:p>
        </w:tc>
        <w:tc>
          <w:tcPr>
            <w:tcW w:type="dxa" w:w="2381"/>
            <w:shd w:val="clear" w:fill="F4F4F7"/>
          </w:tcPr>
          <w:p>
            <w:pPr>
              <w:spacing w:after="40" w:before="40"/>
            </w:pPr>
            <w:r/>
            <w:r>
              <w:rPr>
                <w:sz w:val="17"/>
              </w:rPr>
              <w:t>Absent</w:t>
            </w:r>
          </w:p>
        </w:tc>
      </w:tr>
      <w:tr>
        <w:tc>
          <w:tcPr>
            <w:tcW w:type="dxa" w:w="454"/>
          </w:tcPr>
          <w:p>
            <w:pPr>
              <w:spacing w:after="40" w:before="40"/>
            </w:pPr>
            <w:r/>
            <w:r>
              <w:rPr>
                <w:sz w:val="17"/>
              </w:rPr>
              <w:t>9</w:t>
            </w:r>
          </w:p>
        </w:tc>
        <w:tc>
          <w:tcPr>
            <w:tcW w:type="dxa" w:w="2268"/>
          </w:tcPr>
          <w:p>
            <w:pPr>
              <w:spacing w:after="40" w:before="40"/>
            </w:pPr>
            <w:r/>
            <w:r>
              <w:rPr>
                <w:sz w:val="17"/>
              </w:rPr>
              <w:t>Covenants</w:t>
            </w:r>
          </w:p>
        </w:tc>
        <w:tc>
          <w:tcPr>
            <w:tcW w:type="dxa" w:w="4535"/>
          </w:tcPr>
          <w:p>
            <w:pPr>
              <w:spacing w:after="40" w:before="40"/>
            </w:pPr>
            <w:r/>
            <w:r>
              <w:rPr>
                <w:sz w:val="17"/>
              </w:rPr>
              <w:t>Without them an external deal cannot take part in covenant monitoring, breach detection or margin step-ups — the watchlist is simply empty for it.</w:t>
            </w:r>
          </w:p>
        </w:tc>
        <w:tc>
          <w:tcPr>
            <w:tcW w:type="dxa" w:w="2381"/>
          </w:tcPr>
          <w:p>
            <w:pPr>
              <w:spacing w:after="40" w:before="40"/>
            </w:pPr>
            <w:r/>
            <w:r>
              <w:rPr>
                <w:sz w:val="17"/>
              </w:rPr>
              <w:t>Absent</w:t>
            </w:r>
          </w:p>
        </w:tc>
      </w:tr>
      <w:tr>
        <w:tc>
          <w:tcPr>
            <w:tcW w:type="dxa" w:w="454"/>
            <w:shd w:val="clear" w:fill="F4F4F7"/>
          </w:tcPr>
          <w:p>
            <w:pPr>
              <w:spacing w:after="40" w:before="40"/>
            </w:pPr>
            <w:r/>
            <w:r>
              <w:rPr>
                <w:sz w:val="17"/>
              </w:rPr>
              <w:t>10</w:t>
            </w:r>
          </w:p>
        </w:tc>
        <w:tc>
          <w:tcPr>
            <w:tcW w:type="dxa" w:w="2268"/>
            <w:shd w:val="clear" w:fill="F4F4F7"/>
          </w:tcPr>
          <w:p>
            <w:pPr>
              <w:spacing w:after="40" w:before="40"/>
            </w:pPr>
            <w:r/>
            <w:r>
              <w:rPr>
                <w:sz w:val="17"/>
              </w:rPr>
              <w:t>Debt Type</w:t>
            </w:r>
          </w:p>
        </w:tc>
        <w:tc>
          <w:tcPr>
            <w:tcW w:type="dxa" w:w="4535"/>
            <w:shd w:val="clear" w:fill="F4F4F7"/>
          </w:tcPr>
          <w:p>
            <w:pPr>
              <w:spacing w:after="40" w:before="40"/>
            </w:pPr>
            <w:r/>
            <w:r>
              <w:rPr>
                <w:sz w:val="17"/>
              </w:rPr>
              <w:t>Minor; free text used for classification.</w:t>
            </w:r>
          </w:p>
        </w:tc>
        <w:tc>
          <w:tcPr>
            <w:tcW w:type="dxa" w:w="2381"/>
            <w:shd w:val="clear" w:fill="F4F4F7"/>
          </w:tcPr>
          <w:p>
            <w:pPr>
              <w:spacing w:after="40" w:before="40"/>
            </w:pPr>
            <w:r/>
            <w:r>
              <w:rPr>
                <w:sz w:val="17"/>
              </w:rPr>
              <w:t>Blank</w:t>
            </w:r>
          </w:p>
        </w:tc>
      </w:tr>
    </w:tbl>
    <w:p>
      <w:pPr>
        <w:spacing w:after="80"/>
      </w:pPr>
    </w:p>
    <w:p>
      <w:pPr>
        <w:pStyle w:val="Heading1"/>
      </w:pPr>
      <w:r>
        <w:rPr>
          <w:b w:val="0"/>
          <w:i w:val="0"/>
        </w:rPr>
        <w:t>8 · What blocks an import, and what only warns</w:t>
      </w:r>
    </w:p>
    <w:p>
      <w:pPr>
        <w:spacing w:after="160"/>
      </w:pPr>
      <w:r>
        <w:rPr>
          <w:b w:val="0"/>
          <w:i w:val="0"/>
        </w:rPr>
        <w:t>Every workbook is checked before anything is written. The review screen shows both lists, and the import button stays disabled while any blocking problem remains.</w:t>
      </w:r>
    </w:p>
    <w:p>
      <w:pPr>
        <w:pStyle w:val="Heading2"/>
      </w:pPr>
      <w:r>
        <w:rPr>
          <w:b w:val="0"/>
          <w:i w:val="0"/>
        </w:rPr>
        <w:t>8.1 · Blocks the import</w:t>
      </w:r>
    </w:p>
    <w:p>
      <w:pPr>
        <w:pStyle w:val="ListBullet"/>
        <w:spacing w:after="60"/>
      </w:pPr>
      <w:r>
        <w:t>Company, Loan Start Date or Loan End Date is blank.</w:t>
      </w:r>
    </w:p>
    <w:p>
      <w:pPr>
        <w:pStyle w:val="ListBullet"/>
        <w:spacing w:after="60"/>
      </w:pPr>
      <w:r>
        <w:t>A value outside the allowed lists in section 6.</w:t>
      </w:r>
    </w:p>
    <w:p>
      <w:pPr>
        <w:pStyle w:val="ListBullet"/>
        <w:spacing w:after="60"/>
      </w:pPr>
      <w:r>
        <w:t>A rate greater than 1, anywhere.</w:t>
      </w:r>
    </w:p>
    <w:p>
      <w:pPr>
        <w:pStyle w:val="ListBullet"/>
        <w:spacing w:after="60"/>
      </w:pPr>
      <w:r>
        <w:t>A fixed-rate component with no Interest Rate.</w:t>
      </w:r>
    </w:p>
    <w:p>
      <w:pPr>
        <w:pStyle w:val="ListBullet"/>
        <w:spacing w:after="60"/>
      </w:pPr>
      <w:r>
        <w:t>A "Rate" column not immediately followed by "Amount".</w:t>
      </w:r>
    </w:p>
    <w:p>
      <w:pPr>
        <w:pStyle w:val="ListBullet"/>
        <w:spacing w:after="60"/>
      </w:pPr>
      <w:r>
        <w:t>A cashflow row referencing a component that is not defined on the sheet.</w:t>
      </w:r>
    </w:p>
    <w:p>
      <w:pPr>
        <w:pStyle w:val="ListBullet"/>
        <w:spacing w:after="60"/>
      </w:pPr>
      <w:r>
        <w:t>No sheet whose name begins with "Loan info".</w:t>
      </w:r>
    </w:p>
    <w:p>
      <w:pPr>
        <w:pStyle w:val="ListBullet"/>
        <w:spacing w:after="60"/>
      </w:pPr>
      <w:r>
        <w:t>More than 500,000 cashflow rows in total — see section 9.</w:t>
      </w:r>
    </w:p>
    <w:p>
      <w:pPr>
        <w:pStyle w:val="Heading2"/>
      </w:pPr>
      <w:r>
        <w:rPr>
          <w:b w:val="0"/>
          <w:i w:val="0"/>
        </w:rPr>
        <w:t>8.2 · Warns but proceeds</w:t>
      </w:r>
    </w:p>
    <w:p>
      <w:pPr>
        <w:pStyle w:val="ListBullet"/>
        <w:spacing w:after="60"/>
      </w:pPr>
      <w:r>
        <w:t>Day Count Convention blank — ACT/365 assumed.</w:t>
      </w:r>
    </w:p>
    <w:p>
      <w:pPr>
        <w:pStyle w:val="ListBullet"/>
        <w:spacing w:after="60"/>
      </w:pPr>
      <w:r>
        <w:t>Currency absent — GBP assumed.</w:t>
      </w:r>
    </w:p>
    <w:p>
      <w:pPr>
        <w:pStyle w:val="ListBullet"/>
        <w:spacing w:after="60"/>
      </w:pPr>
      <w:r>
        <w:t>Days covered inferred, with the convention used and how well it fits.</w:t>
      </w:r>
    </w:p>
    <w:p>
      <w:pPr>
        <w:pStyle w:val="ListBullet"/>
        <w:spacing w:after="60"/>
      </w:pPr>
      <w:r>
        <w:t>Rates that appear rounded, with the full-precision value PCS back-solved.</w:t>
      </w:r>
    </w:p>
    <w:p>
      <w:pPr>
        <w:pStyle w:val="ListBullet"/>
        <w:spacing w:after="60"/>
      </w:pPr>
      <w:r>
        <w:t>A Rate/Amount pair covering more than one component.</w:t>
      </w:r>
    </w:p>
    <w:p>
      <w:pPr>
        <w:pStyle w:val="ListBullet"/>
        <w:spacing w:after="60"/>
      </w:pPr>
      <w:r>
        <w:t>Tranche Name holding a date.</w:t>
      </w:r>
    </w:p>
    <w:p>
      <w:pPr>
        <w:pStyle w:val="ListBullet"/>
        <w:spacing w:after="60"/>
      </w:pPr>
      <w:r>
        <w:t>A floating component with no identifiable index.</w:t>
      </w:r>
    </w:p>
    <w:p>
      <w:pPr>
        <w:pStyle w:val="ListBullet"/>
        <w:spacing w:after="60"/>
      </w:pPr>
      <w:r>
        <w:t>Rows at the edge of the file where days covered cannot be inferred.</w:t>
      </w:r>
    </w:p>
    <w:p>
      <w:pPr>
        <w:spacing w:after="200"/>
      </w:pPr>
      <w:r>
        <w:rPr>
          <w:b w:val="0"/>
          <w:i w:val="0"/>
        </w:rPr>
        <w:t>Warnings do not change what is posted. Amounts are always taken exactly as stated — the inferences affect what is displayed and reconciled, not what reaches the ledger.</w:t>
      </w:r>
    </w:p>
    <w:p>
      <w:pPr>
        <w:pStyle w:val="Heading1"/>
      </w:pPr>
      <w:r>
        <w:rPr>
          <w:b w:val="0"/>
          <w:i w:val="0"/>
        </w:rPr>
        <w:t>9 · Size limits</w:t>
      </w:r>
    </w:p>
    <w:tbl>
      <w:tblPr>
        <w:tblStyle w:val="TableGrid"/>
        <w:tblW w:type="auto" w:w="0"/>
        <w:jc w:val="left"/>
        <w:tblLayout w:type="fixed"/>
        <w:tblLook w:firstColumn="1" w:firstRow="1" w:lastColumn="0" w:lastRow="0" w:noHBand="0" w:noVBand="1" w:val="04A0"/>
      </w:tblPr>
      <w:tblGrid>
        <w:gridCol w:w="3324"/>
        <w:gridCol w:w="3324"/>
        <w:gridCol w:w="3324"/>
      </w:tblGrid>
      <w:tr>
        <w:tc>
          <w:tcPr>
            <w:tcW w:type="dxa" w:w="2268"/>
            <w:shd w:val="clear" w:fill="431B5B"/>
          </w:tcPr>
          <w:p>
            <w:pPr>
              <w:spacing w:after="40" w:before="40"/>
            </w:pPr>
            <w:r/>
            <w:r>
              <w:rPr>
                <w:b/>
                <w:color w:val="FFFFFF"/>
                <w:sz w:val="18"/>
              </w:rPr>
              <w:t>Dimension</w:t>
            </w:r>
          </w:p>
        </w:tc>
        <w:tc>
          <w:tcPr>
            <w:tcW w:type="dxa" w:w="2268"/>
            <w:shd w:val="clear" w:fill="431B5B"/>
          </w:tcPr>
          <w:p>
            <w:pPr>
              <w:spacing w:after="40" w:before="40"/>
            </w:pPr>
            <w:r/>
            <w:r>
              <w:rPr>
                <w:b/>
                <w:color w:val="FFFFFF"/>
                <w:sz w:val="18"/>
              </w:rPr>
              <w:t>Limit</w:t>
            </w:r>
          </w:p>
        </w:tc>
        <w:tc>
          <w:tcPr>
            <w:tcW w:type="dxa" w:w="5102"/>
            <w:shd w:val="clear" w:fill="431B5B"/>
          </w:tcPr>
          <w:p>
            <w:pPr>
              <w:spacing w:after="40" w:before="40"/>
            </w:pPr>
            <w:r/>
            <w:r>
              <w:rPr>
                <w:b/>
                <w:color w:val="FFFFFF"/>
                <w:sz w:val="18"/>
              </w:rPr>
              <w:t>Notes</w:t>
            </w:r>
          </w:p>
        </w:tc>
      </w:tr>
      <w:tr>
        <w:tc>
          <w:tcPr>
            <w:tcW w:type="dxa" w:w="2268"/>
          </w:tcPr>
          <w:p>
            <w:pPr>
              <w:spacing w:after="40" w:before="40"/>
            </w:pPr>
            <w:r/>
            <w:r>
              <w:rPr>
                <w:sz w:val="17"/>
              </w:rPr>
              <w:t>Tranche worksheets</w:t>
            </w:r>
          </w:p>
        </w:tc>
        <w:tc>
          <w:tcPr>
            <w:tcW w:type="dxa" w:w="2268"/>
          </w:tcPr>
          <w:p>
            <w:pPr>
              <w:spacing w:after="40" w:before="40"/>
            </w:pPr>
            <w:r/>
            <w:r>
              <w:rPr>
                <w:sz w:val="17"/>
              </w:rPr>
              <w:t>No fixed limit</w:t>
            </w:r>
          </w:p>
        </w:tc>
        <w:tc>
          <w:tcPr>
            <w:tcW w:type="dxa" w:w="5102"/>
          </w:tcPr>
          <w:p>
            <w:pPr>
              <w:spacing w:after="40" w:before="40"/>
            </w:pPr>
            <w:r/>
            <w:r>
              <w:rPr>
                <w:sz w:val="17"/>
              </w:rPr>
              <w:t>Fifty parse in well under a second.</w:t>
            </w:r>
          </w:p>
        </w:tc>
      </w:tr>
      <w:tr>
        <w:tc>
          <w:tcPr>
            <w:tcW w:type="dxa" w:w="2268"/>
            <w:shd w:val="clear" w:fill="F4F4F7"/>
          </w:tcPr>
          <w:p>
            <w:pPr>
              <w:spacing w:after="40" w:before="40"/>
            </w:pPr>
            <w:r/>
            <w:r>
              <w:rPr>
                <w:sz w:val="17"/>
              </w:rPr>
              <w:t>Components per sheet</w:t>
            </w:r>
          </w:p>
        </w:tc>
        <w:tc>
          <w:tcPr>
            <w:tcW w:type="dxa" w:w="2268"/>
            <w:shd w:val="clear" w:fill="F4F4F7"/>
          </w:tcPr>
          <w:p>
            <w:pPr>
              <w:spacing w:after="40" w:before="40"/>
            </w:pPr>
            <w:r/>
            <w:r>
              <w:rPr>
                <w:sz w:val="17"/>
              </w:rPr>
              <w:t>No fixed limit</w:t>
            </w:r>
          </w:p>
        </w:tc>
        <w:tc>
          <w:tcPr>
            <w:tcW w:type="dxa" w:w="5102"/>
            <w:shd w:val="clear" w:fill="F4F4F7"/>
          </w:tcPr>
          <w:p>
            <w:pPr>
              <w:spacing w:after="40" w:before="40"/>
            </w:pPr>
            <w:r/>
            <w:r>
              <w:rPr>
                <w:sz w:val="17"/>
              </w:rPr>
              <w:t>Read across in steps of two until an empty name.</w:t>
            </w:r>
          </w:p>
        </w:tc>
      </w:tr>
      <w:tr>
        <w:tc>
          <w:tcPr>
            <w:tcW w:type="dxa" w:w="2268"/>
          </w:tcPr>
          <w:p>
            <w:pPr>
              <w:spacing w:after="40" w:before="40"/>
            </w:pPr>
            <w:r/>
            <w:r>
              <w:rPr>
                <w:sz w:val="17"/>
              </w:rPr>
              <w:t>Cashflow rows</w:t>
            </w:r>
          </w:p>
        </w:tc>
        <w:tc>
          <w:tcPr>
            <w:tcW w:type="dxa" w:w="2268"/>
          </w:tcPr>
          <w:p>
            <w:pPr>
              <w:spacing w:after="40" w:before="40"/>
            </w:pPr>
            <w:r/>
            <w:r>
              <w:rPr>
                <w:sz w:val="17"/>
              </w:rPr>
              <w:t>500,000 in total</w:t>
            </w:r>
          </w:p>
        </w:tc>
        <w:tc>
          <w:tcPr>
            <w:tcW w:type="dxa" w:w="5102"/>
          </w:tcPr>
          <w:p>
            <w:pPr>
              <w:spacing w:after="40" w:before="40"/>
            </w:pPr>
            <w:r/>
            <w:r>
              <w:rPr>
                <w:sz w:val="17"/>
              </w:rPr>
              <w:t>Hard stop. See below.</w:t>
            </w:r>
          </w:p>
        </w:tc>
      </w:tr>
    </w:tbl>
    <w:p>
      <w:pPr>
        <w:spacing w:after="80"/>
      </w:pPr>
    </w:p>
    <w:p>
      <w:pPr>
        <w:spacing w:after="120"/>
      </w:pPr>
      <w:r>
        <w:rPr>
          <w:b w:val="0"/>
          <w:i w:val="0"/>
        </w:rPr>
        <w:t>The row limit is a memory ceiling, not a design choice. The import runs inside the browser, and a forty-year daily schedule is roughly 30,000 rows per tranche — fifty of those is 1.5 million, which no browser tab can hold. The importer stops at the sheet that crosses the limit and names it, rather than failing unpredictably part-way through.</w:t>
      </w:r>
    </w:p>
    <w:p>
      <w:pPr>
        <w:spacing w:after="200"/>
      </w:pPr>
      <w:r>
        <w:rPr>
          <w:b/>
          <w:i w:val="0"/>
        </w:rPr>
        <w:t xml:space="preserve">For large files, use the pull API instead. </w:t>
      </w:r>
      <w:r>
        <w:rPr>
          <w:b w:val="0"/>
          <w:i w:val="0"/>
        </w:rPr>
        <w:t>It imports server-side and has no such ceiling. The Excel route is intended for smaller files, for one-off deals, and for getting started before the API is available.</w:t>
      </w:r>
    </w:p>
    <w:p>
      <w:pPr>
        <w:pStyle w:val="Heading1"/>
      </w:pPr>
      <w:r>
        <w:rPr>
          <w:b w:val="0"/>
          <w:i w:val="0"/>
        </w:rPr>
        <w:t>10 · How the import runs</w:t>
      </w:r>
    </w:p>
    <w:p>
      <w:pPr>
        <w:spacing w:after="120"/>
      </w:pPr>
      <w:r>
        <w:rPr>
          <w:b w:val="0"/>
          <w:i w:val="0"/>
        </w:rPr>
        <w:t>In the module: Tools → Import external deal.</w:t>
      </w:r>
    </w:p>
    <w:p>
      <w:pPr>
        <w:pStyle w:val="ListBullet"/>
        <w:spacing w:after="60"/>
      </w:pPr>
      <w:r>
        <w:t>Drop the workbook, or click to browse. Currency, day count and the external deal id can be overridden here if the file does not state them.</w:t>
      </w:r>
    </w:p>
    <w:p>
      <w:pPr>
        <w:pStyle w:val="ListBullet"/>
        <w:spacing w:after="60"/>
      </w:pPr>
      <w:r>
        <w:t>A review screen appears showing the facility, every component, the first rows of the cashflow schedule, and the two issue lists from section 8. Nothing has been written at this point.</w:t>
      </w:r>
    </w:p>
    <w:p>
      <w:pPr>
        <w:pStyle w:val="ListBullet"/>
        <w:spacing w:after="60"/>
      </w:pPr>
      <w:r>
        <w:t>If nothing blocks, importing writes the deal, the snapshot and the cashflows, and compares them against the previous snapshot for that deal.</w:t>
      </w:r>
    </w:p>
    <w:p>
      <w:pPr>
        <w:pStyle w:val="ListBullet"/>
        <w:spacing w:after="60"/>
      </w:pPr>
      <w:r>
        <w:t>Any figure that changed in a period already posted to Investran is flagged for review before the accounting is re-run.</w:t>
      </w:r>
    </w:p>
    <w:p>
      <w:pPr>
        <w:spacing w:after="160"/>
      </w:pPr>
      <w:r>
        <w:rPr>
          <w:b w:val="0"/>
          <w:i w:val="0"/>
        </w:rPr>
        <w:t>Re-importing an identical workbook is detected and skipped, so uploading the same file twice costs nothing and changes nothing.</w:t>
      </w:r>
    </w:p>
    <w:p>
      <w:pPr>
        <w:spacing w:after="200"/>
      </w:pPr>
      <w:r>
        <w:rPr>
          <w:b w:val="0"/>
          <w:i w:val="0"/>
        </w:rPr>
        <w:t>The imported deal is read-only in the module. Deal setup, tranches, fees and events display what was received and cannot be edited — PCS owns the accounting, PortF owns the numbers.</w:t>
      </w:r>
    </w:p>
    <w:p>
      <w:r>
        <w:rPr>
          <w:b w:val="0"/>
          <w:i/>
        </w:rPr>
        <w:t>Questions on this specification go to Ferhat Ansari.</w:t>
      </w:r>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431B5B"/>
      <w:sz w:val="36"/>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431B5B"/>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431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