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pPr>
      <w:r>
        <w:rPr>
          <w:b w:val="0"/>
          <w:i w:val="0"/>
        </w:rPr>
        <w:t>PCS Loan Module</w:t>
      </w:r>
    </w:p>
    <w:p>
      <w:pPr>
        <w:spacing w:after="200"/>
      </w:pPr>
      <w:r>
        <w:rPr>
          <w:b/>
          <w:color w:val="555F6D"/>
          <w:sz w:val="29"/>
        </w:rPr>
        <w:t>External deal intake — Excel template and API specification</w:t>
      </w:r>
    </w:p>
    <w:p>
      <w:pPr>
        <w:spacing w:after="240"/>
      </w:pPr>
      <w:r>
        <w:rPr>
          <w:b w:val="0"/>
          <w:i w:val="0"/>
        </w:rPr>
        <w:t xml:space="preserve">Version 2.0  ·  16 September 2026  ·  </w:t>
      </w:r>
      <w:r>
        <w:rPr>
          <w:b/>
          <w:i w:val="0"/>
        </w:rPr>
        <w:t>Ferhat Ansari, FIS</w:t>
      </w:r>
      <w:r>
        <w:rPr>
          <w:b w:val="0"/>
          <w:i w:val="0"/>
        </w:rPr>
        <w:t xml:space="preserve">  ·  Derived from </w:t>
      </w:r>
      <w:r>
        <w:rPr>
          <w:rFonts w:ascii="Consolas" w:hAnsi="Consolas"/>
          <w:b w:val="0"/>
          <w:i w:val="0"/>
          <w:sz w:val="19"/>
        </w:rPr>
        <w:t>PCS Loan Import New Deal.xlsx</w:t>
      </w:r>
    </w:p>
    <w:p>
      <w:pPr>
        <w:pStyle w:val="Heading2"/>
      </w:pPr>
      <w:r>
        <w:rPr>
          <w:b w:val="0"/>
          <w:i w:val="0"/>
        </w:rPr>
        <w:t>Who this is for</w:t>
      </w:r>
    </w:p>
    <w:p>
      <w:pPr>
        <w:spacing w:after="200"/>
      </w:pPr>
      <w:r>
        <w:rPr>
          <w:b w:val="0"/>
          <w:i w:val="0"/>
        </w:rPr>
        <w:t>Part A is for whoever produces the workbook. Part B is for whoever builds the API. Part C is the shared vocabulary both must use, and is the reason the two parts sit in one document rather than two.</w:t>
      </w:r>
    </w:p>
    <w:p>
      <w:pPr>
        <w:pStyle w:val="Heading1"/>
      </w:pPr>
      <w:r>
        <w:rPr>
          <w:b w:val="0"/>
          <w:i w:val="0"/>
        </w:rPr>
        <w:t>The three rules everything else follows from</w:t>
      </w:r>
    </w:p>
    <w:p>
      <w:r>
        <w:rPr>
          <w:b w:val="0"/>
          <w:i w:val="0"/>
        </w:rPr>
        <w:t>An external deal is one whose setup, events and cashflows are calculated in PortF and sent to PCS. PCS holds that data read-only and does the accounting on top of it — effective interest rate, impairment, journals, legal-entity split, and posting to Investran.</w:t>
      </w:r>
    </w:p>
    <w:p>
      <w:pPr>
        <w:spacing w:after="160"/>
      </w:pPr>
      <w:r>
        <w:rPr>
          <w:b w:val="0"/>
          <w:i w:val="0"/>
        </w:rPr>
        <w:t>There are two delivery routes: an Excel workbook and a pull API. They must describe the same deal in the same words.</w:t>
      </w:r>
    </w:p>
    <w:tbl>
      <w:tblPr>
        <w:tblStyle w:val="TableGrid"/>
        <w:tblW w:type="auto" w:w="0"/>
        <w:jc w:val="left"/>
        <w:tblLayout w:type="fixed"/>
        <w:tblLook w:firstColumn="1" w:firstRow="1" w:lastColumn="0" w:lastRow="0" w:noHBand="0" w:noVBand="1" w:val="04A0"/>
      </w:tblPr>
      <w:tblGrid>
        <w:gridCol w:w="3362"/>
        <w:gridCol w:w="3362"/>
        <w:gridCol w:w="3362"/>
      </w:tblGrid>
      <w:tr>
        <w:tc>
          <w:tcPr>
            <w:tcW w:type="dxa" w:w="1701"/>
            <w:shd w:val="clear" w:fill="431B5B"/>
          </w:tcPr>
          <w:p>
            <w:pPr>
              <w:spacing w:after="40" w:before="40"/>
            </w:pPr>
            <w:r/>
            <w:r>
              <w:rPr>
                <w:b/>
                <w:color w:val="FFFFFF"/>
                <w:sz w:val="17"/>
              </w:rPr>
              <w:t>Rule</w:t>
            </w:r>
          </w:p>
        </w:tc>
        <w:tc>
          <w:tcPr>
            <w:tcW w:type="dxa" w:w="3969"/>
            <w:shd w:val="clear" w:fill="431B5B"/>
          </w:tcPr>
          <w:p>
            <w:pPr>
              <w:spacing w:after="40" w:before="40"/>
            </w:pPr>
            <w:r/>
            <w:r>
              <w:rPr>
                <w:b/>
                <w:color w:val="FFFFFF"/>
                <w:sz w:val="17"/>
              </w:rPr>
              <w:t>What it means</w:t>
            </w:r>
          </w:p>
        </w:tc>
        <w:tc>
          <w:tcPr>
            <w:tcW w:type="dxa" w:w="4082"/>
            <w:shd w:val="clear" w:fill="431B5B"/>
          </w:tcPr>
          <w:p>
            <w:pPr>
              <w:spacing w:after="40" w:before="40"/>
            </w:pPr>
            <w:r/>
            <w:r>
              <w:rPr>
                <w:b/>
                <w:color w:val="FFFFFF"/>
                <w:sz w:val="17"/>
              </w:rPr>
              <w:t>Why</w:t>
            </w:r>
          </w:p>
        </w:tc>
      </w:tr>
      <w:tr>
        <w:tc>
          <w:tcPr>
            <w:tcW w:type="dxa" w:w="1701"/>
          </w:tcPr>
          <w:p>
            <w:pPr>
              <w:spacing w:after="40" w:before="40"/>
            </w:pPr>
            <w:r/>
            <w:r>
              <w:rPr>
                <w:sz w:val="17"/>
              </w:rPr>
              <w:t>One vocabulary</w:t>
            </w:r>
          </w:p>
        </w:tc>
        <w:tc>
          <w:tcPr>
            <w:tcW w:type="dxa" w:w="3969"/>
          </w:tcPr>
          <w:p>
            <w:pPr>
              <w:spacing w:after="40" w:before="40"/>
            </w:pPr>
            <w:r/>
            <w:r>
              <w:rPr>
                <w:sz w:val="17"/>
              </w:rPr>
              <w:t>The workbook’s Lookup values tab is the only source of legal values. The API accepts the same strings and nothing else.</w:t>
            </w:r>
          </w:p>
        </w:tc>
        <w:tc>
          <w:tcPr>
            <w:tcW w:type="dxa" w:w="4082"/>
          </w:tcPr>
          <w:p>
            <w:pPr>
              <w:spacing w:after="40" w:before="40"/>
            </w:pPr>
            <w:r/>
            <w:r>
              <w:rPr>
                <w:sz w:val="17"/>
              </w:rPr>
              <w:t>A value legal on one route and illegal on the other means a deal can be imported one way and rejected the other.</w:t>
            </w:r>
          </w:p>
        </w:tc>
      </w:tr>
      <w:tr>
        <w:tc>
          <w:tcPr>
            <w:tcW w:type="dxa" w:w="1701"/>
            <w:shd w:val="clear" w:fill="F4F4F7"/>
          </w:tcPr>
          <w:p>
            <w:pPr>
              <w:spacing w:after="40" w:before="40"/>
            </w:pPr>
            <w:r/>
            <w:r>
              <w:rPr>
                <w:sz w:val="17"/>
              </w:rPr>
              <w:t>One identity</w:t>
            </w:r>
          </w:p>
        </w:tc>
        <w:tc>
          <w:tcPr>
            <w:tcW w:type="dxa" w:w="3969"/>
            <w:shd w:val="clear" w:fill="F4F4F7"/>
          </w:tcPr>
          <w:p>
            <w:pPr>
              <w:spacing w:after="40" w:before="40"/>
            </w:pPr>
            <w:r/>
            <w:r>
              <w:rPr>
                <w:sz w:val="17"/>
              </w:rPr>
              <w:t>A deal, tranche, component and drawdown lot are identified by an id that never changes — never by a name, which users rename.</w:t>
            </w:r>
          </w:p>
        </w:tc>
        <w:tc>
          <w:tcPr>
            <w:tcW w:type="dxa" w:w="4082"/>
            <w:shd w:val="clear" w:fill="F4F4F7"/>
          </w:tcPr>
          <w:p>
            <w:pPr>
              <w:spacing w:after="40" w:before="40"/>
            </w:pPr>
            <w:r/>
            <w:r>
              <w:rPr>
                <w:sz w:val="17"/>
              </w:rPr>
              <w:t>Restatements carry no marker, so PCS spots a corrected prior period by diffing snapshots on these ids. If an id moves, a restatement is indistinguishable from new business.</w:t>
            </w:r>
          </w:p>
        </w:tc>
      </w:tr>
      <w:tr>
        <w:tc>
          <w:tcPr>
            <w:tcW w:type="dxa" w:w="1701"/>
          </w:tcPr>
          <w:p>
            <w:pPr>
              <w:spacing w:after="40" w:before="40"/>
            </w:pPr>
            <w:r/>
            <w:r>
              <w:rPr>
                <w:sz w:val="17"/>
              </w:rPr>
              <w:t>Nothing inferred</w:t>
            </w:r>
          </w:p>
        </w:tc>
        <w:tc>
          <w:tcPr>
            <w:tcW w:type="dxa" w:w="3969"/>
          </w:tcPr>
          <w:p>
            <w:pPr>
              <w:spacing w:after="40" w:before="40"/>
            </w:pPr>
            <w:r/>
            <w:r>
              <w:rPr>
                <w:sz w:val="17"/>
              </w:rPr>
              <w:t>Anything PCS would otherwise guess is stated. Where it is not, PCS reports the inference rather than hiding it.</w:t>
            </w:r>
          </w:p>
        </w:tc>
        <w:tc>
          <w:tcPr>
            <w:tcW w:type="dxa" w:w="4082"/>
          </w:tcPr>
          <w:p>
            <w:pPr>
              <w:spacing w:after="40" w:before="40"/>
            </w:pPr>
            <w:r/>
            <w:r>
              <w:rPr>
                <w:sz w:val="17"/>
              </w:rPr>
              <w:t>A silently defaulted day count is a wrong number that looks right.</w:t>
            </w:r>
          </w:p>
        </w:tc>
      </w:tr>
    </w:tbl>
    <w:p>
      <w:pPr>
        <w:spacing w:after="80"/>
      </w:pPr>
    </w:p>
    <w:tbl>
      <w:tblPr>
        <w:tblStyle w:val="TableGrid"/>
        <w:tblW w:type="auto" w:w="0"/>
        <w:tblLook w:firstColumn="1" w:firstRow="1" w:lastColumn="0" w:lastRow="0" w:noHBand="0" w:noVBand="1" w:val="04A0"/>
      </w:tblPr>
      <w:tblGrid>
        <w:gridCol w:w="10086"/>
      </w:tblGrid>
      <w:tr>
        <w:tc>
          <w:tcPr>
            <w:tcW w:type="dxa" w:w="9751"/>
            <w:shd w:val="clear" w:fill="FDECEC"/>
          </w:tcPr>
          <w:p>
            <w:pPr>
              <w:spacing w:after="40"/>
            </w:pPr>
            <w:r/>
            <w:r>
              <w:rPr>
                <w:b/>
                <w:sz w:val="19"/>
              </w:rPr>
              <w:t>The failure this prevents</w:t>
            </w:r>
          </w:p>
          <w:p>
            <w:pPr>
              <w:spacing w:after="40"/>
            </w:pPr>
            <w:r>
              <w:rPr>
                <w:sz w:val="19"/>
              </w:rPr>
              <w:t>PortF holds a GUID for every deal and tranche. The API will send them; the workbook, today, sends names. So the same tranche arriving by both routes resolves to two different records in PCS, and its accounting history splits in half — silently, because both halves look perfectly valid. Exporting the GUIDs into the workbook is the single most important open item in this document.</w:t>
            </w:r>
          </w:p>
        </w:tc>
      </w:tr>
    </w:tbl>
    <w:p>
      <w:pPr>
        <w:spacing w:after="80"/>
      </w:pPr>
    </w:p>
    <w:p>
      <w:pPr>
        <w:pStyle w:val="Heading1"/>
      </w:pPr>
      <w:r>
        <w:rPr>
          <w:b w:val="0"/>
          <w:i w:val="0"/>
        </w:rPr>
        <w:t>Part A · The Excel workbook</w:t>
      </w:r>
    </w:p>
    <w:p>
      <w:pPr>
        <w:pStyle w:val="Heading2"/>
      </w:pPr>
      <w:r>
        <w:rPr>
          <w:b w:val="0"/>
          <w:i w:val="0"/>
        </w:rPr>
        <w:t>A.1 · Structure</w:t>
      </w:r>
    </w:p>
    <w:p>
      <w:pPr>
        <w:pStyle w:val="ListBullet"/>
        <w:spacing w:after="60"/>
      </w:pPr>
      <w:r>
        <w:rPr>
          <w:rFonts w:ascii="Consolas" w:hAnsi="Consolas"/>
          <w:b w:val="0"/>
          <w:i w:val="0"/>
          <w:sz w:val="19"/>
        </w:rPr>
        <w:t>Loan info</w:t>
      </w:r>
      <w:r>
        <w:rPr>
          <w:b w:val="0"/>
          <w:i w:val="0"/>
        </w:rPr>
        <w:t xml:space="preserve"> — exactly one. Deal Setup, Facility Setup and Facility Fees blocks, then the facility cashflow table.</w:t>
      </w:r>
    </w:p>
    <w:p>
      <w:pPr>
        <w:pStyle w:val="ListBullet"/>
        <w:spacing w:after="60"/>
      </w:pPr>
      <w:r>
        <w:rPr>
          <w:rFonts w:ascii="Consolas" w:hAnsi="Consolas"/>
          <w:b w:val="0"/>
          <w:i w:val="0"/>
          <w:sz w:val="19"/>
        </w:rPr>
        <w:t>Tranche 1, Tranche 2, …</w:t>
      </w:r>
      <w:r>
        <w:rPr>
          <w:b w:val="0"/>
          <w:i w:val="0"/>
        </w:rPr>
        <w:t xml:space="preserve"> — one worksheet per tranche, up to 50. Tranche Details, Tranche Interest Details and Tranche Fees, then that tranche’s cashflow table.</w:t>
      </w:r>
    </w:p>
    <w:p>
      <w:pPr>
        <w:pStyle w:val="ListBullet"/>
        <w:spacing w:after="60"/>
      </w:pPr>
      <w:r>
        <w:rPr>
          <w:rFonts w:ascii="Consolas" w:hAnsi="Consolas"/>
          <w:b w:val="0"/>
          <w:i w:val="0"/>
          <w:sz w:val="19"/>
        </w:rPr>
        <w:t>Lookup values</w:t>
      </w:r>
      <w:r>
        <w:rPr>
          <w:b w:val="0"/>
          <w:i w:val="0"/>
        </w:rPr>
        <w:t xml:space="preserve"> — the agreed vocabulary. Every governed field is checked against it.</w:t>
      </w:r>
    </w:p>
    <w:p>
      <w:pPr>
        <w:spacing w:after="160"/>
      </w:pPr>
      <w:r>
        <w:rPr>
          <w:b w:val="0"/>
          <w:i w:val="0"/>
        </w:rPr>
        <w:t>Sheet names are matched case-insensitively and ignore spaces. Any sheet matching none of these patterns is ignored, so working notes can be left in the file.</w:t>
      </w:r>
    </w:p>
    <w:tbl>
      <w:tblPr>
        <w:tblStyle w:val="TableGrid"/>
        <w:tblW w:type="auto" w:w="0"/>
        <w:tblLook w:firstColumn="1" w:firstRow="1" w:lastColumn="0" w:lastRow="0" w:noHBand="0" w:noVBand="1" w:val="04A0"/>
      </w:tblPr>
      <w:tblGrid>
        <w:gridCol w:w="10086"/>
      </w:tblGrid>
      <w:tr>
        <w:tc>
          <w:tcPr>
            <w:tcW w:type="dxa" w:w="9751"/>
            <w:shd w:val="clear" w:fill="EEF2FF"/>
          </w:tcPr>
          <w:p>
            <w:pPr>
              <w:spacing w:after="40"/>
            </w:pPr>
            <w:r/>
            <w:r>
              <w:rPr>
                <w:b/>
                <w:sz w:val="19"/>
              </w:rPr>
              <w:t>Rows may move; labels may not</w:t>
            </w:r>
          </w:p>
          <w:p>
            <w:pPr>
              <w:spacing w:after="40"/>
            </w:pPr>
            <w:r>
              <w:rPr>
                <w:sz w:val="19"/>
              </w:rPr>
              <w:t>Nothing is read from a fixed cell address. Each block is found by its section heading and each field by its label within that block. This is not caution for its own sake — in the agreed template Tranche 1 starts its blocks on row 2 and Tranche 2 on row 3. Fixed addresses would already be wrong. Insert or delete rows freely; do not rename a label or move a value away from the cell immediately right of its label.</w:t>
            </w:r>
          </w:p>
        </w:tc>
      </w:tr>
    </w:tbl>
    <w:p>
      <w:pPr>
        <w:spacing w:after="80"/>
      </w:pPr>
    </w:p>
    <w:p>
      <w:pPr>
        <w:pStyle w:val="Heading2"/>
      </w:pPr>
      <w:r>
        <w:rPr>
          <w:b w:val="0"/>
          <w:i w:val="0"/>
        </w:rPr>
        <w:t>A.2 · Loan info — Deal Setup (labels column B, values column C)</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c>
          <w:tcPr>
            <w:tcW w:type="dxa" w:w="2041"/>
            <w:shd w:val="clear" w:fill="431B5B"/>
          </w:tcPr>
          <w:p>
            <w:pPr>
              <w:spacing w:after="40" w:before="40"/>
            </w:pPr>
            <w:r/>
            <w:r>
              <w:rPr>
                <w:b/>
                <w:color w:val="FFFFFF"/>
                <w:sz w:val="17"/>
              </w:rPr>
              <w:t>Label</w:t>
            </w:r>
          </w:p>
        </w:tc>
        <w:tc>
          <w:tcPr>
            <w:tcW w:type="dxa" w:w="1928"/>
            <w:shd w:val="clear" w:fill="431B5B"/>
          </w:tcPr>
          <w:p>
            <w:pPr>
              <w:spacing w:after="40" w:before="40"/>
            </w:pPr>
            <w:r/>
            <w:r>
              <w:rPr>
                <w:b/>
                <w:color w:val="FFFFFF"/>
                <w:sz w:val="17"/>
              </w:rPr>
              <w:t>Sample</w:t>
            </w:r>
          </w:p>
        </w:tc>
        <w:tc>
          <w:tcPr>
            <w:tcW w:type="dxa" w:w="964"/>
            <w:shd w:val="clear" w:fill="431B5B"/>
          </w:tcPr>
          <w:p>
            <w:pPr>
              <w:spacing w:after="40" w:before="40"/>
            </w:pPr>
            <w:r/>
            <w:r>
              <w:rPr>
                <w:b/>
                <w:color w:val="FFFFFF"/>
                <w:sz w:val="17"/>
              </w:rPr>
              <w:t>Required</w:t>
            </w:r>
          </w:p>
        </w:tc>
        <w:tc>
          <w:tcPr>
            <w:tcW w:type="dxa" w:w="1020"/>
            <w:shd w:val="clear" w:fill="431B5B"/>
          </w:tcPr>
          <w:p>
            <w:pPr>
              <w:spacing w:after="40" w:before="40"/>
            </w:pPr>
            <w:r/>
            <w:r>
              <w:rPr>
                <w:b/>
                <w:color w:val="FFFFFF"/>
                <w:sz w:val="17"/>
              </w:rPr>
              <w:t>Governed</w:t>
            </w:r>
          </w:p>
        </w:tc>
        <w:tc>
          <w:tcPr>
            <w:tcW w:type="dxa" w:w="3798"/>
            <w:shd w:val="clear" w:fill="431B5B"/>
          </w:tcPr>
          <w:p>
            <w:pPr>
              <w:spacing w:after="40" w:before="40"/>
            </w:pPr>
            <w:r/>
            <w:r>
              <w:rPr>
                <w:b/>
                <w:color w:val="FFFFFF"/>
                <w:sz w:val="17"/>
              </w:rPr>
              <w:t>Notes</w:t>
            </w:r>
          </w:p>
        </w:tc>
      </w:tr>
      <w:tr>
        <w:tc>
          <w:tcPr>
            <w:tcW w:type="dxa" w:w="2041"/>
          </w:tcPr>
          <w:p>
            <w:pPr>
              <w:spacing w:after="40" w:before="40"/>
            </w:pPr>
            <w:r/>
            <w:r>
              <w:rPr>
                <w:sz w:val="17"/>
              </w:rPr>
              <w:t>Deal Name</w:t>
            </w:r>
          </w:p>
        </w:tc>
        <w:tc>
          <w:tcPr>
            <w:tcW w:type="dxa" w:w="1928"/>
          </w:tcPr>
          <w:p>
            <w:pPr>
              <w:spacing w:after="40" w:before="40"/>
            </w:pPr>
            <w:r/>
            <w:r>
              <w:rPr>
                <w:sz w:val="17"/>
              </w:rPr>
              <w:t>Suffolk</w:t>
            </w:r>
          </w:p>
        </w:tc>
        <w:tc>
          <w:tcPr>
            <w:tcW w:type="dxa" w:w="964"/>
          </w:tcPr>
          <w:p>
            <w:pPr>
              <w:spacing w:after="40" w:before="40"/>
            </w:pPr>
            <w:r/>
            <w:r>
              <w:rPr>
                <w:sz w:val="17"/>
              </w:rPr>
              <w:t>Yes</w:t>
            </w:r>
          </w:p>
        </w:tc>
        <w:tc>
          <w:tcPr>
            <w:tcW w:type="dxa" w:w="1020"/>
          </w:tcPr>
          <w:p>
            <w:pPr>
              <w:spacing w:after="40" w:before="40"/>
            </w:pPr>
            <w:r/>
            <w:r>
              <w:rPr>
                <w:sz w:val="17"/>
              </w:rPr>
              <w:t>—</w:t>
            </w:r>
          </w:p>
        </w:tc>
        <w:tc>
          <w:tcPr>
            <w:tcW w:type="dxa" w:w="3798"/>
          </w:tcPr>
          <w:p>
            <w:pPr>
              <w:spacing w:after="40" w:before="40"/>
            </w:pPr>
            <w:r/>
            <w:r>
              <w:rPr>
                <w:sz w:val="17"/>
              </w:rPr>
              <w:t>Display name for the deal.</w:t>
            </w:r>
          </w:p>
        </w:tc>
      </w:tr>
      <w:tr>
        <w:tc>
          <w:tcPr>
            <w:tcW w:type="dxa" w:w="2041"/>
            <w:shd w:val="clear" w:fill="F4F4F7"/>
          </w:tcPr>
          <w:p>
            <w:pPr>
              <w:spacing w:after="40" w:before="40"/>
            </w:pPr>
            <w:r/>
            <w:r>
              <w:rPr>
                <w:sz w:val="17"/>
              </w:rPr>
              <w:t>Deal Structure</w:t>
            </w:r>
          </w:p>
        </w:tc>
        <w:tc>
          <w:tcPr>
            <w:tcW w:type="dxa" w:w="1928"/>
            <w:shd w:val="clear" w:fill="F4F4F7"/>
          </w:tcPr>
          <w:p>
            <w:pPr>
              <w:spacing w:after="40" w:before="40"/>
            </w:pPr>
            <w:r/>
            <w:r>
              <w:rPr>
                <w:sz w:val="17"/>
              </w:rPr>
              <w:t>Corporate term loan</w:t>
            </w:r>
          </w:p>
        </w:tc>
        <w:tc>
          <w:tcPr>
            <w:tcW w:type="dxa" w:w="964"/>
            <w:shd w:val="clear" w:fill="F4F4F7"/>
          </w:tcPr>
          <w:p>
            <w:pPr>
              <w:spacing w:after="40" w:before="40"/>
            </w:pPr>
            <w:r/>
            <w:r>
              <w:rPr>
                <w:sz w:val="17"/>
              </w:rPr>
              <w:t>Yes</w:t>
            </w:r>
          </w:p>
        </w:tc>
        <w:tc>
          <w:tcPr>
            <w:tcW w:type="dxa" w:w="1020"/>
            <w:shd w:val="clear" w:fill="F4F4F7"/>
          </w:tcPr>
          <w:p>
            <w:pPr>
              <w:spacing w:after="40" w:before="40"/>
            </w:pPr>
            <w:r/>
            <w:r>
              <w:rPr>
                <w:sz w:val="17"/>
              </w:rPr>
              <w:t>Yes</w:t>
            </w:r>
          </w:p>
        </w:tc>
        <w:tc>
          <w:tcPr>
            <w:tcW w:type="dxa" w:w="3798"/>
            <w:shd w:val="clear" w:fill="F4F4F7"/>
          </w:tcPr>
          <w:p>
            <w:pPr>
              <w:spacing w:after="40" w:before="40"/>
            </w:pPr>
            <w:r/>
            <w:r>
              <w:rPr>
                <w:sz w:val="17"/>
              </w:rPr>
              <w:t>Drives which config applies in PCS.</w:t>
            </w:r>
          </w:p>
        </w:tc>
      </w:tr>
      <w:tr>
        <w:tc>
          <w:tcPr>
            <w:tcW w:type="dxa" w:w="2041"/>
          </w:tcPr>
          <w:p>
            <w:pPr>
              <w:spacing w:after="40" w:before="40"/>
            </w:pPr>
            <w:r/>
            <w:r>
              <w:rPr>
                <w:sz w:val="17"/>
              </w:rPr>
              <w:t>Deal ID</w:t>
            </w:r>
          </w:p>
        </w:tc>
        <w:tc>
          <w:tcPr>
            <w:tcW w:type="dxa" w:w="1928"/>
          </w:tcPr>
          <w:p>
            <w:pPr>
              <w:spacing w:after="40" w:before="40"/>
            </w:pPr>
            <w:r/>
            <w:r>
              <w:rPr>
                <w:sz w:val="17"/>
              </w:rPr>
              <w:t>SP032</w:t>
            </w:r>
          </w:p>
        </w:tc>
        <w:tc>
          <w:tcPr>
            <w:tcW w:type="dxa" w:w="964"/>
          </w:tcPr>
          <w:p>
            <w:pPr>
              <w:spacing w:after="40" w:before="40"/>
            </w:pPr>
            <w:r/>
            <w:r>
              <w:rPr>
                <w:sz w:val="17"/>
              </w:rPr>
              <w:t>Yes</w:t>
            </w:r>
          </w:p>
        </w:tc>
        <w:tc>
          <w:tcPr>
            <w:tcW w:type="dxa" w:w="1020"/>
          </w:tcPr>
          <w:p>
            <w:pPr>
              <w:spacing w:after="40" w:before="40"/>
            </w:pPr>
            <w:r/>
            <w:r>
              <w:rPr>
                <w:sz w:val="17"/>
              </w:rPr>
              <w:t>—</w:t>
            </w:r>
          </w:p>
        </w:tc>
        <w:tc>
          <w:tcPr>
            <w:tcW w:type="dxa" w:w="3798"/>
          </w:tcPr>
          <w:p>
            <w:pPr>
              <w:spacing w:after="40" w:before="40"/>
            </w:pPr>
            <w:r/>
            <w:r>
              <w:rPr>
                <w:sz w:val="17"/>
              </w:rPr>
              <w:t>Display code. NOT the identity — see A.8.</w:t>
            </w:r>
          </w:p>
        </w:tc>
      </w:tr>
      <w:tr>
        <w:tc>
          <w:tcPr>
            <w:tcW w:type="dxa" w:w="2041"/>
            <w:shd w:val="clear" w:fill="F4F4F7"/>
          </w:tcPr>
          <w:p>
            <w:pPr>
              <w:spacing w:after="40" w:before="40"/>
            </w:pPr>
            <w:r/>
            <w:r>
              <w:rPr>
                <w:sz w:val="17"/>
              </w:rPr>
              <w:t>Counterparty</w:t>
            </w:r>
          </w:p>
        </w:tc>
        <w:tc>
          <w:tcPr>
            <w:tcW w:type="dxa" w:w="1928"/>
            <w:shd w:val="clear" w:fill="F4F4F7"/>
          </w:tcPr>
          <w:p>
            <w:pPr>
              <w:spacing w:after="40" w:before="40"/>
            </w:pPr>
            <w:r/>
            <w:r>
              <w:rPr>
                <w:sz w:val="17"/>
              </w:rPr>
              <w:t>Sizewell C Limited</w:t>
            </w:r>
          </w:p>
        </w:tc>
        <w:tc>
          <w:tcPr>
            <w:tcW w:type="dxa" w:w="964"/>
            <w:shd w:val="clear" w:fill="F4F4F7"/>
          </w:tcPr>
          <w:p>
            <w:pPr>
              <w:spacing w:after="40" w:before="40"/>
            </w:pPr>
            <w:r/>
            <w:r>
              <w:rPr>
                <w:sz w:val="17"/>
              </w:rPr>
              <w:t>No</w:t>
            </w:r>
          </w:p>
        </w:tc>
        <w:tc>
          <w:tcPr>
            <w:tcW w:type="dxa" w:w="1020"/>
            <w:shd w:val="clear" w:fill="F4F4F7"/>
          </w:tcPr>
          <w:p>
            <w:pPr>
              <w:spacing w:after="40" w:before="40"/>
            </w:pPr>
            <w:r/>
            <w:r>
              <w:rPr>
                <w:sz w:val="17"/>
              </w:rPr>
              <w:t>—</w:t>
            </w:r>
          </w:p>
        </w:tc>
        <w:tc>
          <w:tcPr>
            <w:tcW w:type="dxa" w:w="3798"/>
            <w:shd w:val="clear" w:fill="F4F4F7"/>
          </w:tcPr>
          <w:p>
            <w:pPr>
              <w:spacing w:after="40" w:before="40"/>
            </w:pPr>
            <w:r/>
            <w:r>
              <w:rPr>
                <w:sz w:val="17"/>
              </w:rPr>
            </w:r>
          </w:p>
        </w:tc>
      </w:tr>
      <w:tr>
        <w:tc>
          <w:tcPr>
            <w:tcW w:type="dxa" w:w="2041"/>
          </w:tcPr>
          <w:p>
            <w:pPr>
              <w:spacing w:after="40" w:before="40"/>
            </w:pPr>
            <w:r/>
            <w:r>
              <w:rPr>
                <w:sz w:val="17"/>
              </w:rPr>
              <w:t>Agent Name</w:t>
            </w:r>
          </w:p>
        </w:tc>
        <w:tc>
          <w:tcPr>
            <w:tcW w:type="dxa" w:w="1928"/>
          </w:tcPr>
          <w:p>
            <w:pPr>
              <w:spacing w:after="40" w:before="40"/>
            </w:pPr>
            <w:r/>
            <w:r>
              <w:rPr>
                <w:sz w:val="17"/>
              </w:rPr>
              <w:t>NWF</w:t>
            </w:r>
          </w:p>
        </w:tc>
        <w:tc>
          <w:tcPr>
            <w:tcW w:type="dxa" w:w="964"/>
          </w:tcPr>
          <w:p>
            <w:pPr>
              <w:spacing w:after="40" w:before="40"/>
            </w:pPr>
            <w:r/>
            <w:r>
              <w:rPr>
                <w:sz w:val="17"/>
              </w:rPr>
              <w:t>No</w:t>
            </w:r>
          </w:p>
        </w:tc>
        <w:tc>
          <w:tcPr>
            <w:tcW w:type="dxa" w:w="1020"/>
          </w:tcPr>
          <w:p>
            <w:pPr>
              <w:spacing w:after="40" w:before="40"/>
            </w:pPr>
            <w:r/>
            <w:r>
              <w:rPr>
                <w:sz w:val="17"/>
              </w:rPr>
              <w:t>—</w:t>
            </w:r>
          </w:p>
        </w:tc>
        <w:tc>
          <w:tcPr>
            <w:tcW w:type="dxa" w:w="3798"/>
          </w:tcPr>
          <w:p>
            <w:pPr>
              <w:spacing w:after="40" w:before="40"/>
            </w:pPr>
            <w:r/>
            <w:r>
              <w:rPr>
                <w:sz w:val="17"/>
              </w:rPr>
              <w:t>Facility / administrative agent.</w:t>
            </w:r>
          </w:p>
        </w:tc>
      </w:tr>
      <w:tr>
        <w:tc>
          <w:tcPr>
            <w:tcW w:type="dxa" w:w="2041"/>
            <w:shd w:val="clear" w:fill="F4F4F7"/>
          </w:tcPr>
          <w:p>
            <w:pPr>
              <w:spacing w:after="40" w:before="40"/>
            </w:pPr>
            <w:r/>
            <w:r>
              <w:rPr>
                <w:sz w:val="17"/>
              </w:rPr>
              <w:t>Currency</w:t>
            </w:r>
          </w:p>
        </w:tc>
        <w:tc>
          <w:tcPr>
            <w:tcW w:type="dxa" w:w="1928"/>
            <w:shd w:val="clear" w:fill="F4F4F7"/>
          </w:tcPr>
          <w:p>
            <w:pPr>
              <w:spacing w:after="40" w:before="40"/>
            </w:pPr>
            <w:r/>
            <w:r>
              <w:rPr>
                <w:sz w:val="17"/>
              </w:rPr>
              <w:t>GBP</w:t>
            </w:r>
          </w:p>
        </w:tc>
        <w:tc>
          <w:tcPr>
            <w:tcW w:type="dxa" w:w="964"/>
            <w:shd w:val="clear" w:fill="F4F4F7"/>
          </w:tcPr>
          <w:p>
            <w:pPr>
              <w:spacing w:after="40" w:before="40"/>
            </w:pPr>
            <w:r/>
            <w:r>
              <w:rPr>
                <w:sz w:val="17"/>
              </w:rPr>
              <w:t>Yes</w:t>
            </w:r>
          </w:p>
        </w:tc>
        <w:tc>
          <w:tcPr>
            <w:tcW w:type="dxa" w:w="1020"/>
            <w:shd w:val="clear" w:fill="F4F4F7"/>
          </w:tcPr>
          <w:p>
            <w:pPr>
              <w:spacing w:after="40" w:before="40"/>
            </w:pPr>
            <w:r/>
            <w:r>
              <w:rPr>
                <w:sz w:val="17"/>
              </w:rPr>
              <w:t>Yes</w:t>
            </w:r>
          </w:p>
        </w:tc>
        <w:tc>
          <w:tcPr>
            <w:tcW w:type="dxa" w:w="3798"/>
            <w:shd w:val="clear" w:fill="F4F4F7"/>
          </w:tcPr>
          <w:p>
            <w:pPr>
              <w:spacing w:after="40" w:before="40"/>
            </w:pPr>
            <w:r/>
            <w:r>
              <w:rPr>
                <w:sz w:val="17"/>
              </w:rPr>
              <w:t>Blank blocks the import.</w:t>
            </w:r>
          </w:p>
        </w:tc>
      </w:tr>
      <w:tr>
        <w:tc>
          <w:tcPr>
            <w:tcW w:type="dxa" w:w="2041"/>
          </w:tcPr>
          <w:p>
            <w:pPr>
              <w:spacing w:after="40" w:before="40"/>
            </w:pPr>
            <w:r/>
            <w:r>
              <w:rPr>
                <w:sz w:val="17"/>
              </w:rPr>
              <w:t>Accounting Framework</w:t>
            </w:r>
          </w:p>
        </w:tc>
        <w:tc>
          <w:tcPr>
            <w:tcW w:type="dxa" w:w="1928"/>
          </w:tcPr>
          <w:p>
            <w:pPr>
              <w:spacing w:after="40" w:before="40"/>
            </w:pPr>
            <w:r/>
            <w:r>
              <w:rPr>
                <w:sz w:val="17"/>
              </w:rPr>
              <w:t>IFRS</w:t>
            </w:r>
          </w:p>
        </w:tc>
        <w:tc>
          <w:tcPr>
            <w:tcW w:type="dxa" w:w="964"/>
          </w:tcPr>
          <w:p>
            <w:pPr>
              <w:spacing w:after="40" w:before="40"/>
            </w:pPr>
            <w:r/>
            <w:r>
              <w:rPr>
                <w:sz w:val="17"/>
              </w:rPr>
              <w:t>Yes</w:t>
            </w:r>
          </w:p>
        </w:tc>
        <w:tc>
          <w:tcPr>
            <w:tcW w:type="dxa" w:w="1020"/>
          </w:tcPr>
          <w:p>
            <w:pPr>
              <w:spacing w:after="40" w:before="40"/>
            </w:pPr>
            <w:r/>
            <w:r>
              <w:rPr>
                <w:sz w:val="17"/>
              </w:rPr>
              <w:t>Yes</w:t>
            </w:r>
          </w:p>
        </w:tc>
        <w:tc>
          <w:tcPr>
            <w:tcW w:type="dxa" w:w="3798"/>
          </w:tcPr>
          <w:p>
            <w:pPr>
              <w:spacing w:after="40" w:before="40"/>
            </w:pPr>
            <w:r/>
            <w:r>
              <w:rPr>
                <w:sz w:val="17"/>
              </w:rPr>
              <w:t>Drives impairment basis.</w:t>
            </w:r>
          </w:p>
        </w:tc>
      </w:tr>
      <w:tr>
        <w:tc>
          <w:tcPr>
            <w:tcW w:type="dxa" w:w="2041"/>
            <w:shd w:val="clear" w:fill="F4F4F7"/>
          </w:tcPr>
          <w:p>
            <w:pPr>
              <w:spacing w:after="40" w:before="40"/>
            </w:pPr>
            <w:r/>
            <w:r>
              <w:rPr>
                <w:sz w:val="17"/>
              </w:rPr>
              <w:t>Signing Date</w:t>
            </w:r>
          </w:p>
        </w:tc>
        <w:tc>
          <w:tcPr>
            <w:tcW w:type="dxa" w:w="1928"/>
            <w:shd w:val="clear" w:fill="F4F4F7"/>
          </w:tcPr>
          <w:p>
            <w:pPr>
              <w:spacing w:after="40" w:before="40"/>
            </w:pPr>
            <w:r/>
            <w:r>
              <w:rPr>
                <w:sz w:val="17"/>
              </w:rPr>
              <w:t>2025-11-04</w:t>
            </w:r>
          </w:p>
        </w:tc>
        <w:tc>
          <w:tcPr>
            <w:tcW w:type="dxa" w:w="964"/>
            <w:shd w:val="clear" w:fill="F4F4F7"/>
          </w:tcPr>
          <w:p>
            <w:pPr>
              <w:spacing w:after="40" w:before="40"/>
            </w:pPr>
            <w:r/>
            <w:r>
              <w:rPr>
                <w:sz w:val="17"/>
              </w:rPr>
              <w:t>No</w:t>
            </w:r>
          </w:p>
        </w:tc>
        <w:tc>
          <w:tcPr>
            <w:tcW w:type="dxa" w:w="1020"/>
            <w:shd w:val="clear" w:fill="F4F4F7"/>
          </w:tcPr>
          <w:p>
            <w:pPr>
              <w:spacing w:after="40" w:before="40"/>
            </w:pPr>
            <w:r/>
            <w:r>
              <w:rPr>
                <w:sz w:val="17"/>
              </w:rPr>
              <w:t>—</w:t>
            </w:r>
          </w:p>
        </w:tc>
        <w:tc>
          <w:tcPr>
            <w:tcW w:type="dxa" w:w="3798"/>
            <w:shd w:val="clear" w:fill="F4F4F7"/>
          </w:tcPr>
          <w:p>
            <w:pPr>
              <w:spacing w:after="40" w:before="40"/>
            </w:pPr>
            <w:r/>
            <w:r>
              <w:rPr>
                <w:sz w:val="17"/>
              </w:rPr>
              <w:t>Execution date. Not an accounting date.</w:t>
            </w:r>
          </w:p>
        </w:tc>
      </w:tr>
      <w:tr>
        <w:tc>
          <w:tcPr>
            <w:tcW w:type="dxa" w:w="2041"/>
          </w:tcPr>
          <w:p>
            <w:pPr>
              <w:spacing w:after="40" w:before="40"/>
            </w:pPr>
            <w:r/>
            <w:r>
              <w:rPr>
                <w:sz w:val="17"/>
              </w:rPr>
              <w:t>Settlement Date</w:t>
            </w:r>
          </w:p>
        </w:tc>
        <w:tc>
          <w:tcPr>
            <w:tcW w:type="dxa" w:w="1928"/>
          </w:tcPr>
          <w:p>
            <w:pPr>
              <w:spacing w:after="40" w:before="40"/>
            </w:pPr>
            <w:r/>
            <w:r>
              <w:rPr>
                <w:sz w:val="17"/>
              </w:rPr>
              <w:t>2025-11-04</w:t>
            </w:r>
          </w:p>
        </w:tc>
        <w:tc>
          <w:tcPr>
            <w:tcW w:type="dxa" w:w="964"/>
          </w:tcPr>
          <w:p>
            <w:pPr>
              <w:spacing w:after="40" w:before="40"/>
            </w:pPr>
            <w:r/>
            <w:r>
              <w:rPr>
                <w:sz w:val="17"/>
              </w:rPr>
              <w:t>Yes</w:t>
            </w:r>
          </w:p>
        </w:tc>
        <w:tc>
          <w:tcPr>
            <w:tcW w:type="dxa" w:w="1020"/>
          </w:tcPr>
          <w:p>
            <w:pPr>
              <w:spacing w:after="40" w:before="40"/>
            </w:pPr>
            <w:r/>
            <w:r>
              <w:rPr>
                <w:sz w:val="17"/>
              </w:rPr>
              <w:t>—</w:t>
            </w:r>
          </w:p>
        </w:tc>
        <w:tc>
          <w:tcPr>
            <w:tcW w:type="dxa" w:w="3798"/>
          </w:tcPr>
          <w:p>
            <w:pPr>
              <w:spacing w:after="40" w:before="40"/>
            </w:pPr>
            <w:r/>
            <w:r>
              <w:rPr>
                <w:sz w:val="17"/>
              </w:rPr>
              <w:t>Cash moves, position opens, interest accrues from here.</w:t>
            </w:r>
          </w:p>
        </w:tc>
      </w:tr>
      <w:tr>
        <w:tc>
          <w:tcPr>
            <w:tcW w:type="dxa" w:w="2041"/>
            <w:shd w:val="clear" w:fill="F4F4F7"/>
          </w:tcPr>
          <w:p>
            <w:pPr>
              <w:spacing w:after="40" w:before="40"/>
            </w:pPr>
            <w:r/>
            <w:r>
              <w:rPr>
                <w:sz w:val="17"/>
              </w:rPr>
              <w:t>Maturity Date</w:t>
            </w:r>
          </w:p>
        </w:tc>
        <w:tc>
          <w:tcPr>
            <w:tcW w:type="dxa" w:w="1928"/>
            <w:shd w:val="clear" w:fill="F4F4F7"/>
          </w:tcPr>
          <w:p>
            <w:pPr>
              <w:spacing w:after="40" w:before="40"/>
            </w:pPr>
            <w:r/>
            <w:r>
              <w:rPr>
                <w:sz w:val="17"/>
              </w:rPr>
              <w:t>2063-03-01</w:t>
            </w:r>
          </w:p>
        </w:tc>
        <w:tc>
          <w:tcPr>
            <w:tcW w:type="dxa" w:w="964"/>
            <w:shd w:val="clear" w:fill="F4F4F7"/>
          </w:tcPr>
          <w:p>
            <w:pPr>
              <w:spacing w:after="40" w:before="40"/>
            </w:pPr>
            <w:r/>
            <w:r>
              <w:rPr>
                <w:sz w:val="17"/>
              </w:rPr>
              <w:t>Yes</w:t>
            </w:r>
          </w:p>
        </w:tc>
        <w:tc>
          <w:tcPr>
            <w:tcW w:type="dxa" w:w="1020"/>
            <w:shd w:val="clear" w:fill="F4F4F7"/>
          </w:tcPr>
          <w:p>
            <w:pPr>
              <w:spacing w:after="40" w:before="40"/>
            </w:pPr>
            <w:r/>
            <w:r>
              <w:rPr>
                <w:sz w:val="17"/>
              </w:rPr>
              <w:t>—</w:t>
            </w:r>
          </w:p>
        </w:tc>
        <w:tc>
          <w:tcPr>
            <w:tcW w:type="dxa" w:w="3798"/>
            <w:shd w:val="clear" w:fill="F4F4F7"/>
          </w:tcPr>
          <w:p>
            <w:pPr>
              <w:spacing w:after="40" w:before="40"/>
            </w:pPr>
            <w:r/>
            <w:r>
              <w:rPr>
                <w:sz w:val="17"/>
              </w:rPr>
            </w:r>
          </w:p>
        </w:tc>
      </w:tr>
    </w:tbl>
    <w:p>
      <w:pPr>
        <w:spacing w:after="80"/>
      </w:pPr>
    </w:p>
    <w:p>
      <w:pPr>
        <w:pStyle w:val="Heading2"/>
      </w:pPr>
      <w:r>
        <w:rPr>
          <w:b w:val="0"/>
          <w:i w:val="0"/>
        </w:rPr>
        <w:t>A.3 · Loan info — Facility Setup (labels column E, values column F)</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c>
          <w:tcPr>
            <w:tcW w:type="dxa" w:w="2494"/>
            <w:shd w:val="clear" w:fill="431B5B"/>
          </w:tcPr>
          <w:p>
            <w:pPr>
              <w:spacing w:after="40" w:before="40"/>
            </w:pPr>
            <w:r/>
            <w:r>
              <w:rPr>
                <w:b/>
                <w:color w:val="FFFFFF"/>
                <w:sz w:val="17"/>
              </w:rPr>
              <w:t>Label</w:t>
            </w:r>
          </w:p>
        </w:tc>
        <w:tc>
          <w:tcPr>
            <w:tcW w:type="dxa" w:w="1814"/>
            <w:shd w:val="clear" w:fill="431B5B"/>
          </w:tcPr>
          <w:p>
            <w:pPr>
              <w:spacing w:after="40" w:before="40"/>
            </w:pPr>
            <w:r/>
            <w:r>
              <w:rPr>
                <w:b/>
                <w:color w:val="FFFFFF"/>
                <w:sz w:val="17"/>
              </w:rPr>
              <w:t>Sample</w:t>
            </w:r>
          </w:p>
        </w:tc>
        <w:tc>
          <w:tcPr>
            <w:tcW w:type="dxa" w:w="964"/>
            <w:shd w:val="clear" w:fill="431B5B"/>
          </w:tcPr>
          <w:p>
            <w:pPr>
              <w:spacing w:after="40" w:before="40"/>
            </w:pPr>
            <w:r/>
            <w:r>
              <w:rPr>
                <w:b/>
                <w:color w:val="FFFFFF"/>
                <w:sz w:val="17"/>
              </w:rPr>
              <w:t>Required</w:t>
            </w:r>
          </w:p>
        </w:tc>
        <w:tc>
          <w:tcPr>
            <w:tcW w:type="dxa" w:w="1020"/>
            <w:shd w:val="clear" w:fill="431B5B"/>
          </w:tcPr>
          <w:p>
            <w:pPr>
              <w:spacing w:after="40" w:before="40"/>
            </w:pPr>
            <w:r/>
            <w:r>
              <w:rPr>
                <w:b/>
                <w:color w:val="FFFFFF"/>
                <w:sz w:val="17"/>
              </w:rPr>
              <w:t>Governed</w:t>
            </w:r>
          </w:p>
        </w:tc>
        <w:tc>
          <w:tcPr>
            <w:tcW w:type="dxa" w:w="3458"/>
            <w:shd w:val="clear" w:fill="431B5B"/>
          </w:tcPr>
          <w:p>
            <w:pPr>
              <w:spacing w:after="40" w:before="40"/>
            </w:pPr>
            <w:r/>
            <w:r>
              <w:rPr>
                <w:b/>
                <w:color w:val="FFFFFF"/>
                <w:sz w:val="17"/>
              </w:rPr>
              <w:t>Notes</w:t>
            </w:r>
          </w:p>
        </w:tc>
      </w:tr>
      <w:tr>
        <w:tc>
          <w:tcPr>
            <w:tcW w:type="dxa" w:w="2494"/>
          </w:tcPr>
          <w:p>
            <w:pPr>
              <w:spacing w:after="40" w:before="40"/>
            </w:pPr>
            <w:r/>
            <w:r>
              <w:rPr>
                <w:sz w:val="17"/>
              </w:rPr>
              <w:t>Facility Name</w:t>
            </w:r>
          </w:p>
        </w:tc>
        <w:tc>
          <w:tcPr>
            <w:tcW w:type="dxa" w:w="1814"/>
          </w:tcPr>
          <w:p>
            <w:pPr>
              <w:spacing w:after="40" w:before="40"/>
            </w:pPr>
            <w:r/>
            <w:r>
              <w:rPr>
                <w:sz w:val="17"/>
              </w:rPr>
              <w:t>HMG Term Facility</w:t>
            </w:r>
          </w:p>
        </w:tc>
        <w:tc>
          <w:tcPr>
            <w:tcW w:type="dxa" w:w="964"/>
          </w:tcPr>
          <w:p>
            <w:pPr>
              <w:spacing w:after="40" w:before="40"/>
            </w:pPr>
            <w:r/>
            <w:r>
              <w:rPr>
                <w:sz w:val="17"/>
              </w:rPr>
              <w:t>No</w:t>
            </w:r>
          </w:p>
        </w:tc>
        <w:tc>
          <w:tcPr>
            <w:tcW w:type="dxa" w:w="1020"/>
          </w:tcPr>
          <w:p>
            <w:pPr>
              <w:spacing w:after="40" w:before="40"/>
            </w:pPr>
            <w:r/>
            <w:r>
              <w:rPr>
                <w:sz w:val="17"/>
              </w:rPr>
              <w:t>—</w:t>
            </w:r>
          </w:p>
        </w:tc>
        <w:tc>
          <w:tcPr>
            <w:tcW w:type="dxa" w:w="3458"/>
          </w:tcPr>
          <w:p>
            <w:pPr>
              <w:spacing w:after="40" w:before="40"/>
            </w:pPr>
            <w:r/>
            <w:r>
              <w:rPr>
                <w:sz w:val="17"/>
              </w:rPr>
              <w:t>Falls back to Deal Name.</w:t>
            </w:r>
          </w:p>
        </w:tc>
      </w:tr>
      <w:tr>
        <w:tc>
          <w:tcPr>
            <w:tcW w:type="dxa" w:w="2494"/>
            <w:shd w:val="clear" w:fill="F4F4F7"/>
          </w:tcPr>
          <w:p>
            <w:pPr>
              <w:spacing w:after="40" w:before="40"/>
            </w:pPr>
            <w:r/>
            <w:r>
              <w:rPr>
                <w:sz w:val="17"/>
              </w:rPr>
              <w:t>Total Commitment</w:t>
            </w:r>
          </w:p>
        </w:tc>
        <w:tc>
          <w:tcPr>
            <w:tcW w:type="dxa" w:w="1814"/>
            <w:shd w:val="clear" w:fill="F4F4F7"/>
          </w:tcPr>
          <w:p>
            <w:pPr>
              <w:spacing w:after="40" w:before="40"/>
            </w:pPr>
            <w:r/>
            <w:r>
              <w:rPr>
                <w:sz w:val="17"/>
              </w:rPr>
              <w:t>36,600,000,000</w:t>
            </w:r>
          </w:p>
        </w:tc>
        <w:tc>
          <w:tcPr>
            <w:tcW w:type="dxa" w:w="964"/>
            <w:shd w:val="clear" w:fill="F4F4F7"/>
          </w:tcPr>
          <w:p>
            <w:pPr>
              <w:spacing w:after="40" w:before="40"/>
            </w:pPr>
            <w:r/>
            <w:r>
              <w:rPr>
                <w:sz w:val="17"/>
              </w:rPr>
              <w:t>Yes</w:t>
            </w:r>
          </w:p>
        </w:tc>
        <w:tc>
          <w:tcPr>
            <w:tcW w:type="dxa" w:w="1020"/>
            <w:shd w:val="clear" w:fill="F4F4F7"/>
          </w:tcPr>
          <w:p>
            <w:pPr>
              <w:spacing w:after="40" w:before="40"/>
            </w:pPr>
            <w:r/>
            <w:r>
              <w:rPr>
                <w:sz w:val="17"/>
              </w:rPr>
              <w:t>—</w:t>
            </w:r>
          </w:p>
        </w:tc>
        <w:tc>
          <w:tcPr>
            <w:tcW w:type="dxa" w:w="3458"/>
            <w:shd w:val="clear" w:fill="F4F4F7"/>
          </w:tcPr>
          <w:p>
            <w:pPr>
              <w:spacing w:after="40" w:before="40"/>
            </w:pPr>
            <w:r/>
            <w:r>
              <w:rPr>
                <w:sz w:val="17"/>
              </w:rPr>
              <w:t>What the lender is obliged to advance.</w:t>
            </w:r>
          </w:p>
        </w:tc>
      </w:tr>
      <w:tr>
        <w:tc>
          <w:tcPr>
            <w:tcW w:type="dxa" w:w="2494"/>
          </w:tcPr>
          <w:p>
            <w:pPr>
              <w:spacing w:after="40" w:before="40"/>
            </w:pPr>
            <w:r/>
            <w:r>
              <w:rPr>
                <w:sz w:val="17"/>
              </w:rPr>
              <w:t>Availability End</w:t>
            </w:r>
          </w:p>
        </w:tc>
        <w:tc>
          <w:tcPr>
            <w:tcW w:type="dxa" w:w="1814"/>
          </w:tcPr>
          <w:p>
            <w:pPr>
              <w:spacing w:after="40" w:before="40"/>
            </w:pPr>
            <w:r/>
            <w:r>
              <w:rPr>
                <w:sz w:val="17"/>
              </w:rPr>
              <w:t>2043-03-01</w:t>
            </w:r>
          </w:p>
        </w:tc>
        <w:tc>
          <w:tcPr>
            <w:tcW w:type="dxa" w:w="964"/>
          </w:tcPr>
          <w:p>
            <w:pPr>
              <w:spacing w:after="40" w:before="40"/>
            </w:pPr>
            <w:r/>
            <w:r>
              <w:rPr>
                <w:sz w:val="17"/>
              </w:rPr>
              <w:t>No</w:t>
            </w:r>
          </w:p>
        </w:tc>
        <w:tc>
          <w:tcPr>
            <w:tcW w:type="dxa" w:w="1020"/>
          </w:tcPr>
          <w:p>
            <w:pPr>
              <w:spacing w:after="40" w:before="40"/>
            </w:pPr>
            <w:r/>
            <w:r>
              <w:rPr>
                <w:sz w:val="17"/>
              </w:rPr>
              <w:t>—</w:t>
            </w:r>
          </w:p>
        </w:tc>
        <w:tc>
          <w:tcPr>
            <w:tcW w:type="dxa" w:w="3458"/>
          </w:tcPr>
          <w:p>
            <w:pPr>
              <w:spacing w:after="40" w:before="40"/>
            </w:pPr>
            <w:r/>
            <w:r>
              <w:rPr>
                <w:sz w:val="17"/>
              </w:rPr>
            </w:r>
          </w:p>
        </w:tc>
      </w:tr>
      <w:tr>
        <w:tc>
          <w:tcPr>
            <w:tcW w:type="dxa" w:w="2494"/>
            <w:shd w:val="clear" w:fill="F4F4F7"/>
          </w:tcPr>
          <w:p>
            <w:pPr>
              <w:spacing w:after="40" w:before="40"/>
            </w:pPr>
            <w:r/>
            <w:r>
              <w:rPr>
                <w:sz w:val="17"/>
              </w:rPr>
              <w:t>Day Count Convention</w:t>
            </w:r>
          </w:p>
        </w:tc>
        <w:tc>
          <w:tcPr>
            <w:tcW w:type="dxa" w:w="1814"/>
            <w:shd w:val="clear" w:fill="F4F4F7"/>
          </w:tcPr>
          <w:p>
            <w:pPr>
              <w:spacing w:after="40" w:before="40"/>
            </w:pPr>
            <w:r/>
            <w:r>
              <w:rPr>
                <w:sz w:val="17"/>
              </w:rPr>
              <w:t>ACT/360</w:t>
            </w:r>
          </w:p>
        </w:tc>
        <w:tc>
          <w:tcPr>
            <w:tcW w:type="dxa" w:w="964"/>
            <w:shd w:val="clear" w:fill="F4F4F7"/>
          </w:tcPr>
          <w:p>
            <w:pPr>
              <w:spacing w:after="40" w:before="40"/>
            </w:pPr>
            <w:r/>
            <w:r>
              <w:rPr>
                <w:sz w:val="17"/>
              </w:rPr>
              <w:t>Yes</w:t>
            </w:r>
          </w:p>
        </w:tc>
        <w:tc>
          <w:tcPr>
            <w:tcW w:type="dxa" w:w="1020"/>
            <w:shd w:val="clear" w:fill="F4F4F7"/>
          </w:tcPr>
          <w:p>
            <w:pPr>
              <w:spacing w:after="40" w:before="40"/>
            </w:pPr>
            <w:r/>
            <w:r>
              <w:rPr>
                <w:sz w:val="17"/>
              </w:rPr>
              <w:t>Yes</w:t>
            </w:r>
          </w:p>
        </w:tc>
        <w:tc>
          <w:tcPr>
            <w:tcW w:type="dxa" w:w="3458"/>
            <w:shd w:val="clear" w:fill="F4F4F7"/>
          </w:tcPr>
          <w:p>
            <w:pPr>
              <w:spacing w:after="40" w:before="40"/>
            </w:pPr>
            <w:r/>
            <w:r>
              <w:rPr>
                <w:sz w:val="17"/>
              </w:rPr>
              <w:t>Blank blocks the import — it changes every accrual.</w:t>
            </w:r>
          </w:p>
        </w:tc>
      </w:tr>
      <w:tr>
        <w:tc>
          <w:tcPr>
            <w:tcW w:type="dxa" w:w="2494"/>
          </w:tcPr>
          <w:p>
            <w:pPr>
              <w:spacing w:after="40" w:before="40"/>
            </w:pPr>
            <w:r/>
            <w:r>
              <w:rPr>
                <w:sz w:val="17"/>
              </w:rPr>
              <w:t>Holiday Calendar</w:t>
            </w:r>
          </w:p>
        </w:tc>
        <w:tc>
          <w:tcPr>
            <w:tcW w:type="dxa" w:w="1814"/>
          </w:tcPr>
          <w:p>
            <w:pPr>
              <w:spacing w:after="40" w:before="40"/>
            </w:pPr>
            <w:r/>
            <w:r>
              <w:rPr>
                <w:sz w:val="17"/>
              </w:rPr>
              <w:t>UK Bank</w:t>
            </w:r>
          </w:p>
        </w:tc>
        <w:tc>
          <w:tcPr>
            <w:tcW w:type="dxa" w:w="964"/>
          </w:tcPr>
          <w:p>
            <w:pPr>
              <w:spacing w:after="40" w:before="40"/>
            </w:pPr>
            <w:r/>
            <w:r>
              <w:rPr>
                <w:sz w:val="17"/>
              </w:rPr>
              <w:t>No</w:t>
            </w:r>
          </w:p>
        </w:tc>
        <w:tc>
          <w:tcPr>
            <w:tcW w:type="dxa" w:w="1020"/>
          </w:tcPr>
          <w:p>
            <w:pPr>
              <w:spacing w:after="40" w:before="40"/>
            </w:pPr>
            <w:r/>
            <w:r>
              <w:rPr>
                <w:sz w:val="17"/>
              </w:rPr>
              <w:t>Yes</w:t>
            </w:r>
          </w:p>
        </w:tc>
        <w:tc>
          <w:tcPr>
            <w:tcW w:type="dxa" w:w="3458"/>
          </w:tcPr>
          <w:p>
            <w:pPr>
              <w:spacing w:after="40" w:before="40"/>
            </w:pPr>
            <w:r/>
            <w:r>
              <w:rPr>
                <w:sz w:val="17"/>
              </w:rPr>
              <w:t>Blank warns.</w:t>
            </w:r>
          </w:p>
        </w:tc>
      </w:tr>
      <w:tr>
        <w:tc>
          <w:tcPr>
            <w:tcW w:type="dxa" w:w="2494"/>
            <w:shd w:val="clear" w:fill="F4F4F7"/>
          </w:tcPr>
          <w:p>
            <w:pPr>
              <w:spacing w:after="40" w:before="40"/>
            </w:pPr>
            <w:r/>
            <w:r>
              <w:rPr>
                <w:sz w:val="17"/>
              </w:rPr>
              <w:t>Repayment Type</w:t>
            </w:r>
          </w:p>
        </w:tc>
        <w:tc>
          <w:tcPr>
            <w:tcW w:type="dxa" w:w="1814"/>
            <w:shd w:val="clear" w:fill="F4F4F7"/>
          </w:tcPr>
          <w:p>
            <w:pPr>
              <w:spacing w:after="40" w:before="40"/>
            </w:pPr>
            <w:r/>
            <w:r>
              <w:rPr>
                <w:sz w:val="17"/>
              </w:rPr>
              <w:t>Bullet at maturity</w:t>
            </w:r>
          </w:p>
        </w:tc>
        <w:tc>
          <w:tcPr>
            <w:tcW w:type="dxa" w:w="964"/>
            <w:shd w:val="clear" w:fill="F4F4F7"/>
          </w:tcPr>
          <w:p>
            <w:pPr>
              <w:spacing w:after="40" w:before="40"/>
            </w:pPr>
            <w:r/>
            <w:r>
              <w:rPr>
                <w:sz w:val="17"/>
              </w:rPr>
              <w:t>No</w:t>
            </w:r>
          </w:p>
        </w:tc>
        <w:tc>
          <w:tcPr>
            <w:tcW w:type="dxa" w:w="1020"/>
            <w:shd w:val="clear" w:fill="F4F4F7"/>
          </w:tcPr>
          <w:p>
            <w:pPr>
              <w:spacing w:after="40" w:before="40"/>
            </w:pPr>
            <w:r/>
            <w:r>
              <w:rPr>
                <w:sz w:val="17"/>
              </w:rPr>
              <w:t>Yes</w:t>
            </w:r>
          </w:p>
        </w:tc>
        <w:tc>
          <w:tcPr>
            <w:tcW w:type="dxa" w:w="3458"/>
            <w:shd w:val="clear" w:fill="F4F4F7"/>
          </w:tcPr>
          <w:p>
            <w:pPr>
              <w:spacing w:after="40" w:before="40"/>
            </w:pPr>
            <w:r/>
            <w:r>
              <w:rPr>
                <w:sz w:val="17"/>
              </w:rPr>
            </w:r>
          </w:p>
        </w:tc>
      </w:tr>
      <w:tr>
        <w:tc>
          <w:tcPr>
            <w:tcW w:type="dxa" w:w="2494"/>
          </w:tcPr>
          <w:p>
            <w:pPr>
              <w:spacing w:after="40" w:before="40"/>
            </w:pPr>
            <w:r/>
            <w:r>
              <w:rPr>
                <w:sz w:val="17"/>
              </w:rPr>
              <w:t>Facility Type</w:t>
            </w:r>
          </w:p>
        </w:tc>
        <w:tc>
          <w:tcPr>
            <w:tcW w:type="dxa" w:w="1814"/>
          </w:tcPr>
          <w:p>
            <w:pPr>
              <w:spacing w:after="40" w:before="40"/>
            </w:pPr>
            <w:r/>
            <w:r>
              <w:rPr>
                <w:sz w:val="17"/>
              </w:rPr>
              <w:t>Term Loan</w:t>
            </w:r>
          </w:p>
        </w:tc>
        <w:tc>
          <w:tcPr>
            <w:tcW w:type="dxa" w:w="964"/>
          </w:tcPr>
          <w:p>
            <w:pPr>
              <w:spacing w:after="40" w:before="40"/>
            </w:pPr>
            <w:r/>
            <w:r>
              <w:rPr>
                <w:sz w:val="17"/>
              </w:rPr>
              <w:t>No</w:t>
            </w:r>
          </w:p>
        </w:tc>
        <w:tc>
          <w:tcPr>
            <w:tcW w:type="dxa" w:w="1020"/>
          </w:tcPr>
          <w:p>
            <w:pPr>
              <w:spacing w:after="40" w:before="40"/>
            </w:pPr>
            <w:r/>
            <w:r>
              <w:rPr>
                <w:sz w:val="17"/>
              </w:rPr>
              <w:t>Yes</w:t>
            </w:r>
          </w:p>
        </w:tc>
        <w:tc>
          <w:tcPr>
            <w:tcW w:type="dxa" w:w="3458"/>
          </w:tcPr>
          <w:p>
            <w:pPr>
              <w:spacing w:after="40" w:before="40"/>
            </w:pPr>
            <w:r/>
            <w:r>
              <w:rPr>
                <w:sz w:val="17"/>
              </w:rPr>
            </w:r>
          </w:p>
        </w:tc>
      </w:tr>
      <w:tr>
        <w:tc>
          <w:tcPr>
            <w:tcW w:type="dxa" w:w="2494"/>
            <w:shd w:val="clear" w:fill="F4F4F7"/>
          </w:tcPr>
          <w:p>
            <w:pPr>
              <w:spacing w:after="40" w:before="40"/>
            </w:pPr>
            <w:r/>
            <w:r>
              <w:rPr>
                <w:sz w:val="17"/>
              </w:rPr>
              <w:t>Interest Accrual Period (Default)</w:t>
            </w:r>
          </w:p>
        </w:tc>
        <w:tc>
          <w:tcPr>
            <w:tcW w:type="dxa" w:w="1814"/>
            <w:shd w:val="clear" w:fill="F4F4F7"/>
          </w:tcPr>
          <w:p>
            <w:pPr>
              <w:spacing w:after="40" w:before="40"/>
            </w:pPr>
            <w:r/>
            <w:r>
              <w:rPr>
                <w:sz w:val="17"/>
              </w:rPr>
              <w:t>Monthly</w:t>
            </w:r>
          </w:p>
        </w:tc>
        <w:tc>
          <w:tcPr>
            <w:tcW w:type="dxa" w:w="964"/>
            <w:shd w:val="clear" w:fill="F4F4F7"/>
          </w:tcPr>
          <w:p>
            <w:pPr>
              <w:spacing w:after="40" w:before="40"/>
            </w:pPr>
            <w:r/>
            <w:r>
              <w:rPr>
                <w:sz w:val="17"/>
              </w:rPr>
              <w:t>No</w:t>
            </w:r>
          </w:p>
        </w:tc>
        <w:tc>
          <w:tcPr>
            <w:tcW w:type="dxa" w:w="1020"/>
            <w:shd w:val="clear" w:fill="F4F4F7"/>
          </w:tcPr>
          <w:p>
            <w:pPr>
              <w:spacing w:after="40" w:before="40"/>
            </w:pPr>
            <w:r/>
            <w:r>
              <w:rPr>
                <w:sz w:val="17"/>
              </w:rPr>
              <w:t>Yes</w:t>
            </w:r>
          </w:p>
        </w:tc>
        <w:tc>
          <w:tcPr>
            <w:tcW w:type="dxa" w:w="3458"/>
            <w:shd w:val="clear" w:fill="F4F4F7"/>
          </w:tcPr>
          <w:p>
            <w:pPr>
              <w:spacing w:after="40" w:before="40"/>
            </w:pPr>
            <w:r/>
            <w:r>
              <w:rPr>
                <w:sz w:val="17"/>
              </w:rPr>
              <w:t>Per-component Accrual Frequency overrides it.</w:t>
            </w:r>
          </w:p>
        </w:tc>
      </w:tr>
    </w:tbl>
    <w:p>
      <w:pPr>
        <w:spacing w:after="80"/>
      </w:pPr>
    </w:p>
    <w:tbl>
      <w:tblPr>
        <w:tblStyle w:val="TableGrid"/>
        <w:tblW w:type="auto" w:w="0"/>
        <w:tblLook w:firstColumn="1" w:firstRow="1" w:lastColumn="0" w:lastRow="0" w:noHBand="0" w:noVBand="1" w:val="04A0"/>
      </w:tblPr>
      <w:tblGrid>
        <w:gridCol w:w="10086"/>
      </w:tblGrid>
      <w:tr>
        <w:tc>
          <w:tcPr>
            <w:tcW w:type="dxa" w:w="9751"/>
            <w:shd w:val="clear" w:fill="FFF8E6"/>
          </w:tcPr>
          <w:p>
            <w:pPr>
              <w:spacing w:after="40"/>
            </w:pPr>
            <w:r/>
            <w:r>
              <w:rPr>
                <w:b/>
                <w:sz w:val="19"/>
              </w:rPr>
              <w:t>Total Commitment is not the maximum facility</w:t>
            </w:r>
          </w:p>
          <w:p>
            <w:pPr>
              <w:spacing w:after="40"/>
            </w:pPr>
            <w:r>
              <w:rPr>
                <w:sz w:val="19"/>
              </w:rPr>
              <w:t>In the sample, Total Commitment is £36.6bn while the opening Unfunded Balance in the cashflow table is £32.28bn — commitment exceeds the ceiling, which is backwards. PCS keeps both figures: fees accrue on the stated basis, but expected credit loss is measured against the committed amount only. One of the two numbers is wrong and it needs resolving, because it is the figure impairment is calculated on.</w:t>
            </w:r>
          </w:p>
        </w:tc>
      </w:tr>
    </w:tbl>
    <w:p>
      <w:pPr>
        <w:spacing w:after="80"/>
      </w:pPr>
    </w:p>
    <w:p>
      <w:pPr>
        <w:pStyle w:val="Heading2"/>
      </w:pPr>
      <w:r>
        <w:rPr>
          <w:b w:val="0"/>
          <w:i w:val="0"/>
        </w:rPr>
        <w:t>A.4 · Loan info — Facility Fees (labels column H, one fee per column from I)</w:t>
      </w:r>
    </w:p>
    <w:p>
      <w:pPr>
        <w:spacing w:after="120"/>
      </w:pPr>
      <w:r>
        <w:rPr>
          <w:b w:val="0"/>
          <w:i w:val="0"/>
        </w:rPr>
        <w:t>Each facility fee occupies its own column. Walk right for additional fees.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c>
          <w:tcPr>
            <w:tcW w:type="dxa" w:w="1928"/>
            <w:shd w:val="clear" w:fill="431B5B"/>
          </w:tcPr>
          <w:p>
            <w:pPr>
              <w:spacing w:after="40" w:before="40"/>
            </w:pPr>
            <w:r/>
            <w:r>
              <w:rPr>
                <w:b/>
                <w:color w:val="FFFFFF"/>
                <w:sz w:val="17"/>
              </w:rPr>
              <w:t>Label</w:t>
            </w:r>
          </w:p>
        </w:tc>
        <w:tc>
          <w:tcPr>
            <w:tcW w:type="dxa" w:w="3061"/>
            <w:shd w:val="clear" w:fill="431B5B"/>
          </w:tcPr>
          <w:p>
            <w:pPr>
              <w:spacing w:after="40" w:before="40"/>
            </w:pPr>
            <w:r/>
            <w:r>
              <w:rPr>
                <w:b/>
                <w:color w:val="FFFFFF"/>
                <w:sz w:val="17"/>
              </w:rPr>
              <w:t>Sample</w:t>
            </w:r>
          </w:p>
        </w:tc>
        <w:tc>
          <w:tcPr>
            <w:tcW w:type="dxa" w:w="1077"/>
            <w:shd w:val="clear" w:fill="431B5B"/>
          </w:tcPr>
          <w:p>
            <w:pPr>
              <w:spacing w:after="40" w:before="40"/>
            </w:pPr>
            <w:r/>
            <w:r>
              <w:rPr>
                <w:b/>
                <w:color w:val="FFFFFF"/>
                <w:sz w:val="17"/>
              </w:rPr>
              <w:t>Governed</w:t>
            </w:r>
          </w:p>
        </w:tc>
        <w:tc>
          <w:tcPr>
            <w:tcW w:type="dxa" w:w="3685"/>
            <w:shd w:val="clear" w:fill="431B5B"/>
          </w:tcPr>
          <w:p>
            <w:pPr>
              <w:spacing w:after="40" w:before="40"/>
            </w:pPr>
            <w:r/>
            <w:r>
              <w:rPr>
                <w:b/>
                <w:color w:val="FFFFFF"/>
                <w:sz w:val="17"/>
              </w:rPr>
              <w:t>Notes</w:t>
            </w:r>
          </w:p>
        </w:tc>
      </w:tr>
      <w:tr>
        <w:tc>
          <w:tcPr>
            <w:tcW w:type="dxa" w:w="1928"/>
          </w:tcPr>
          <w:p>
            <w:pPr>
              <w:spacing w:after="40" w:before="40"/>
            </w:pPr>
            <w:r/>
            <w:r>
              <w:rPr>
                <w:sz w:val="17"/>
              </w:rPr>
              <w:t>Name</w:t>
            </w:r>
          </w:p>
        </w:tc>
        <w:tc>
          <w:tcPr>
            <w:tcW w:type="dxa" w:w="3061"/>
          </w:tcPr>
          <w:p>
            <w:pPr>
              <w:spacing w:after="40" w:before="40"/>
            </w:pPr>
            <w:r/>
            <w:r>
              <w:rPr>
                <w:sz w:val="17"/>
              </w:rPr>
              <w:t>Commitment</w:t>
            </w:r>
          </w:p>
        </w:tc>
        <w:tc>
          <w:tcPr>
            <w:tcW w:type="dxa" w:w="1077"/>
          </w:tcPr>
          <w:p>
            <w:pPr>
              <w:spacing w:after="40" w:before="40"/>
            </w:pPr>
            <w:r/>
            <w:r>
              <w:rPr>
                <w:sz w:val="17"/>
              </w:rPr>
              <w:t>—</w:t>
            </w:r>
          </w:p>
        </w:tc>
        <w:tc>
          <w:tcPr>
            <w:tcW w:type="dxa" w:w="3685"/>
          </w:tcPr>
          <w:p>
            <w:pPr>
              <w:spacing w:after="40" w:before="40"/>
            </w:pPr>
            <w:r/>
            <w:r>
              <w:rPr>
                <w:sz w:val="17"/>
              </w:rPr>
              <w:t>Must match the name used in the cashflow header.</w:t>
            </w:r>
          </w:p>
        </w:tc>
      </w:tr>
      <w:tr>
        <w:tc>
          <w:tcPr>
            <w:tcW w:type="dxa" w:w="1928"/>
            <w:shd w:val="clear" w:fill="F4F4F7"/>
          </w:tcPr>
          <w:p>
            <w:pPr>
              <w:spacing w:after="40" w:before="40"/>
            </w:pPr>
            <w:r/>
            <w:r>
              <w:rPr>
                <w:sz w:val="17"/>
              </w:rPr>
              <w:t>Fee Types</w:t>
            </w:r>
          </w:p>
        </w:tc>
        <w:tc>
          <w:tcPr>
            <w:tcW w:type="dxa" w:w="3061"/>
            <w:shd w:val="clear" w:fill="F4F4F7"/>
          </w:tcPr>
          <w:p>
            <w:pPr>
              <w:spacing w:after="40" w:before="40"/>
            </w:pPr>
            <w:r/>
            <w:r>
              <w:rPr>
                <w:sz w:val="17"/>
              </w:rPr>
              <w:t>commitment</w:t>
            </w:r>
          </w:p>
        </w:tc>
        <w:tc>
          <w:tcPr>
            <w:tcW w:type="dxa" w:w="1077"/>
            <w:shd w:val="clear" w:fill="F4F4F7"/>
          </w:tcPr>
          <w:p>
            <w:pPr>
              <w:spacing w:after="40" w:before="40"/>
            </w:pPr>
            <w:r/>
            <w:r>
              <w:rPr>
                <w:sz w:val="17"/>
              </w:rPr>
              <w:t>Yes</w:t>
            </w:r>
          </w:p>
        </w:tc>
        <w:tc>
          <w:tcPr>
            <w:tcW w:type="dxa" w:w="3685"/>
            <w:shd w:val="clear" w:fill="F4F4F7"/>
          </w:tcPr>
          <w:p>
            <w:pPr>
              <w:spacing w:after="40" w:before="40"/>
            </w:pPr>
            <w:r/>
            <w:r>
              <w:rPr>
                <w:sz w:val="17"/>
              </w:rPr>
            </w:r>
          </w:p>
        </w:tc>
      </w:tr>
      <w:tr>
        <w:tc>
          <w:tcPr>
            <w:tcW w:type="dxa" w:w="1928"/>
          </w:tcPr>
          <w:p>
            <w:pPr>
              <w:spacing w:after="40" w:before="40"/>
            </w:pPr>
            <w:r/>
            <w:r>
              <w:rPr>
                <w:sz w:val="17"/>
              </w:rPr>
              <w:t>Posting Type</w:t>
            </w:r>
          </w:p>
        </w:tc>
        <w:tc>
          <w:tcPr>
            <w:tcW w:type="dxa" w:w="3061"/>
          </w:tcPr>
          <w:p>
            <w:pPr>
              <w:spacing w:after="40" w:before="40"/>
            </w:pPr>
            <w:r/>
            <w:r>
              <w:rPr>
                <w:sz w:val="17"/>
              </w:rPr>
              <w:t>Fee</w:t>
            </w:r>
          </w:p>
        </w:tc>
        <w:tc>
          <w:tcPr>
            <w:tcW w:type="dxa" w:w="1077"/>
          </w:tcPr>
          <w:p>
            <w:pPr>
              <w:spacing w:after="40" w:before="40"/>
            </w:pPr>
            <w:r/>
            <w:r>
              <w:rPr>
                <w:sz w:val="17"/>
              </w:rPr>
              <w:t>—</w:t>
            </w:r>
          </w:p>
        </w:tc>
        <w:tc>
          <w:tcPr>
            <w:tcW w:type="dxa" w:w="3685"/>
          </w:tcPr>
          <w:p>
            <w:pPr>
              <w:spacing w:after="40" w:before="40"/>
            </w:pPr>
            <w:r/>
            <w:r>
              <w:rPr>
                <w:sz w:val="17"/>
              </w:rPr>
            </w:r>
          </w:p>
        </w:tc>
      </w:tr>
      <w:tr>
        <w:tc>
          <w:tcPr>
            <w:tcW w:type="dxa" w:w="1928"/>
            <w:shd w:val="clear" w:fill="F4F4F7"/>
          </w:tcPr>
          <w:p>
            <w:pPr>
              <w:spacing w:after="40" w:before="40"/>
            </w:pPr>
            <w:r/>
            <w:r>
              <w:rPr>
                <w:sz w:val="17"/>
              </w:rPr>
              <w:t>Applies to</w:t>
            </w:r>
          </w:p>
        </w:tc>
        <w:tc>
          <w:tcPr>
            <w:tcW w:type="dxa" w:w="3061"/>
            <w:shd w:val="clear" w:fill="F4F4F7"/>
          </w:tcPr>
          <w:p>
            <w:pPr>
              <w:spacing w:after="40" w:before="40"/>
            </w:pPr>
            <w:r/>
            <w:r>
              <w:rPr>
                <w:sz w:val="17"/>
              </w:rPr>
              <w:t>Facility-wide</w:t>
            </w:r>
          </w:p>
        </w:tc>
        <w:tc>
          <w:tcPr>
            <w:tcW w:type="dxa" w:w="1077"/>
            <w:shd w:val="clear" w:fill="F4F4F7"/>
          </w:tcPr>
          <w:p>
            <w:pPr>
              <w:spacing w:after="40" w:before="40"/>
            </w:pPr>
            <w:r/>
            <w:r>
              <w:rPr>
                <w:sz w:val="17"/>
              </w:rPr>
              <w:t>—</w:t>
            </w:r>
          </w:p>
        </w:tc>
        <w:tc>
          <w:tcPr>
            <w:tcW w:type="dxa" w:w="3685"/>
            <w:shd w:val="clear" w:fill="F4F4F7"/>
          </w:tcPr>
          <w:p>
            <w:pPr>
              <w:spacing w:after="40" w:before="40"/>
            </w:pPr>
            <w:r/>
            <w:r>
              <w:rPr>
                <w:sz w:val="17"/>
              </w:rPr>
            </w:r>
          </w:p>
        </w:tc>
      </w:tr>
      <w:tr>
        <w:tc>
          <w:tcPr>
            <w:tcW w:type="dxa" w:w="1928"/>
          </w:tcPr>
          <w:p>
            <w:pPr>
              <w:spacing w:after="40" w:before="40"/>
            </w:pPr>
            <w:r/>
            <w:r>
              <w:rPr>
                <w:sz w:val="17"/>
              </w:rPr>
              <w:t>%</w:t>
            </w:r>
          </w:p>
        </w:tc>
        <w:tc>
          <w:tcPr>
            <w:tcW w:type="dxa" w:w="3061"/>
          </w:tcPr>
          <w:p>
            <w:pPr>
              <w:spacing w:after="40" w:before="40"/>
            </w:pPr>
            <w:r/>
            <w:r>
              <w:rPr>
                <w:sz w:val="17"/>
              </w:rPr>
              <w:t>0.0045</w:t>
            </w:r>
          </w:p>
        </w:tc>
        <w:tc>
          <w:tcPr>
            <w:tcW w:type="dxa" w:w="1077"/>
          </w:tcPr>
          <w:p>
            <w:pPr>
              <w:spacing w:after="40" w:before="40"/>
            </w:pPr>
            <w:r/>
            <w:r>
              <w:rPr>
                <w:sz w:val="17"/>
              </w:rPr>
              <w:t>—</w:t>
            </w:r>
          </w:p>
        </w:tc>
        <w:tc>
          <w:tcPr>
            <w:tcW w:type="dxa" w:w="3685"/>
          </w:tcPr>
          <w:p>
            <w:pPr>
              <w:spacing w:after="40" w:before="40"/>
            </w:pPr>
            <w:r/>
            <w:r>
              <w:rPr>
                <w:sz w:val="17"/>
              </w:rPr>
              <w:t>Decimal, full precision. See A.7.</w:t>
            </w:r>
          </w:p>
        </w:tc>
      </w:tr>
      <w:tr>
        <w:tc>
          <w:tcPr>
            <w:tcW w:type="dxa" w:w="1928"/>
            <w:shd w:val="clear" w:fill="F4F4F7"/>
          </w:tcPr>
          <w:p>
            <w:pPr>
              <w:spacing w:after="40" w:before="40"/>
            </w:pPr>
            <w:r/>
            <w:r>
              <w:rPr>
                <w:sz w:val="17"/>
              </w:rPr>
              <w:t>Base</w:t>
            </w:r>
          </w:p>
        </w:tc>
        <w:tc>
          <w:tcPr>
            <w:tcW w:type="dxa" w:w="3061"/>
            <w:shd w:val="clear" w:fill="F4F4F7"/>
          </w:tcPr>
          <w:p>
            <w:pPr>
              <w:spacing w:after="40" w:before="40"/>
            </w:pPr>
            <w:r/>
            <w:r>
              <w:rPr>
                <w:sz w:val="17"/>
              </w:rPr>
              <w:t>Commitment</w:t>
            </w:r>
          </w:p>
        </w:tc>
        <w:tc>
          <w:tcPr>
            <w:tcW w:type="dxa" w:w="1077"/>
            <w:shd w:val="clear" w:fill="F4F4F7"/>
          </w:tcPr>
          <w:p>
            <w:pPr>
              <w:spacing w:after="40" w:before="40"/>
            </w:pPr>
            <w:r/>
            <w:r>
              <w:rPr>
                <w:sz w:val="17"/>
              </w:rPr>
              <w:t>Yes</w:t>
            </w:r>
          </w:p>
        </w:tc>
        <w:tc>
          <w:tcPr>
            <w:tcW w:type="dxa" w:w="3685"/>
            <w:shd w:val="clear" w:fill="F4F4F7"/>
          </w:tcPr>
          <w:p>
            <w:pPr>
              <w:spacing w:after="40" w:before="40"/>
            </w:pPr>
            <w:r/>
            <w:r>
              <w:rPr>
                <w:sz w:val="17"/>
              </w:rPr>
              <w:t>Blank warns — amounts still post.</w:t>
            </w:r>
          </w:p>
        </w:tc>
      </w:tr>
      <w:tr>
        <w:tc>
          <w:tcPr>
            <w:tcW w:type="dxa" w:w="1928"/>
          </w:tcPr>
          <w:p>
            <w:pPr>
              <w:spacing w:after="40" w:before="40"/>
            </w:pPr>
            <w:r/>
            <w:r>
              <w:rPr>
                <w:sz w:val="17"/>
              </w:rPr>
              <w:t>Frequency</w:t>
            </w:r>
          </w:p>
        </w:tc>
        <w:tc>
          <w:tcPr>
            <w:tcW w:type="dxa" w:w="3061"/>
          </w:tcPr>
          <w:p>
            <w:pPr>
              <w:spacing w:after="40" w:before="40"/>
            </w:pPr>
            <w:r/>
            <w:r>
              <w:rPr>
                <w:sz w:val="17"/>
              </w:rPr>
              <w:t>Semi</w:t>
            </w:r>
          </w:p>
        </w:tc>
        <w:tc>
          <w:tcPr>
            <w:tcW w:type="dxa" w:w="1077"/>
          </w:tcPr>
          <w:p>
            <w:pPr>
              <w:spacing w:after="40" w:before="40"/>
            </w:pPr>
            <w:r/>
            <w:r>
              <w:rPr>
                <w:sz w:val="17"/>
              </w:rPr>
              <w:t>Yes</w:t>
            </w:r>
          </w:p>
        </w:tc>
        <w:tc>
          <w:tcPr>
            <w:tcW w:type="dxa" w:w="3685"/>
          </w:tcPr>
          <w:p>
            <w:pPr>
              <w:spacing w:after="40" w:before="40"/>
            </w:pPr>
            <w:r/>
            <w:r>
              <w:rPr>
                <w:sz w:val="17"/>
              </w:rPr>
            </w:r>
          </w:p>
        </w:tc>
      </w:tr>
      <w:tr>
        <w:tc>
          <w:tcPr>
            <w:tcW w:type="dxa" w:w="1928"/>
            <w:shd w:val="clear" w:fill="F4F4F7"/>
          </w:tcPr>
          <w:p>
            <w:pPr>
              <w:spacing w:after="40" w:before="40"/>
            </w:pPr>
            <w:r/>
            <w:r>
              <w:rPr>
                <w:sz w:val="17"/>
              </w:rPr>
              <w:t>Payment Date</w:t>
            </w:r>
          </w:p>
        </w:tc>
        <w:tc>
          <w:tcPr>
            <w:tcW w:type="dxa" w:w="3061"/>
            <w:shd w:val="clear" w:fill="F4F4F7"/>
          </w:tcPr>
          <w:p>
            <w:pPr>
              <w:spacing w:after="40" w:before="40"/>
            </w:pPr>
            <w:r/>
            <w:r>
              <w:rPr>
                <w:sz w:val="17"/>
              </w:rPr>
              <w:t>2026-01-04</w:t>
            </w:r>
          </w:p>
        </w:tc>
        <w:tc>
          <w:tcPr>
            <w:tcW w:type="dxa" w:w="1077"/>
            <w:shd w:val="clear" w:fill="F4F4F7"/>
          </w:tcPr>
          <w:p>
            <w:pPr>
              <w:spacing w:after="40" w:before="40"/>
            </w:pPr>
            <w:r/>
            <w:r>
              <w:rPr>
                <w:sz w:val="17"/>
              </w:rPr>
              <w:t>—</w:t>
            </w:r>
          </w:p>
        </w:tc>
        <w:tc>
          <w:tcPr>
            <w:tcW w:type="dxa" w:w="3685"/>
            <w:shd w:val="clear" w:fill="F4F4F7"/>
          </w:tcPr>
          <w:p>
            <w:pPr>
              <w:spacing w:after="40" w:before="40"/>
            </w:pPr>
            <w:r/>
            <w:r>
              <w:rPr>
                <w:sz w:val="17"/>
              </w:rPr>
              <w:t>First settlement.</w:t>
            </w:r>
          </w:p>
        </w:tc>
      </w:tr>
      <w:tr>
        <w:tc>
          <w:tcPr>
            <w:tcW w:type="dxa" w:w="1928"/>
          </w:tcPr>
          <w:p>
            <w:pPr>
              <w:spacing w:after="40" w:before="40"/>
            </w:pPr>
            <w:r/>
            <w:r>
              <w:rPr>
                <w:sz w:val="17"/>
              </w:rPr>
              <w:t>AASB</w:t>
            </w:r>
          </w:p>
        </w:tc>
        <w:tc>
          <w:tcPr>
            <w:tcW w:type="dxa" w:w="3061"/>
          </w:tcPr>
          <w:p>
            <w:pPr>
              <w:spacing w:after="40" w:before="40"/>
            </w:pPr>
            <w:r/>
            <w:r>
              <w:rPr>
                <w:sz w:val="17"/>
              </w:rPr>
              <w:t>IFRS 9 - capitalised into EIR</w:t>
            </w:r>
          </w:p>
        </w:tc>
        <w:tc>
          <w:tcPr>
            <w:tcW w:type="dxa" w:w="1077"/>
          </w:tcPr>
          <w:p>
            <w:pPr>
              <w:spacing w:after="40" w:before="40"/>
            </w:pPr>
            <w:r/>
            <w:r>
              <w:rPr>
                <w:sz w:val="17"/>
              </w:rPr>
              <w:t>Yes</w:t>
            </w:r>
          </w:p>
        </w:tc>
        <w:tc>
          <w:tcPr>
            <w:tcW w:type="dxa" w:w="3685"/>
          </w:tcPr>
          <w:p>
            <w:pPr>
              <w:spacing w:after="40" w:before="40"/>
            </w:pPr>
            <w:r/>
            <w:r>
              <w:rPr>
                <w:sz w:val="17"/>
              </w:rPr>
              <w:t>Revenue treatment.</w:t>
            </w:r>
          </w:p>
        </w:tc>
      </w:tr>
    </w:tbl>
    <w:p>
      <w:pPr>
        <w:spacing w:after="80"/>
      </w:pPr>
    </w:p>
    <w:p>
      <w:pPr>
        <w:pStyle w:val="Heading2"/>
      </w:pPr>
      <w:r>
        <w:rPr>
          <w:b w:val="0"/>
          <w:i w:val="0"/>
        </w:rPr>
        <w:t>A.5 · Tranche sheets</w:t>
      </w:r>
    </w:p>
    <w:p>
      <w:pPr>
        <w:spacing w:after="120"/>
      </w:pPr>
      <w:r>
        <w:rPr>
          <w:b w:val="0"/>
          <w:i w:val="0"/>
        </w:rPr>
        <w:t>Three blocks, same principle: labels in the section’s own column, values to the right. Components and fees take one column each.</w:t>
      </w:r>
    </w:p>
    <w:p>
      <w:pPr>
        <w:pStyle w:val="Heading3"/>
      </w:pPr>
      <w:r>
        <w:rPr>
          <w:b w:val="0"/>
          <w:i w:val="0"/>
        </w:rPr>
        <w:t>Tranche Details — labels column B</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c>
          <w:tcPr>
            <w:tcW w:type="dxa" w:w="2268"/>
            <w:shd w:val="clear" w:fill="431B5B"/>
          </w:tcPr>
          <w:p>
            <w:pPr>
              <w:spacing w:after="40" w:before="40"/>
            </w:pPr>
            <w:r/>
            <w:r>
              <w:rPr>
                <w:b/>
                <w:color w:val="FFFFFF"/>
                <w:sz w:val="17"/>
              </w:rPr>
              <w:t>Label</w:t>
            </w:r>
          </w:p>
        </w:tc>
        <w:tc>
          <w:tcPr>
            <w:tcW w:type="dxa" w:w="2494"/>
            <w:shd w:val="clear" w:fill="431B5B"/>
          </w:tcPr>
          <w:p>
            <w:pPr>
              <w:spacing w:after="40" w:before="40"/>
            </w:pPr>
            <w:r/>
            <w:r>
              <w:rPr>
                <w:b/>
                <w:color w:val="FFFFFF"/>
                <w:sz w:val="17"/>
              </w:rPr>
              <w:t>Sample</w:t>
            </w:r>
          </w:p>
        </w:tc>
        <w:tc>
          <w:tcPr>
            <w:tcW w:type="dxa" w:w="1020"/>
            <w:shd w:val="clear" w:fill="431B5B"/>
          </w:tcPr>
          <w:p>
            <w:pPr>
              <w:spacing w:after="40" w:before="40"/>
            </w:pPr>
            <w:r/>
            <w:r>
              <w:rPr>
                <w:b/>
                <w:color w:val="FFFFFF"/>
                <w:sz w:val="17"/>
              </w:rPr>
              <w:t>Required</w:t>
            </w:r>
          </w:p>
        </w:tc>
        <w:tc>
          <w:tcPr>
            <w:tcW w:type="dxa" w:w="3969"/>
            <w:shd w:val="clear" w:fill="431B5B"/>
          </w:tcPr>
          <w:p>
            <w:pPr>
              <w:spacing w:after="40" w:before="40"/>
            </w:pPr>
            <w:r/>
            <w:r>
              <w:rPr>
                <w:b/>
                <w:color w:val="FFFFFF"/>
                <w:sz w:val="17"/>
              </w:rPr>
              <w:t>Notes</w:t>
            </w:r>
          </w:p>
        </w:tc>
      </w:tr>
      <w:tr>
        <w:tc>
          <w:tcPr>
            <w:tcW w:type="dxa" w:w="2268"/>
          </w:tcPr>
          <w:p>
            <w:pPr>
              <w:spacing w:after="40" w:before="40"/>
            </w:pPr>
            <w:r/>
            <w:r>
              <w:rPr>
                <w:sz w:val="17"/>
              </w:rPr>
              <w:t>Tranche Name</w:t>
            </w:r>
          </w:p>
        </w:tc>
        <w:tc>
          <w:tcPr>
            <w:tcW w:type="dxa" w:w="2494"/>
          </w:tcPr>
          <w:p>
            <w:pPr>
              <w:spacing w:after="40" w:before="40"/>
            </w:pPr>
            <w:r/>
            <w:r>
              <w:rPr>
                <w:sz w:val="17"/>
              </w:rPr>
              <w:t>SP032 — 01042026</w:t>
            </w:r>
          </w:p>
        </w:tc>
        <w:tc>
          <w:tcPr>
            <w:tcW w:type="dxa" w:w="1020"/>
          </w:tcPr>
          <w:p>
            <w:pPr>
              <w:spacing w:after="40" w:before="40"/>
            </w:pPr>
            <w:r/>
            <w:r>
              <w:rPr>
                <w:sz w:val="17"/>
              </w:rPr>
              <w:t>Yes</w:t>
            </w:r>
          </w:p>
        </w:tc>
        <w:tc>
          <w:tcPr>
            <w:tcW w:type="dxa" w:w="3969"/>
          </w:tcPr>
          <w:p>
            <w:pPr>
              <w:spacing w:after="40" w:before="40"/>
            </w:pPr>
            <w:r/>
            <w:r>
              <w:rPr>
                <w:sz w:val="17"/>
              </w:rPr>
              <w:t>Display only. Not the identity.</w:t>
            </w:r>
          </w:p>
        </w:tc>
      </w:tr>
      <w:tr>
        <w:tc>
          <w:tcPr>
            <w:tcW w:type="dxa" w:w="2268"/>
            <w:shd w:val="clear" w:fill="F4F4F7"/>
          </w:tcPr>
          <w:p>
            <w:pPr>
              <w:spacing w:after="40" w:before="40"/>
            </w:pPr>
            <w:r/>
            <w:r>
              <w:rPr>
                <w:sz w:val="17"/>
              </w:rPr>
              <w:t>Currency</w:t>
            </w:r>
          </w:p>
        </w:tc>
        <w:tc>
          <w:tcPr>
            <w:tcW w:type="dxa" w:w="2494"/>
            <w:shd w:val="clear" w:fill="F4F4F7"/>
          </w:tcPr>
          <w:p>
            <w:pPr>
              <w:spacing w:after="40" w:before="40"/>
            </w:pPr>
            <w:r/>
            <w:r>
              <w:rPr>
                <w:sz w:val="17"/>
              </w:rPr>
              <w:t>GBP</w:t>
            </w:r>
          </w:p>
        </w:tc>
        <w:tc>
          <w:tcPr>
            <w:tcW w:type="dxa" w:w="1020"/>
            <w:shd w:val="clear" w:fill="F4F4F7"/>
          </w:tcPr>
          <w:p>
            <w:pPr>
              <w:spacing w:after="40" w:before="40"/>
            </w:pPr>
            <w:r/>
            <w:r>
              <w:rPr>
                <w:sz w:val="17"/>
              </w:rPr>
              <w:t>Yes</w:t>
            </w:r>
          </w:p>
        </w:tc>
        <w:tc>
          <w:tcPr>
            <w:tcW w:type="dxa" w:w="3969"/>
            <w:shd w:val="clear" w:fill="F4F4F7"/>
          </w:tcPr>
          <w:p>
            <w:pPr>
              <w:spacing w:after="40" w:before="40"/>
            </w:pPr>
            <w:r/>
            <w:r>
              <w:rPr>
                <w:sz w:val="17"/>
              </w:rPr>
              <w:t>Governed. Defaults to the deal currency.</w:t>
            </w:r>
          </w:p>
        </w:tc>
      </w:tr>
      <w:tr>
        <w:tc>
          <w:tcPr>
            <w:tcW w:type="dxa" w:w="2268"/>
          </w:tcPr>
          <w:p>
            <w:pPr>
              <w:spacing w:after="40" w:before="40"/>
            </w:pPr>
            <w:r/>
            <w:r>
              <w:rPr>
                <w:sz w:val="17"/>
              </w:rPr>
              <w:t>Initial Drawdown Date</w:t>
            </w:r>
          </w:p>
        </w:tc>
        <w:tc>
          <w:tcPr>
            <w:tcW w:type="dxa" w:w="2494"/>
          </w:tcPr>
          <w:p>
            <w:pPr>
              <w:spacing w:after="40" w:before="40"/>
            </w:pPr>
            <w:r/>
            <w:r>
              <w:rPr>
                <w:sz w:val="17"/>
              </w:rPr>
              <w:t>2026-04-01</w:t>
            </w:r>
          </w:p>
        </w:tc>
        <w:tc>
          <w:tcPr>
            <w:tcW w:type="dxa" w:w="1020"/>
          </w:tcPr>
          <w:p>
            <w:pPr>
              <w:spacing w:after="40" w:before="40"/>
            </w:pPr>
            <w:r/>
            <w:r>
              <w:rPr>
                <w:sz w:val="17"/>
              </w:rPr>
              <w:t>No</w:t>
            </w:r>
          </w:p>
        </w:tc>
        <w:tc>
          <w:tcPr>
            <w:tcW w:type="dxa" w:w="3969"/>
          </w:tcPr>
          <w:p>
            <w:pPr>
              <w:spacing w:after="40" w:before="40"/>
            </w:pPr>
            <w:r/>
            <w:r>
              <w:rPr>
                <w:sz w:val="17"/>
              </w:rPr>
            </w:r>
          </w:p>
        </w:tc>
      </w:tr>
      <w:tr>
        <w:tc>
          <w:tcPr>
            <w:tcW w:type="dxa" w:w="2268"/>
            <w:shd w:val="clear" w:fill="F4F4F7"/>
          </w:tcPr>
          <w:p>
            <w:pPr>
              <w:spacing w:after="40" w:before="40"/>
            </w:pPr>
            <w:r/>
            <w:r>
              <w:rPr>
                <w:sz w:val="17"/>
              </w:rPr>
              <w:t>Face Value</w:t>
            </w:r>
          </w:p>
        </w:tc>
        <w:tc>
          <w:tcPr>
            <w:tcW w:type="dxa" w:w="2494"/>
            <w:shd w:val="clear" w:fill="F4F4F7"/>
          </w:tcPr>
          <w:p>
            <w:pPr>
              <w:spacing w:after="40" w:before="40"/>
            </w:pPr>
            <w:r/>
            <w:r>
              <w:rPr>
                <w:sz w:val="17"/>
              </w:rPr>
              <w:t>589,000,000</w:t>
            </w:r>
          </w:p>
        </w:tc>
        <w:tc>
          <w:tcPr>
            <w:tcW w:type="dxa" w:w="1020"/>
            <w:shd w:val="clear" w:fill="F4F4F7"/>
          </w:tcPr>
          <w:p>
            <w:pPr>
              <w:spacing w:after="40" w:before="40"/>
            </w:pPr>
            <w:r/>
            <w:r>
              <w:rPr>
                <w:sz w:val="17"/>
              </w:rPr>
              <w:t>Yes</w:t>
            </w:r>
          </w:p>
        </w:tc>
        <w:tc>
          <w:tcPr>
            <w:tcW w:type="dxa" w:w="3969"/>
            <w:shd w:val="clear" w:fill="F4F4F7"/>
          </w:tcPr>
          <w:p>
            <w:pPr>
              <w:spacing w:after="40" w:before="40"/>
            </w:pPr>
            <w:r/>
            <w:r>
              <w:rPr>
                <w:sz w:val="17"/>
              </w:rPr>
            </w:r>
          </w:p>
        </w:tc>
      </w:tr>
      <w:tr>
        <w:tc>
          <w:tcPr>
            <w:tcW w:type="dxa" w:w="2268"/>
          </w:tcPr>
          <w:p>
            <w:pPr>
              <w:spacing w:after="40" w:before="40"/>
            </w:pPr>
            <w:r/>
            <w:r>
              <w:rPr>
                <w:sz w:val="17"/>
              </w:rPr>
              <w:t>Initial Drawdown</w:t>
            </w:r>
          </w:p>
        </w:tc>
        <w:tc>
          <w:tcPr>
            <w:tcW w:type="dxa" w:w="2494"/>
          </w:tcPr>
          <w:p>
            <w:pPr>
              <w:spacing w:after="40" w:before="40"/>
            </w:pPr>
            <w:r/>
            <w:r>
              <w:rPr>
                <w:sz w:val="17"/>
              </w:rPr>
              <w:t>23,000,000</w:t>
            </w:r>
          </w:p>
        </w:tc>
        <w:tc>
          <w:tcPr>
            <w:tcW w:type="dxa" w:w="1020"/>
          </w:tcPr>
          <w:p>
            <w:pPr>
              <w:spacing w:after="40" w:before="40"/>
            </w:pPr>
            <w:r/>
            <w:r>
              <w:rPr>
                <w:sz w:val="17"/>
              </w:rPr>
              <w:t>No</w:t>
            </w:r>
          </w:p>
        </w:tc>
        <w:tc>
          <w:tcPr>
            <w:tcW w:type="dxa" w:w="3969"/>
          </w:tcPr>
          <w:p>
            <w:pPr>
              <w:spacing w:after="40" w:before="40"/>
            </w:pPr>
            <w:r/>
            <w:r>
              <w:rPr>
                <w:sz w:val="17"/>
              </w:rPr>
            </w:r>
          </w:p>
        </w:tc>
      </w:tr>
    </w:tbl>
    <w:p>
      <w:pPr>
        <w:spacing w:after="80"/>
      </w:pPr>
    </w:p>
    <w:p>
      <w:pPr>
        <w:pStyle w:val="Heading3"/>
      </w:pPr>
      <w:r>
        <w:rPr>
          <w:b w:val="0"/>
          <w:i w:val="0"/>
        </w:rPr>
        <w:t>Tranche Interest Details — labels column E, components from column F</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c>
          <w:tcPr>
            <w:tcW w:type="dxa" w:w="2608"/>
            <w:shd w:val="clear" w:fill="431B5B"/>
          </w:tcPr>
          <w:p>
            <w:pPr>
              <w:spacing w:after="40" w:before="40"/>
            </w:pPr>
            <w:r/>
            <w:r>
              <w:rPr>
                <w:b/>
                <w:color w:val="FFFFFF"/>
                <w:sz w:val="17"/>
              </w:rPr>
              <w:t>Label</w:t>
            </w:r>
          </w:p>
        </w:tc>
        <w:tc>
          <w:tcPr>
            <w:tcW w:type="dxa" w:w="1814"/>
            <w:shd w:val="clear" w:fill="431B5B"/>
          </w:tcPr>
          <w:p>
            <w:pPr>
              <w:spacing w:after="40" w:before="40"/>
            </w:pPr>
            <w:r/>
            <w:r>
              <w:rPr>
                <w:b/>
                <w:color w:val="FFFFFF"/>
                <w:sz w:val="17"/>
              </w:rPr>
              <w:t>Sample</w:t>
            </w:r>
          </w:p>
        </w:tc>
        <w:tc>
          <w:tcPr>
            <w:tcW w:type="dxa" w:w="1020"/>
            <w:shd w:val="clear" w:fill="431B5B"/>
          </w:tcPr>
          <w:p>
            <w:pPr>
              <w:spacing w:after="40" w:before="40"/>
            </w:pPr>
            <w:r/>
            <w:r>
              <w:rPr>
                <w:b/>
                <w:color w:val="FFFFFF"/>
                <w:sz w:val="17"/>
              </w:rPr>
              <w:t>Governed</w:t>
            </w:r>
          </w:p>
        </w:tc>
        <w:tc>
          <w:tcPr>
            <w:tcW w:type="dxa" w:w="4309"/>
            <w:shd w:val="clear" w:fill="431B5B"/>
          </w:tcPr>
          <w:p>
            <w:pPr>
              <w:spacing w:after="40" w:before="40"/>
            </w:pPr>
            <w:r/>
            <w:r>
              <w:rPr>
                <w:b/>
                <w:color w:val="FFFFFF"/>
                <w:sz w:val="17"/>
              </w:rPr>
              <w:t>Notes</w:t>
            </w:r>
          </w:p>
        </w:tc>
      </w:tr>
      <w:tr>
        <w:tc>
          <w:tcPr>
            <w:tcW w:type="dxa" w:w="2608"/>
          </w:tcPr>
          <w:p>
            <w:pPr>
              <w:spacing w:after="40" w:before="40"/>
            </w:pPr>
            <w:r/>
            <w:r>
              <w:rPr>
                <w:sz w:val="17"/>
              </w:rPr>
              <w:t>Interest Name</w:t>
            </w:r>
          </w:p>
        </w:tc>
        <w:tc>
          <w:tcPr>
            <w:tcW w:type="dxa" w:w="1814"/>
          </w:tcPr>
          <w:p>
            <w:pPr>
              <w:spacing w:after="40" w:before="40"/>
            </w:pPr>
            <w:r/>
            <w:r>
              <w:rPr>
                <w:sz w:val="17"/>
              </w:rPr>
              <w:t>Monthly SONIA</w:t>
            </w:r>
          </w:p>
        </w:tc>
        <w:tc>
          <w:tcPr>
            <w:tcW w:type="dxa" w:w="1020"/>
          </w:tcPr>
          <w:p>
            <w:pPr>
              <w:spacing w:after="40" w:before="40"/>
            </w:pPr>
            <w:r/>
            <w:r>
              <w:rPr>
                <w:sz w:val="17"/>
              </w:rPr>
              <w:t>—</w:t>
            </w:r>
          </w:p>
        </w:tc>
        <w:tc>
          <w:tcPr>
            <w:tcW w:type="dxa" w:w="4309"/>
          </w:tcPr>
          <w:p>
            <w:pPr>
              <w:spacing w:after="40" w:before="40"/>
            </w:pPr>
            <w:r/>
            <w:r>
              <w:rPr>
                <w:sz w:val="17"/>
              </w:rPr>
              <w:t>Must match the cashflow header label.</w:t>
            </w:r>
          </w:p>
        </w:tc>
      </w:tr>
      <w:tr>
        <w:tc>
          <w:tcPr>
            <w:tcW w:type="dxa" w:w="2608"/>
            <w:shd w:val="clear" w:fill="F4F4F7"/>
          </w:tcPr>
          <w:p>
            <w:pPr>
              <w:spacing w:after="40" w:before="40"/>
            </w:pPr>
            <w:r/>
            <w:r>
              <w:rPr>
                <w:sz w:val="17"/>
              </w:rPr>
              <w:t>Interest Type</w:t>
            </w:r>
          </w:p>
        </w:tc>
        <w:tc>
          <w:tcPr>
            <w:tcW w:type="dxa" w:w="1814"/>
            <w:shd w:val="clear" w:fill="F4F4F7"/>
          </w:tcPr>
          <w:p>
            <w:pPr>
              <w:spacing w:after="40" w:before="40"/>
            </w:pPr>
            <w:r/>
            <w:r>
              <w:rPr>
                <w:sz w:val="17"/>
              </w:rPr>
              <w:t>SONIA</w:t>
            </w:r>
          </w:p>
        </w:tc>
        <w:tc>
          <w:tcPr>
            <w:tcW w:type="dxa" w:w="1020"/>
            <w:shd w:val="clear" w:fill="F4F4F7"/>
          </w:tcPr>
          <w:p>
            <w:pPr>
              <w:spacing w:after="40" w:before="40"/>
            </w:pPr>
            <w:r/>
            <w:r>
              <w:rPr>
                <w:sz w:val="17"/>
              </w:rPr>
              <w:t>Yes</w:t>
            </w:r>
          </w:p>
        </w:tc>
        <w:tc>
          <w:tcPr>
            <w:tcW w:type="dxa" w:w="4309"/>
            <w:shd w:val="clear" w:fill="F4F4F7"/>
          </w:tcPr>
          <w:p>
            <w:pPr>
              <w:spacing w:after="40" w:before="40"/>
            </w:pPr>
            <w:r/>
            <w:r>
              <w:rPr>
                <w:sz w:val="17"/>
              </w:rPr>
              <w:t>FIXED makes the component fixed-rate.</w:t>
            </w:r>
          </w:p>
        </w:tc>
      </w:tr>
      <w:tr>
        <w:tc>
          <w:tcPr>
            <w:tcW w:type="dxa" w:w="2608"/>
          </w:tcPr>
          <w:p>
            <w:pPr>
              <w:spacing w:after="40" w:before="40"/>
            </w:pPr>
            <w:r/>
            <w:r>
              <w:rPr>
                <w:sz w:val="17"/>
              </w:rPr>
              <w:t>Base Value</w:t>
            </w:r>
          </w:p>
        </w:tc>
        <w:tc>
          <w:tcPr>
            <w:tcW w:type="dxa" w:w="1814"/>
          </w:tcPr>
          <w:p>
            <w:pPr>
              <w:spacing w:after="40" w:before="40"/>
            </w:pPr>
            <w:r/>
            <w:r>
              <w:rPr>
                <w:sz w:val="17"/>
              </w:rPr>
              <w:t>0.0639</w:t>
            </w:r>
          </w:p>
        </w:tc>
        <w:tc>
          <w:tcPr>
            <w:tcW w:type="dxa" w:w="1020"/>
          </w:tcPr>
          <w:p>
            <w:pPr>
              <w:spacing w:after="40" w:before="40"/>
            </w:pPr>
            <w:r/>
            <w:r>
              <w:rPr>
                <w:sz w:val="17"/>
              </w:rPr>
              <w:t>—</w:t>
            </w:r>
          </w:p>
        </w:tc>
        <w:tc>
          <w:tcPr>
            <w:tcW w:type="dxa" w:w="4309"/>
          </w:tcPr>
          <w:p>
            <w:pPr>
              <w:spacing w:after="40" w:before="40"/>
            </w:pPr>
            <w:r/>
            <w:r>
              <w:rPr>
                <w:sz w:val="17"/>
              </w:rPr>
              <w:t>Required when Interest Type is FIXED.</w:t>
            </w:r>
          </w:p>
        </w:tc>
      </w:tr>
      <w:tr>
        <w:tc>
          <w:tcPr>
            <w:tcW w:type="dxa" w:w="2608"/>
            <w:shd w:val="clear" w:fill="F4F4F7"/>
          </w:tcPr>
          <w:p>
            <w:pPr>
              <w:spacing w:after="40" w:before="40"/>
            </w:pPr>
            <w:r/>
            <w:r>
              <w:rPr>
                <w:sz w:val="17"/>
              </w:rPr>
              <w:t>Accrual Frequency</w:t>
            </w:r>
          </w:p>
        </w:tc>
        <w:tc>
          <w:tcPr>
            <w:tcW w:type="dxa" w:w="1814"/>
            <w:shd w:val="clear" w:fill="F4F4F7"/>
          </w:tcPr>
          <w:p>
            <w:pPr>
              <w:spacing w:after="40" w:before="40"/>
            </w:pPr>
            <w:r/>
            <w:r>
              <w:rPr>
                <w:sz w:val="17"/>
              </w:rPr>
              <w:t>Semi-annual</w:t>
            </w:r>
          </w:p>
        </w:tc>
        <w:tc>
          <w:tcPr>
            <w:tcW w:type="dxa" w:w="1020"/>
            <w:shd w:val="clear" w:fill="F4F4F7"/>
          </w:tcPr>
          <w:p>
            <w:pPr>
              <w:spacing w:after="40" w:before="40"/>
            </w:pPr>
            <w:r/>
            <w:r>
              <w:rPr>
                <w:sz w:val="17"/>
              </w:rPr>
              <w:t>Yes</w:t>
            </w:r>
          </w:p>
        </w:tc>
        <w:tc>
          <w:tcPr>
            <w:tcW w:type="dxa" w:w="4309"/>
            <w:shd w:val="clear" w:fill="F4F4F7"/>
          </w:tcPr>
          <w:p>
            <w:pPr>
              <w:spacing w:after="40" w:before="40"/>
            </w:pPr>
            <w:r/>
            <w:r>
              <w:rPr>
                <w:sz w:val="17"/>
              </w:rPr>
              <w:t>Blank inherits the facility default.</w:t>
            </w:r>
          </w:p>
        </w:tc>
      </w:tr>
      <w:tr>
        <w:tc>
          <w:tcPr>
            <w:tcW w:type="dxa" w:w="2608"/>
          </w:tcPr>
          <w:p>
            <w:pPr>
              <w:spacing w:after="40" w:before="40"/>
            </w:pPr>
            <w:r/>
            <w:r>
              <w:rPr>
                <w:sz w:val="17"/>
              </w:rPr>
              <w:t>Terms</w:t>
            </w:r>
          </w:p>
        </w:tc>
        <w:tc>
          <w:tcPr>
            <w:tcW w:type="dxa" w:w="1814"/>
          </w:tcPr>
          <w:p>
            <w:pPr>
              <w:spacing w:after="40" w:before="40"/>
            </w:pPr>
            <w:r/>
            <w:r>
              <w:rPr>
                <w:sz w:val="17"/>
              </w:rPr>
              <w:t>3M</w:t>
            </w:r>
          </w:p>
        </w:tc>
        <w:tc>
          <w:tcPr>
            <w:tcW w:type="dxa" w:w="1020"/>
          </w:tcPr>
          <w:p>
            <w:pPr>
              <w:spacing w:after="40" w:before="40"/>
            </w:pPr>
            <w:r/>
            <w:r>
              <w:rPr>
                <w:sz w:val="17"/>
              </w:rPr>
              <w:t>Yes</w:t>
            </w:r>
          </w:p>
        </w:tc>
        <w:tc>
          <w:tcPr>
            <w:tcW w:type="dxa" w:w="4309"/>
          </w:tcPr>
          <w:p>
            <w:pPr>
              <w:spacing w:after="40" w:before="40"/>
            </w:pPr>
            <w:r/>
            <w:r>
              <w:rPr>
                <w:sz w:val="17"/>
              </w:rPr>
            </w:r>
          </w:p>
        </w:tc>
      </w:tr>
      <w:tr>
        <w:tc>
          <w:tcPr>
            <w:tcW w:type="dxa" w:w="2608"/>
            <w:shd w:val="clear" w:fill="F4F4F7"/>
          </w:tcPr>
          <w:p>
            <w:pPr>
              <w:spacing w:after="40" w:before="40"/>
            </w:pPr>
            <w:r/>
            <w:r>
              <w:rPr>
                <w:sz w:val="17"/>
              </w:rPr>
              <w:t>Settlement Type</w:t>
            </w:r>
          </w:p>
        </w:tc>
        <w:tc>
          <w:tcPr>
            <w:tcW w:type="dxa" w:w="1814"/>
            <w:shd w:val="clear" w:fill="F4F4F7"/>
          </w:tcPr>
          <w:p>
            <w:pPr>
              <w:spacing w:after="40" w:before="40"/>
            </w:pPr>
            <w:r/>
            <w:r>
              <w:rPr>
                <w:sz w:val="17"/>
              </w:rPr>
              <w:t>Cash</w:t>
            </w:r>
          </w:p>
        </w:tc>
        <w:tc>
          <w:tcPr>
            <w:tcW w:type="dxa" w:w="1020"/>
            <w:shd w:val="clear" w:fill="F4F4F7"/>
          </w:tcPr>
          <w:p>
            <w:pPr>
              <w:spacing w:after="40" w:before="40"/>
            </w:pPr>
            <w:r/>
            <w:r>
              <w:rPr>
                <w:sz w:val="17"/>
              </w:rPr>
              <w:t>Yes</w:t>
            </w:r>
          </w:p>
        </w:tc>
        <w:tc>
          <w:tcPr>
            <w:tcW w:type="dxa" w:w="4309"/>
            <w:shd w:val="clear" w:fill="F4F4F7"/>
          </w:tcPr>
          <w:p>
            <w:pPr>
              <w:spacing w:after="40" w:before="40"/>
            </w:pPr>
            <w:r/>
            <w:r>
              <w:rPr>
                <w:sz w:val="17"/>
              </w:rPr>
              <w:t>Cash, Capitalized or PIK.</w:t>
            </w:r>
          </w:p>
        </w:tc>
      </w:tr>
      <w:tr>
        <w:tc>
          <w:tcPr>
            <w:tcW w:type="dxa" w:w="2608"/>
          </w:tcPr>
          <w:p>
            <w:pPr>
              <w:spacing w:after="40" w:before="40"/>
            </w:pPr>
            <w:r/>
            <w:r>
              <w:rPr>
                <w:sz w:val="17"/>
              </w:rPr>
              <w:t>First Settlement Date</w:t>
            </w:r>
          </w:p>
        </w:tc>
        <w:tc>
          <w:tcPr>
            <w:tcW w:type="dxa" w:w="1814"/>
          </w:tcPr>
          <w:p>
            <w:pPr>
              <w:spacing w:after="40" w:before="40"/>
            </w:pPr>
            <w:r/>
            <w:r>
              <w:rPr>
                <w:sz w:val="17"/>
              </w:rPr>
              <w:t>2026-08-01</w:t>
            </w:r>
          </w:p>
        </w:tc>
        <w:tc>
          <w:tcPr>
            <w:tcW w:type="dxa" w:w="1020"/>
          </w:tcPr>
          <w:p>
            <w:pPr>
              <w:spacing w:after="40" w:before="40"/>
            </w:pPr>
            <w:r/>
            <w:r>
              <w:rPr>
                <w:sz w:val="17"/>
              </w:rPr>
              <w:t>—</w:t>
            </w:r>
          </w:p>
        </w:tc>
        <w:tc>
          <w:tcPr>
            <w:tcW w:type="dxa" w:w="4309"/>
          </w:tcPr>
          <w:p>
            <w:pPr>
              <w:spacing w:after="40" w:before="40"/>
            </w:pPr>
            <w:r/>
            <w:r>
              <w:rPr>
                <w:sz w:val="17"/>
              </w:rPr>
              <w:t>Spelt "Fist Settlement Date" in the template; both accepted.</w:t>
            </w:r>
          </w:p>
        </w:tc>
      </w:tr>
      <w:tr>
        <w:tc>
          <w:tcPr>
            <w:tcW w:type="dxa" w:w="2608"/>
            <w:shd w:val="clear" w:fill="F4F4F7"/>
          </w:tcPr>
          <w:p>
            <w:pPr>
              <w:spacing w:after="40" w:before="40"/>
            </w:pPr>
            <w:r/>
            <w:r>
              <w:rPr>
                <w:sz w:val="17"/>
              </w:rPr>
              <w:t>Lookback / Lockout / Obs shift</w:t>
            </w:r>
          </w:p>
        </w:tc>
        <w:tc>
          <w:tcPr>
            <w:tcW w:type="dxa" w:w="1814"/>
            <w:shd w:val="clear" w:fill="F4F4F7"/>
          </w:tcPr>
          <w:p>
            <w:pPr>
              <w:spacing w:after="40" w:before="40"/>
            </w:pPr>
            <w:r/>
            <w:r>
              <w:rPr>
                <w:sz w:val="17"/>
              </w:rPr>
              <w:t>5 / 0 / 0</w:t>
            </w:r>
          </w:p>
        </w:tc>
        <w:tc>
          <w:tcPr>
            <w:tcW w:type="dxa" w:w="1020"/>
            <w:shd w:val="clear" w:fill="F4F4F7"/>
          </w:tcPr>
          <w:p>
            <w:pPr>
              <w:spacing w:after="40" w:before="40"/>
            </w:pPr>
            <w:r/>
            <w:r>
              <w:rPr>
                <w:sz w:val="17"/>
              </w:rPr>
              <w:t>—</w:t>
            </w:r>
          </w:p>
        </w:tc>
        <w:tc>
          <w:tcPr>
            <w:tcW w:type="dxa" w:w="4309"/>
            <w:shd w:val="clear" w:fill="F4F4F7"/>
          </w:tcPr>
          <w:p>
            <w:pPr>
              <w:spacing w:after="40" w:before="40"/>
            </w:pPr>
            <w:r/>
            <w:r>
              <w:rPr>
                <w:sz w:val="17"/>
              </w:rPr>
              <w:t>RFR observation mechanics.</w:t>
            </w:r>
          </w:p>
        </w:tc>
      </w:tr>
      <w:tr>
        <w:tc>
          <w:tcPr>
            <w:tcW w:type="dxa" w:w="2608"/>
          </w:tcPr>
          <w:p>
            <w:pPr>
              <w:spacing w:after="40" w:before="40"/>
            </w:pPr>
            <w:r/>
            <w:r>
              <w:rPr>
                <w:sz w:val="17"/>
              </w:rPr>
              <w:t>Spread band 1 Start Date</w:t>
            </w:r>
          </w:p>
        </w:tc>
        <w:tc>
          <w:tcPr>
            <w:tcW w:type="dxa" w:w="1814"/>
          </w:tcPr>
          <w:p>
            <w:pPr>
              <w:spacing w:after="40" w:before="40"/>
            </w:pPr>
            <w:r/>
            <w:r>
              <w:rPr>
                <w:sz w:val="17"/>
              </w:rPr>
              <w:t>2026-04-01</w:t>
            </w:r>
          </w:p>
        </w:tc>
        <w:tc>
          <w:tcPr>
            <w:tcW w:type="dxa" w:w="1020"/>
          </w:tcPr>
          <w:p>
            <w:pPr>
              <w:spacing w:after="40" w:before="40"/>
            </w:pPr>
            <w:r/>
            <w:r>
              <w:rPr>
                <w:sz w:val="17"/>
              </w:rPr>
              <w:t>—</w:t>
            </w:r>
          </w:p>
        </w:tc>
        <w:tc>
          <w:tcPr>
            <w:tcW w:type="dxa" w:w="4309"/>
          </w:tcPr>
          <w:p>
            <w:pPr>
              <w:spacing w:after="40" w:before="40"/>
            </w:pPr>
            <w:r/>
            <w:r>
              <w:rPr>
                <w:sz w:val="17"/>
              </w:rPr>
            </w:r>
          </w:p>
        </w:tc>
      </w:tr>
      <w:tr>
        <w:tc>
          <w:tcPr>
            <w:tcW w:type="dxa" w:w="2608"/>
            <w:shd w:val="clear" w:fill="F4F4F7"/>
          </w:tcPr>
          <w:p>
            <w:pPr>
              <w:spacing w:after="40" w:before="40"/>
            </w:pPr>
            <w:r/>
            <w:r>
              <w:rPr>
                <w:sz w:val="17"/>
              </w:rPr>
              <w:t>Spread band 2 End Date</w:t>
            </w:r>
          </w:p>
        </w:tc>
        <w:tc>
          <w:tcPr>
            <w:tcW w:type="dxa" w:w="1814"/>
            <w:shd w:val="clear" w:fill="F4F4F7"/>
          </w:tcPr>
          <w:p>
            <w:pPr>
              <w:spacing w:after="40" w:before="40"/>
            </w:pPr>
            <w:r/>
            <w:r>
              <w:rPr>
                <w:sz w:val="17"/>
              </w:rPr>
              <w:t>2026-07-04</w:t>
            </w:r>
          </w:p>
        </w:tc>
        <w:tc>
          <w:tcPr>
            <w:tcW w:type="dxa" w:w="1020"/>
            <w:shd w:val="clear" w:fill="F4F4F7"/>
          </w:tcPr>
          <w:p>
            <w:pPr>
              <w:spacing w:after="40" w:before="40"/>
            </w:pPr>
            <w:r/>
            <w:r>
              <w:rPr>
                <w:sz w:val="17"/>
              </w:rPr>
              <w:t>—</w:t>
            </w:r>
          </w:p>
        </w:tc>
        <w:tc>
          <w:tcPr>
            <w:tcW w:type="dxa" w:w="4309"/>
            <w:shd w:val="clear" w:fill="F4F4F7"/>
          </w:tcPr>
          <w:p>
            <w:pPr>
              <w:spacing w:after="40" w:before="40"/>
            </w:pPr>
            <w:r/>
            <w:r>
              <w:rPr>
                <w:sz w:val="17"/>
              </w:rPr>
            </w:r>
          </w:p>
        </w:tc>
      </w:tr>
      <w:tr>
        <w:tc>
          <w:tcPr>
            <w:tcW w:type="dxa" w:w="2608"/>
          </w:tcPr>
          <w:p>
            <w:pPr>
              <w:spacing w:after="40" w:before="40"/>
            </w:pPr>
            <w:r/>
            <w:r>
              <w:rPr>
                <w:sz w:val="17"/>
              </w:rPr>
              <w:t>Margin Ratchet</w:t>
            </w:r>
          </w:p>
        </w:tc>
        <w:tc>
          <w:tcPr>
            <w:tcW w:type="dxa" w:w="1814"/>
          </w:tcPr>
          <w:p>
            <w:pPr>
              <w:spacing w:after="40" w:before="40"/>
            </w:pPr>
            <w:r/>
            <w:r>
              <w:rPr>
                <w:sz w:val="17"/>
              </w:rPr>
              <w:t>—</w:t>
            </w:r>
          </w:p>
        </w:tc>
        <w:tc>
          <w:tcPr>
            <w:tcW w:type="dxa" w:w="1020"/>
          </w:tcPr>
          <w:p>
            <w:pPr>
              <w:spacing w:after="40" w:before="40"/>
            </w:pPr>
            <w:r/>
            <w:r>
              <w:rPr>
                <w:sz w:val="17"/>
              </w:rPr>
              <w:t>—</w:t>
            </w:r>
          </w:p>
        </w:tc>
        <w:tc>
          <w:tcPr>
            <w:tcW w:type="dxa" w:w="4309"/>
          </w:tcPr>
          <w:p>
            <w:pPr>
              <w:spacing w:after="40" w:before="40"/>
            </w:pPr>
            <w:r/>
            <w:r>
              <w:rPr>
                <w:sz w:val="17"/>
              </w:rPr>
              <w:t>KPI-driven margin.</w:t>
            </w:r>
          </w:p>
        </w:tc>
      </w:tr>
      <w:tr>
        <w:tc>
          <w:tcPr>
            <w:tcW w:type="dxa" w:w="2608"/>
            <w:shd w:val="clear" w:fill="F4F4F7"/>
          </w:tcPr>
          <w:p>
            <w:pPr>
              <w:spacing w:after="40" w:before="40"/>
            </w:pPr>
            <w:r/>
            <w:r>
              <w:rPr>
                <w:sz w:val="17"/>
              </w:rPr>
              <w:t>ESG Adjustment (bps)</w:t>
            </w:r>
          </w:p>
        </w:tc>
        <w:tc>
          <w:tcPr>
            <w:tcW w:type="dxa" w:w="1814"/>
            <w:shd w:val="clear" w:fill="F4F4F7"/>
          </w:tcPr>
          <w:p>
            <w:pPr>
              <w:spacing w:after="40" w:before="40"/>
            </w:pPr>
            <w:r/>
            <w:r>
              <w:rPr>
                <w:sz w:val="17"/>
              </w:rPr>
              <w:t>0</w:t>
            </w:r>
          </w:p>
        </w:tc>
        <w:tc>
          <w:tcPr>
            <w:tcW w:type="dxa" w:w="1020"/>
            <w:shd w:val="clear" w:fill="F4F4F7"/>
          </w:tcPr>
          <w:p>
            <w:pPr>
              <w:spacing w:after="40" w:before="40"/>
            </w:pPr>
            <w:r/>
            <w:r>
              <w:rPr>
                <w:sz w:val="17"/>
              </w:rPr>
              <w:t>—</w:t>
            </w:r>
          </w:p>
        </w:tc>
        <w:tc>
          <w:tcPr>
            <w:tcW w:type="dxa" w:w="4309"/>
            <w:shd w:val="clear" w:fill="F4F4F7"/>
          </w:tcPr>
          <w:p>
            <w:pPr>
              <w:spacing w:after="40" w:before="40"/>
            </w:pPr>
            <w:r/>
            <w:r>
              <w:rPr>
                <w:sz w:val="17"/>
              </w:rPr>
            </w:r>
          </w:p>
        </w:tc>
      </w:tr>
      <w:tr>
        <w:tc>
          <w:tcPr>
            <w:tcW w:type="dxa" w:w="2608"/>
          </w:tcPr>
          <w:p>
            <w:pPr>
              <w:spacing w:after="40" w:before="40"/>
            </w:pPr>
            <w:r/>
            <w:r>
              <w:rPr>
                <w:sz w:val="17"/>
              </w:rPr>
              <w:t>Rate FLOOR / Rate CAP</w:t>
            </w:r>
          </w:p>
        </w:tc>
        <w:tc>
          <w:tcPr>
            <w:tcW w:type="dxa" w:w="1814"/>
          </w:tcPr>
          <w:p>
            <w:pPr>
              <w:spacing w:after="40" w:before="40"/>
            </w:pPr>
            <w:r/>
            <w:r>
              <w:rPr>
                <w:sz w:val="17"/>
              </w:rPr>
              <w:t>0 / 0</w:t>
            </w:r>
          </w:p>
        </w:tc>
        <w:tc>
          <w:tcPr>
            <w:tcW w:type="dxa" w:w="1020"/>
          </w:tcPr>
          <w:p>
            <w:pPr>
              <w:spacing w:after="40" w:before="40"/>
            </w:pPr>
            <w:r/>
            <w:r>
              <w:rPr>
                <w:sz w:val="17"/>
              </w:rPr>
              <w:t>—</w:t>
            </w:r>
          </w:p>
        </w:tc>
        <w:tc>
          <w:tcPr>
            <w:tcW w:type="dxa" w:w="4309"/>
          </w:tcPr>
          <w:p>
            <w:pPr>
              <w:spacing w:after="40" w:before="40"/>
            </w:pPr>
            <w:r/>
            <w:r>
              <w:rPr>
                <w:sz w:val="17"/>
              </w:rPr>
              <w:t>Basis points. 0 = none.</w:t>
            </w:r>
          </w:p>
        </w:tc>
      </w:tr>
    </w:tbl>
    <w:p>
      <w:pPr>
        <w:spacing w:after="80"/>
      </w:pPr>
    </w:p>
    <w:p>
      <w:pPr>
        <w:pStyle w:val="Heading3"/>
      </w:pPr>
      <w:r>
        <w:rPr>
          <w:b w:val="0"/>
          <w:i w:val="0"/>
        </w:rPr>
        <w:t>Tranche Fees — labels column J, fees from column K</w:t>
      </w:r>
    </w:p>
    <w:p>
      <w:pPr>
        <w:spacing w:after="160"/>
      </w:pPr>
      <w:r>
        <w:rPr>
          <w:b w:val="0"/>
          <w:i w:val="0"/>
        </w:rPr>
        <w:t>Same nine labels as the facility fee block in A.4, minus Posting Type.</w:t>
      </w:r>
    </w:p>
    <w:p>
      <w:pPr>
        <w:pStyle w:val="Heading2"/>
      </w:pPr>
      <w:r>
        <w:rPr>
          <w:b w:val="0"/>
          <w:i w:val="0"/>
        </w:rPr>
        <w:t>A.6 · The cashflow table</w:t>
      </w:r>
    </w:p>
    <w:p>
      <w:pPr>
        <w:spacing w:after="120"/>
      </w:pPr>
      <w:r>
        <w:rPr>
          <w:b w:val="0"/>
          <w:i w:val="0"/>
        </w:rPr>
        <w:t>Three header rows above the data. The header row is the one whose first column reads Date and whose second reads Initial Purchase.</w:t>
      </w:r>
    </w:p>
    <w:tbl>
      <w:tblPr>
        <w:tblStyle w:val="TableGrid"/>
        <w:tblW w:type="auto" w:w="0"/>
        <w:jc w:val="left"/>
        <w:tblLayout w:type="fixed"/>
        <w:tblLook w:firstColumn="1" w:firstRow="1" w:lastColumn="0" w:lastRow="0" w:noHBand="0" w:noVBand="1" w:val="04A0"/>
      </w:tblPr>
      <w:tblGrid>
        <w:gridCol w:w="3362"/>
        <w:gridCol w:w="3362"/>
        <w:gridCol w:w="3362"/>
      </w:tblGrid>
      <w:tr>
        <w:tc>
          <w:tcPr>
            <w:tcW w:type="dxa" w:w="1928"/>
            <w:shd w:val="clear" w:fill="431B5B"/>
          </w:tcPr>
          <w:p>
            <w:pPr>
              <w:spacing w:after="40" w:before="40"/>
            </w:pPr>
            <w:r/>
            <w:r>
              <w:rPr>
                <w:b/>
                <w:color w:val="FFFFFF"/>
                <w:sz w:val="17"/>
              </w:rPr>
              <w:t>Row</w:t>
            </w:r>
          </w:p>
        </w:tc>
        <w:tc>
          <w:tcPr>
            <w:tcW w:type="dxa" w:w="3969"/>
            <w:shd w:val="clear" w:fill="431B5B"/>
          </w:tcPr>
          <w:p>
            <w:pPr>
              <w:spacing w:after="40" w:before="40"/>
            </w:pPr>
            <w:r/>
            <w:r>
              <w:rPr>
                <w:b/>
                <w:color w:val="FFFFFF"/>
                <w:sz w:val="17"/>
              </w:rPr>
              <w:t>Holds</w:t>
            </w:r>
          </w:p>
        </w:tc>
        <w:tc>
          <w:tcPr>
            <w:tcW w:type="dxa" w:w="3855"/>
            <w:shd w:val="clear" w:fill="431B5B"/>
          </w:tcPr>
          <w:p>
            <w:pPr>
              <w:spacing w:after="40" w:before="40"/>
            </w:pPr>
            <w:r/>
            <w:r>
              <w:rPr>
                <w:b/>
                <w:color w:val="FFFFFF"/>
                <w:sz w:val="17"/>
              </w:rPr>
              <w:t>Read as</w:t>
            </w:r>
          </w:p>
        </w:tc>
      </w:tr>
      <w:tr>
        <w:tc>
          <w:tcPr>
            <w:tcW w:type="dxa" w:w="1928"/>
          </w:tcPr>
          <w:p>
            <w:pPr>
              <w:spacing w:after="40" w:before="40"/>
            </w:pPr>
            <w:r/>
            <w:r>
              <w:rPr>
                <w:sz w:val="17"/>
              </w:rPr>
              <w:t>Two above header</w:t>
            </w:r>
          </w:p>
        </w:tc>
        <w:tc>
          <w:tcPr>
            <w:tcW w:type="dxa" w:w="3969"/>
          </w:tcPr>
          <w:p>
            <w:pPr>
              <w:spacing w:after="40" w:before="40"/>
            </w:pPr>
            <w:r/>
            <w:r>
              <w:rPr>
                <w:sz w:val="17"/>
              </w:rPr>
              <w:t>Section banner — Cash Interest, Accrued PIK Fee …</w:t>
            </w:r>
          </w:p>
        </w:tc>
        <w:tc>
          <w:tcPr>
            <w:tcW w:type="dxa" w:w="3855"/>
          </w:tcPr>
          <w:p>
            <w:pPr>
              <w:spacing w:after="40" w:before="40"/>
            </w:pPr>
            <w:r/>
            <w:r>
              <w:rPr>
                <w:sz w:val="17"/>
              </w:rPr>
              <w:t>Optional. Absent on Loan info.</w:t>
            </w:r>
          </w:p>
        </w:tc>
      </w:tr>
      <w:tr>
        <w:tc>
          <w:tcPr>
            <w:tcW w:type="dxa" w:w="1928"/>
            <w:shd w:val="clear" w:fill="F4F4F7"/>
          </w:tcPr>
          <w:p>
            <w:pPr>
              <w:spacing w:after="40" w:before="40"/>
            </w:pPr>
            <w:r/>
            <w:r>
              <w:rPr>
                <w:sz w:val="17"/>
              </w:rPr>
              <w:t>One above header</w:t>
            </w:r>
          </w:p>
        </w:tc>
        <w:tc>
          <w:tcPr>
            <w:tcW w:type="dxa" w:w="3969"/>
            <w:shd w:val="clear" w:fill="F4F4F7"/>
          </w:tcPr>
          <w:p>
            <w:pPr>
              <w:spacing w:after="40" w:before="40"/>
            </w:pPr>
            <w:r/>
            <w:r>
              <w:rPr>
                <w:sz w:val="17"/>
              </w:rPr>
              <w:t>Balance basis for each Rate/Amount pair, or the component name where one occupies the slot</w:t>
            </w:r>
          </w:p>
        </w:tc>
        <w:tc>
          <w:tcPr>
            <w:tcW w:type="dxa" w:w="3855"/>
            <w:shd w:val="clear" w:fill="F4F4F7"/>
          </w:tcPr>
          <w:p>
            <w:pPr>
              <w:spacing w:after="40" w:before="40"/>
            </w:pPr>
            <w:r/>
            <w:r>
              <w:rPr>
                <w:sz w:val="17"/>
              </w:rPr>
              <w:t>Both. An unrecognised label identifies the component; the basis is then taken from the slot’s position.</w:t>
            </w:r>
          </w:p>
        </w:tc>
      </w:tr>
      <w:tr>
        <w:tc>
          <w:tcPr>
            <w:tcW w:type="dxa" w:w="1928"/>
          </w:tcPr>
          <w:p>
            <w:pPr>
              <w:spacing w:after="40" w:before="40"/>
            </w:pPr>
            <w:r/>
            <w:r>
              <w:rPr>
                <w:sz w:val="17"/>
              </w:rPr>
              <w:t>Header</w:t>
            </w:r>
          </w:p>
        </w:tc>
        <w:tc>
          <w:tcPr>
            <w:tcW w:type="dxa" w:w="3969"/>
          </w:tcPr>
          <w:p>
            <w:pPr>
              <w:spacing w:after="40" w:before="40"/>
            </w:pPr>
            <w:r/>
            <w:r>
              <w:rPr>
                <w:sz w:val="17"/>
              </w:rPr>
              <w:t>Column names</w:t>
            </w:r>
          </w:p>
        </w:tc>
        <w:tc>
          <w:tcPr>
            <w:tcW w:type="dxa" w:w="3855"/>
          </w:tcPr>
          <w:p>
            <w:pPr>
              <w:spacing w:after="40" w:before="40"/>
            </w:pPr>
            <w:r/>
            <w:r>
              <w:rPr>
                <w:sz w:val="17"/>
              </w:rPr>
              <w:t>Anchor.</w:t>
            </w:r>
          </w:p>
        </w:tc>
      </w:tr>
      <w:tr>
        <w:tc>
          <w:tcPr>
            <w:tcW w:type="dxa" w:w="1928"/>
            <w:shd w:val="clear" w:fill="F4F4F7"/>
          </w:tcPr>
          <w:p>
            <w:pPr>
              <w:spacing w:after="40" w:before="40"/>
            </w:pPr>
            <w:r/>
            <w:r>
              <w:rPr>
                <w:sz w:val="17"/>
              </w:rPr>
              <w:t>Below</w:t>
            </w:r>
          </w:p>
        </w:tc>
        <w:tc>
          <w:tcPr>
            <w:tcW w:type="dxa" w:w="3969"/>
            <w:shd w:val="clear" w:fill="F4F4F7"/>
          </w:tcPr>
          <w:p>
            <w:pPr>
              <w:spacing w:after="40" w:before="40"/>
            </w:pPr>
            <w:r/>
            <w:r>
              <w:rPr>
                <w:sz w:val="17"/>
              </w:rPr>
              <w:t>One row per date</w:t>
            </w:r>
          </w:p>
        </w:tc>
        <w:tc>
          <w:tcPr>
            <w:tcW w:type="dxa" w:w="3855"/>
            <w:shd w:val="clear" w:fill="F4F4F7"/>
          </w:tcPr>
          <w:p>
            <w:pPr>
              <w:spacing w:after="40" w:before="40"/>
            </w:pPr>
            <w:r/>
            <w:r>
              <w:rPr>
                <w:sz w:val="17"/>
              </w:rPr>
              <w:t>Data.</w:t>
            </w:r>
          </w:p>
        </w:tc>
      </w:tr>
    </w:tbl>
    <w:p>
      <w:pPr>
        <w:spacing w:after="80"/>
      </w:pPr>
    </w:p>
    <w:p>
      <w:pPr>
        <w:pStyle w:val="Heading3"/>
      </w:pPr>
      <w:r>
        <w:rPr>
          <w:b w:val="0"/>
          <w:i w:val="0"/>
        </w:rPr>
        <w:t>Movement and balance columns</w:t>
      </w:r>
    </w:p>
    <w:tbl>
      <w:tblPr>
        <w:tblStyle w:val="TableGrid"/>
        <w:tblW w:type="auto" w:w="0"/>
        <w:jc w:val="left"/>
        <w:tblLayout w:type="fixed"/>
        <w:tblLook w:firstColumn="1" w:firstRow="1" w:lastColumn="0" w:lastRow="0" w:noHBand="0" w:noVBand="1" w:val="04A0"/>
      </w:tblPr>
      <w:tblGrid>
        <w:gridCol w:w="5043"/>
        <w:gridCol w:w="5043"/>
      </w:tblGrid>
      <w:tr>
        <w:tc>
          <w:tcPr>
            <w:tcW w:type="dxa" w:w="3402"/>
            <w:shd w:val="clear" w:fill="431B5B"/>
          </w:tcPr>
          <w:p>
            <w:pPr>
              <w:spacing w:after="40" w:before="40"/>
            </w:pPr>
            <w:r/>
            <w:r>
              <w:rPr>
                <w:b/>
                <w:color w:val="FFFFFF"/>
                <w:sz w:val="17"/>
              </w:rPr>
              <w:t>Column</w:t>
            </w:r>
          </w:p>
        </w:tc>
        <w:tc>
          <w:tcPr>
            <w:tcW w:type="dxa" w:w="6350"/>
            <w:shd w:val="clear" w:fill="431B5B"/>
          </w:tcPr>
          <w:p>
            <w:pPr>
              <w:spacing w:after="40" w:before="40"/>
            </w:pPr>
            <w:r/>
            <w:r>
              <w:rPr>
                <w:b/>
                <w:color w:val="FFFFFF"/>
                <w:sz w:val="17"/>
              </w:rPr>
              <w:t>Meaning</w:t>
            </w:r>
          </w:p>
        </w:tc>
      </w:tr>
      <w:tr>
        <w:tc>
          <w:tcPr>
            <w:tcW w:type="dxa" w:w="3402"/>
          </w:tcPr>
          <w:p>
            <w:pPr>
              <w:spacing w:after="40" w:before="40"/>
            </w:pPr>
            <w:r/>
            <w:r>
              <w:rPr>
                <w:sz w:val="17"/>
              </w:rPr>
              <w:t>Date</w:t>
            </w:r>
          </w:p>
        </w:tc>
        <w:tc>
          <w:tcPr>
            <w:tcW w:type="dxa" w:w="6350"/>
          </w:tcPr>
          <w:p>
            <w:pPr>
              <w:spacing w:after="40" w:before="40"/>
            </w:pPr>
            <w:r/>
            <w:r>
              <w:rPr>
                <w:sz w:val="17"/>
              </w:rPr>
              <w:t>Anchor.</w:t>
            </w:r>
          </w:p>
        </w:tc>
      </w:tr>
      <w:tr>
        <w:tc>
          <w:tcPr>
            <w:tcW w:type="dxa" w:w="3402"/>
            <w:shd w:val="clear" w:fill="F4F4F7"/>
          </w:tcPr>
          <w:p>
            <w:pPr>
              <w:spacing w:after="40" w:before="40"/>
            </w:pPr>
            <w:r/>
            <w:r>
              <w:rPr>
                <w:sz w:val="17"/>
              </w:rPr>
              <w:t>Initial Purchase</w:t>
            </w:r>
          </w:p>
        </w:tc>
        <w:tc>
          <w:tcPr>
            <w:tcW w:type="dxa" w:w="6350"/>
            <w:shd w:val="clear" w:fill="F4F4F7"/>
          </w:tcPr>
          <w:p>
            <w:pPr>
              <w:spacing w:after="40" w:before="40"/>
            </w:pPr>
            <w:r/>
            <w:r>
              <w:rPr>
                <w:sz w:val="17"/>
              </w:rPr>
              <w:t>Non-zero creates an initialPurchase event.</w:t>
            </w:r>
          </w:p>
        </w:tc>
      </w:tr>
      <w:tr>
        <w:tc>
          <w:tcPr>
            <w:tcW w:type="dxa" w:w="3402"/>
          </w:tcPr>
          <w:p>
            <w:pPr>
              <w:spacing w:after="40" w:before="40"/>
            </w:pPr>
            <w:r/>
            <w:r>
              <w:rPr>
                <w:sz w:val="17"/>
              </w:rPr>
              <w:t>Drawdown</w:t>
            </w:r>
          </w:p>
        </w:tc>
        <w:tc>
          <w:tcPr>
            <w:tcW w:type="dxa" w:w="6350"/>
          </w:tcPr>
          <w:p>
            <w:pPr>
              <w:spacing w:after="40" w:before="40"/>
            </w:pPr>
            <w:r/>
            <w:r>
              <w:rPr>
                <w:sz w:val="17"/>
              </w:rPr>
              <w:t>Non-zero creates a drawdown event.</w:t>
            </w:r>
          </w:p>
        </w:tc>
      </w:tr>
      <w:tr>
        <w:tc>
          <w:tcPr>
            <w:tcW w:type="dxa" w:w="3402"/>
            <w:shd w:val="clear" w:fill="F4F4F7"/>
          </w:tcPr>
          <w:p>
            <w:pPr>
              <w:spacing w:after="40" w:before="40"/>
            </w:pPr>
            <w:r/>
            <w:r>
              <w:rPr>
                <w:sz w:val="17"/>
              </w:rPr>
              <w:t>Principal Payment</w:t>
            </w:r>
          </w:p>
        </w:tc>
        <w:tc>
          <w:tcPr>
            <w:tcW w:type="dxa" w:w="6350"/>
            <w:shd w:val="clear" w:fill="F4F4F7"/>
          </w:tcPr>
          <w:p>
            <w:pPr>
              <w:spacing w:after="40" w:before="40"/>
            </w:pPr>
            <w:r/>
            <w:r>
              <w:rPr>
                <w:sz w:val="17"/>
              </w:rPr>
              <w:t>Non-zero creates a principalPayment event.</w:t>
            </w:r>
          </w:p>
        </w:tc>
      </w:tr>
      <w:tr>
        <w:tc>
          <w:tcPr>
            <w:tcW w:type="dxa" w:w="3402"/>
          </w:tcPr>
          <w:p>
            <w:pPr>
              <w:spacing w:after="40" w:before="40"/>
            </w:pPr>
            <w:r/>
            <w:r>
              <w:rPr>
                <w:sz w:val="17"/>
              </w:rPr>
              <w:t>Drawdown Scope</w:t>
            </w:r>
          </w:p>
        </w:tc>
        <w:tc>
          <w:tcPr>
            <w:tcW w:type="dxa" w:w="6350"/>
          </w:tcPr>
          <w:p>
            <w:pPr>
              <w:spacing w:after="40" w:before="40"/>
            </w:pPr>
            <w:r/>
            <w:r>
              <w:rPr>
                <w:sz w:val="17"/>
              </w:rPr>
              <w:t>Ties the row to a drawdown lot. Keep an amount and an ISO date in the text.</w:t>
            </w:r>
          </w:p>
        </w:tc>
      </w:tr>
      <w:tr>
        <w:tc>
          <w:tcPr>
            <w:tcW w:type="dxa" w:w="3402"/>
            <w:shd w:val="clear" w:fill="F4F4F7"/>
          </w:tcPr>
          <w:p>
            <w:pPr>
              <w:spacing w:after="40" w:before="40"/>
            </w:pPr>
            <w:r/>
            <w:r>
              <w:rPr>
                <w:sz w:val="17"/>
              </w:rPr>
              <w:t>Principal Balance / Unfunded Balance / Principal + Capitalised / Unfunded (Net of capitalisations)</w:t>
            </w:r>
          </w:p>
        </w:tc>
        <w:tc>
          <w:tcPr>
            <w:tcW w:type="dxa" w:w="6350"/>
            <w:shd w:val="clear" w:fill="F4F4F7"/>
          </w:tcPr>
          <w:p>
            <w:pPr>
              <w:spacing w:after="40" w:before="40"/>
            </w:pPr>
            <w:r/>
            <w:r>
              <w:rPr>
                <w:sz w:val="17"/>
              </w:rPr>
              <w:t>The four balance bases each Rate/Amount pair can accrue on.</w:t>
            </w:r>
          </w:p>
        </w:tc>
      </w:tr>
    </w:tbl>
    <w:p>
      <w:pPr>
        <w:spacing w:after="80"/>
      </w:pPr>
    </w:p>
    <w:p>
      <w:pPr>
        <w:pStyle w:val="Heading3"/>
      </w:pPr>
      <w:r>
        <w:rPr>
          <w:b w:val="0"/>
          <w:i w:val="0"/>
        </w:rPr>
        <w:t>Sections</w:t>
      </w:r>
    </w:p>
    <w:p>
      <w:pPr>
        <w:spacing w:after="120"/>
      </w:pPr>
      <w:r>
        <w:rPr>
          <w:b w:val="0"/>
          <w:i w:val="0"/>
        </w:rPr>
        <w:t>Four sections, each holding four Rate/Amount pairs — one per balance basis — and each closed by its running-total column. PCS identifies the section from that total, which is why it works on both sheet types even though only the tranche sheets carry the banner row.</w:t>
      </w:r>
    </w:p>
    <w:tbl>
      <w:tblPr>
        <w:tblStyle w:val="TableGrid"/>
        <w:tblW w:type="auto" w:w="0"/>
        <w:jc w:val="left"/>
        <w:tblLayout w:type="fixed"/>
        <w:tblLook w:firstColumn="1" w:firstRow="1" w:lastColumn="0" w:lastRow="0" w:noHBand="0" w:noVBand="1" w:val="04A0"/>
      </w:tblPr>
      <w:tblGrid>
        <w:gridCol w:w="3362"/>
        <w:gridCol w:w="3362"/>
        <w:gridCol w:w="3362"/>
      </w:tblGrid>
      <w:tr>
        <w:tc>
          <w:tcPr>
            <w:tcW w:type="dxa" w:w="4082"/>
            <w:shd w:val="clear" w:fill="431B5B"/>
          </w:tcPr>
          <w:p>
            <w:pPr>
              <w:spacing w:after="40" w:before="40"/>
            </w:pPr>
            <w:r/>
            <w:r>
              <w:rPr>
                <w:b/>
                <w:color w:val="FFFFFF"/>
                <w:sz w:val="17"/>
              </w:rPr>
              <w:t>Closing column</w:t>
            </w:r>
          </w:p>
        </w:tc>
        <w:tc>
          <w:tcPr>
            <w:tcW w:type="dxa" w:w="2268"/>
            <w:shd w:val="clear" w:fill="431B5B"/>
          </w:tcPr>
          <w:p>
            <w:pPr>
              <w:spacing w:after="40" w:before="40"/>
            </w:pPr>
            <w:r/>
            <w:r>
              <w:rPr>
                <w:b/>
                <w:color w:val="FFFFFF"/>
                <w:sz w:val="17"/>
              </w:rPr>
              <w:t>Posting type</w:t>
            </w:r>
          </w:p>
        </w:tc>
        <w:tc>
          <w:tcPr>
            <w:tcW w:type="dxa" w:w="3402"/>
            <w:shd w:val="clear" w:fill="431B5B"/>
          </w:tcPr>
          <w:p>
            <w:pPr>
              <w:spacing w:after="40" w:before="40"/>
            </w:pPr>
            <w:r/>
            <w:r>
              <w:rPr>
                <w:b/>
                <w:color w:val="FFFFFF"/>
                <w:sz w:val="17"/>
              </w:rPr>
              <w:t>Settlement type</w:t>
            </w:r>
          </w:p>
        </w:tc>
      </w:tr>
      <w:tr>
        <w:tc>
          <w:tcPr>
            <w:tcW w:type="dxa" w:w="4082"/>
          </w:tcPr>
          <w:p>
            <w:pPr>
              <w:spacing w:after="40" w:before="40"/>
            </w:pPr>
            <w:r/>
            <w:r>
              <w:rPr>
                <w:sz w:val="17"/>
              </w:rPr>
              <w:t>Total Accrued PIK Interest</w:t>
            </w:r>
          </w:p>
        </w:tc>
        <w:tc>
          <w:tcPr>
            <w:tcW w:type="dxa" w:w="2268"/>
          </w:tcPr>
          <w:p>
            <w:pPr>
              <w:spacing w:after="40" w:before="40"/>
            </w:pPr>
            <w:r/>
            <w:r>
              <w:rPr>
                <w:sz w:val="17"/>
              </w:rPr>
              <w:t>Interest</w:t>
            </w:r>
          </w:p>
        </w:tc>
        <w:tc>
          <w:tcPr>
            <w:tcW w:type="dxa" w:w="3402"/>
          </w:tcPr>
          <w:p>
            <w:pPr>
              <w:spacing w:after="40" w:before="40"/>
            </w:pPr>
            <w:r/>
            <w:r>
              <w:rPr>
                <w:sz w:val="17"/>
              </w:rPr>
              <w:t>PIK</w:t>
            </w:r>
          </w:p>
        </w:tc>
      </w:tr>
      <w:tr>
        <w:tc>
          <w:tcPr>
            <w:tcW w:type="dxa" w:w="4082"/>
            <w:shd w:val="clear" w:fill="F4F4F7"/>
          </w:tcPr>
          <w:p>
            <w:pPr>
              <w:spacing w:after="40" w:before="40"/>
            </w:pPr>
            <w:r/>
            <w:r>
              <w:rPr>
                <w:sz w:val="17"/>
              </w:rPr>
              <w:t>Flat PIK Fee → Total Accrued PIK Fee</w:t>
            </w:r>
          </w:p>
        </w:tc>
        <w:tc>
          <w:tcPr>
            <w:tcW w:type="dxa" w:w="2268"/>
            <w:shd w:val="clear" w:fill="F4F4F7"/>
          </w:tcPr>
          <w:p>
            <w:pPr>
              <w:spacing w:after="40" w:before="40"/>
            </w:pPr>
            <w:r/>
            <w:r>
              <w:rPr>
                <w:sz w:val="17"/>
              </w:rPr>
              <w:t>Fee</w:t>
            </w:r>
          </w:p>
        </w:tc>
        <w:tc>
          <w:tcPr>
            <w:tcW w:type="dxa" w:w="3402"/>
            <w:shd w:val="clear" w:fill="F4F4F7"/>
          </w:tcPr>
          <w:p>
            <w:pPr>
              <w:spacing w:after="40" w:before="40"/>
            </w:pPr>
            <w:r/>
            <w:r>
              <w:rPr>
                <w:sz w:val="17"/>
              </w:rPr>
              <w:t>PIK</w:t>
            </w:r>
          </w:p>
        </w:tc>
      </w:tr>
      <w:tr>
        <w:tc>
          <w:tcPr>
            <w:tcW w:type="dxa" w:w="4082"/>
          </w:tcPr>
          <w:p>
            <w:pPr>
              <w:spacing w:after="40" w:before="40"/>
            </w:pPr>
            <w:r/>
            <w:r>
              <w:rPr>
                <w:sz w:val="17"/>
              </w:rPr>
              <w:t>Total Cash Interest</w:t>
            </w:r>
          </w:p>
        </w:tc>
        <w:tc>
          <w:tcPr>
            <w:tcW w:type="dxa" w:w="2268"/>
          </w:tcPr>
          <w:p>
            <w:pPr>
              <w:spacing w:after="40" w:before="40"/>
            </w:pPr>
            <w:r/>
            <w:r>
              <w:rPr>
                <w:sz w:val="17"/>
              </w:rPr>
              <w:t>Interest</w:t>
            </w:r>
          </w:p>
        </w:tc>
        <w:tc>
          <w:tcPr>
            <w:tcW w:type="dxa" w:w="3402"/>
          </w:tcPr>
          <w:p>
            <w:pPr>
              <w:spacing w:after="40" w:before="40"/>
            </w:pPr>
            <w:r/>
            <w:r>
              <w:rPr>
                <w:sz w:val="17"/>
              </w:rPr>
              <w:t>Cash</w:t>
            </w:r>
          </w:p>
        </w:tc>
      </w:tr>
      <w:tr>
        <w:tc>
          <w:tcPr>
            <w:tcW w:type="dxa" w:w="4082"/>
            <w:shd w:val="clear" w:fill="F4F4F7"/>
          </w:tcPr>
          <w:p>
            <w:pPr>
              <w:spacing w:after="40" w:before="40"/>
            </w:pPr>
            <w:r/>
            <w:r>
              <w:rPr>
                <w:sz w:val="17"/>
              </w:rPr>
              <w:t>Flat Cash Fee → Total Cash Fee</w:t>
            </w:r>
          </w:p>
        </w:tc>
        <w:tc>
          <w:tcPr>
            <w:tcW w:type="dxa" w:w="2268"/>
            <w:shd w:val="clear" w:fill="F4F4F7"/>
          </w:tcPr>
          <w:p>
            <w:pPr>
              <w:spacing w:after="40" w:before="40"/>
            </w:pPr>
            <w:r/>
            <w:r>
              <w:rPr>
                <w:sz w:val="17"/>
              </w:rPr>
              <w:t>Fee</w:t>
            </w:r>
          </w:p>
        </w:tc>
        <w:tc>
          <w:tcPr>
            <w:tcW w:type="dxa" w:w="3402"/>
            <w:shd w:val="clear" w:fill="F4F4F7"/>
          </w:tcPr>
          <w:p>
            <w:pPr>
              <w:spacing w:after="40" w:before="40"/>
            </w:pPr>
            <w:r/>
            <w:r>
              <w:rPr>
                <w:sz w:val="17"/>
              </w:rPr>
              <w:t>Cash</w:t>
            </w:r>
          </w:p>
        </w:tc>
      </w:tr>
    </w:tbl>
    <w:p>
      <w:pPr>
        <w:spacing w:after="80"/>
      </w:pPr>
    </w:p>
    <w:p>
      <w:pPr>
        <w:spacing w:after="160"/>
      </w:pPr>
      <w:r>
        <w:rPr>
          <w:b w:val="0"/>
          <w:i w:val="0"/>
        </w:rPr>
        <w:t>Total Accrued PIK, Total Cash and Total are spreadsheet totals and are ignored. A Flat fee column carries an amount with no rate.</w:t>
      </w:r>
    </w:p>
    <w:tbl>
      <w:tblPr>
        <w:tblStyle w:val="TableGrid"/>
        <w:tblW w:type="auto" w:w="0"/>
        <w:tblLook w:firstColumn="1" w:firstRow="1" w:lastColumn="0" w:lastRow="0" w:noHBand="0" w:noVBand="1" w:val="04A0"/>
      </w:tblPr>
      <w:tblGrid>
        <w:gridCol w:w="10086"/>
      </w:tblGrid>
      <w:tr>
        <w:tc>
          <w:tcPr>
            <w:tcW w:type="dxa" w:w="9751"/>
            <w:shd w:val="clear" w:fill="FDECEC"/>
          </w:tcPr>
          <w:p>
            <w:pPr>
              <w:spacing w:after="40"/>
            </w:pPr>
            <w:r/>
            <w:r>
              <w:rPr>
                <w:b/>
                <w:sz w:val="19"/>
              </w:rPr>
              <w:t>One Rate/Amount pair must cover exactly one component</w:t>
            </w:r>
          </w:p>
          <w:p>
            <w:pPr>
              <w:spacing w:after="40"/>
            </w:pPr>
            <w:r>
              <w:rPr>
                <w:sz w:val="19"/>
              </w:rPr>
              <w:t>In the current sample, Tranches 2 and 3 label a single pair "20 Year Fixed, Monthly SONIA" — two components sharing one rate and one amount. The workbook gives no way to say how the amount splits, so PCS imports it as one combined line and flags it. Combined lines cannot be reported or reconciled per component. Please emit a separate pair for each.</w:t>
            </w:r>
          </w:p>
        </w:tc>
      </w:tr>
    </w:tbl>
    <w:p>
      <w:pPr>
        <w:spacing w:after="80"/>
      </w:pPr>
    </w:p>
    <w:p>
      <w:pPr>
        <w:pStyle w:val="Heading2"/>
      </w:pPr>
      <w:r>
        <w:rPr>
          <w:b w:val="0"/>
          <w:i w:val="0"/>
        </w:rPr>
        <w:t>A.7 · Formats</w:t>
      </w:r>
    </w:p>
    <w:tbl>
      <w:tblPr>
        <w:tblStyle w:val="TableGrid"/>
        <w:tblW w:type="auto" w:w="0"/>
        <w:jc w:val="left"/>
        <w:tblLayout w:type="fixed"/>
        <w:tblLook w:firstColumn="1" w:firstRow="1" w:lastColumn="0" w:lastRow="0" w:noHBand="0" w:noVBand="1" w:val="04A0"/>
      </w:tblPr>
      <w:tblGrid>
        <w:gridCol w:w="3362"/>
        <w:gridCol w:w="3362"/>
        <w:gridCol w:w="3362"/>
      </w:tblGrid>
      <w:tr>
        <w:tc>
          <w:tcPr>
            <w:tcW w:type="dxa" w:w="1701"/>
            <w:shd w:val="clear" w:fill="431B5B"/>
          </w:tcPr>
          <w:p>
            <w:pPr>
              <w:spacing w:after="40" w:before="40"/>
            </w:pPr>
            <w:r/>
            <w:r>
              <w:rPr>
                <w:b/>
                <w:color w:val="FFFFFF"/>
                <w:sz w:val="17"/>
              </w:rPr>
              <w:t>Data</w:t>
            </w:r>
          </w:p>
        </w:tc>
        <w:tc>
          <w:tcPr>
            <w:tcW w:type="dxa" w:w="3742"/>
            <w:shd w:val="clear" w:fill="431B5B"/>
          </w:tcPr>
          <w:p>
            <w:pPr>
              <w:spacing w:after="40" w:before="40"/>
            </w:pPr>
            <w:r/>
            <w:r>
              <w:rPr>
                <w:b/>
                <w:color w:val="FFFFFF"/>
                <w:sz w:val="17"/>
              </w:rPr>
              <w:t>Format</w:t>
            </w:r>
          </w:p>
        </w:tc>
        <w:tc>
          <w:tcPr>
            <w:tcW w:type="dxa" w:w="4309"/>
            <w:shd w:val="clear" w:fill="431B5B"/>
          </w:tcPr>
          <w:p>
            <w:pPr>
              <w:spacing w:after="40" w:before="40"/>
            </w:pPr>
            <w:r/>
            <w:r>
              <w:rPr>
                <w:b/>
                <w:color w:val="FFFFFF"/>
                <w:sz w:val="17"/>
              </w:rPr>
              <w:t>Examples</w:t>
            </w:r>
          </w:p>
        </w:tc>
      </w:tr>
      <w:tr>
        <w:tc>
          <w:tcPr>
            <w:tcW w:type="dxa" w:w="1701"/>
          </w:tcPr>
          <w:p>
            <w:pPr>
              <w:spacing w:after="40" w:before="40"/>
            </w:pPr>
            <w:r/>
            <w:r>
              <w:rPr>
                <w:sz w:val="17"/>
              </w:rPr>
              <w:t>Dates</w:t>
            </w:r>
          </w:p>
        </w:tc>
        <w:tc>
          <w:tcPr>
            <w:tcW w:type="dxa" w:w="3742"/>
          </w:tcPr>
          <w:p>
            <w:pPr>
              <w:spacing w:after="40" w:before="40"/>
            </w:pPr>
            <w:r/>
            <w:r>
              <w:rPr>
                <w:sz w:val="17"/>
              </w:rPr>
              <w:t>Real Excel dates, or ISO text</w:t>
            </w:r>
          </w:p>
        </w:tc>
        <w:tc>
          <w:tcPr>
            <w:tcW w:type="dxa" w:w="4309"/>
          </w:tcPr>
          <w:p>
            <w:pPr>
              <w:spacing w:after="40" w:before="40"/>
            </w:pPr>
            <w:r/>
            <w:r>
              <w:rPr>
                <w:sz w:val="17"/>
              </w:rPr>
              <w:t>2026-07-31</w:t>
            </w:r>
          </w:p>
        </w:tc>
      </w:tr>
      <w:tr>
        <w:tc>
          <w:tcPr>
            <w:tcW w:type="dxa" w:w="1701"/>
            <w:shd w:val="clear" w:fill="F4F4F7"/>
          </w:tcPr>
          <w:p>
            <w:pPr>
              <w:spacing w:after="40" w:before="40"/>
            </w:pPr>
            <w:r/>
            <w:r>
              <w:rPr>
                <w:sz w:val="17"/>
              </w:rPr>
              <w:t>Amounts</w:t>
            </w:r>
          </w:p>
        </w:tc>
        <w:tc>
          <w:tcPr>
            <w:tcW w:type="dxa" w:w="3742"/>
            <w:shd w:val="clear" w:fill="F4F4F7"/>
          </w:tcPr>
          <w:p>
            <w:pPr>
              <w:spacing w:after="40" w:before="40"/>
            </w:pPr>
            <w:r/>
            <w:r>
              <w:rPr>
                <w:sz w:val="17"/>
              </w:rPr>
              <w:t>Numeric; symbols and separators tolerated</w:t>
            </w:r>
          </w:p>
        </w:tc>
        <w:tc>
          <w:tcPr>
            <w:tcW w:type="dxa" w:w="4309"/>
            <w:shd w:val="clear" w:fill="F4F4F7"/>
          </w:tcPr>
          <w:p>
            <w:pPr>
              <w:spacing w:after="40" w:before="40"/>
            </w:pPr>
            <w:r/>
            <w:r>
              <w:rPr>
                <w:sz w:val="17"/>
              </w:rPr>
              <w:t>£ 23,000,000.00  ·  23000000</w:t>
            </w:r>
          </w:p>
        </w:tc>
      </w:tr>
      <w:tr>
        <w:tc>
          <w:tcPr>
            <w:tcW w:type="dxa" w:w="1701"/>
          </w:tcPr>
          <w:p>
            <w:pPr>
              <w:spacing w:after="40" w:before="40"/>
            </w:pPr>
            <w:r/>
            <w:r>
              <w:rPr>
                <w:sz w:val="17"/>
              </w:rPr>
              <w:t>Zero / nil</w:t>
            </w:r>
          </w:p>
        </w:tc>
        <w:tc>
          <w:tcPr>
            <w:tcW w:type="dxa" w:w="3742"/>
          </w:tcPr>
          <w:p>
            <w:pPr>
              <w:spacing w:after="40" w:before="40"/>
            </w:pPr>
            <w:r/>
            <w:r>
              <w:rPr>
                <w:sz w:val="17"/>
              </w:rPr>
              <w:t>Read as zero</w:t>
            </w:r>
          </w:p>
        </w:tc>
        <w:tc>
          <w:tcPr>
            <w:tcW w:type="dxa" w:w="4309"/>
          </w:tcPr>
          <w:p>
            <w:pPr>
              <w:spacing w:after="40" w:before="40"/>
            </w:pPr>
            <w:r/>
            <w:r>
              <w:rPr>
                <w:sz w:val="17"/>
              </w:rPr>
              <w:t>0  ·  £ -  ·  (blank)</w:t>
            </w:r>
          </w:p>
        </w:tc>
      </w:tr>
      <w:tr>
        <w:tc>
          <w:tcPr>
            <w:tcW w:type="dxa" w:w="1701"/>
            <w:shd w:val="clear" w:fill="F4F4F7"/>
          </w:tcPr>
          <w:p>
            <w:pPr>
              <w:spacing w:after="40" w:before="40"/>
            </w:pPr>
            <w:r/>
            <w:r>
              <w:rPr>
                <w:sz w:val="17"/>
              </w:rPr>
              <w:t>Rates</w:t>
            </w:r>
          </w:p>
        </w:tc>
        <w:tc>
          <w:tcPr>
            <w:tcW w:type="dxa" w:w="3742"/>
            <w:shd w:val="clear" w:fill="F4F4F7"/>
          </w:tcPr>
          <w:p>
            <w:pPr>
              <w:spacing w:after="40" w:before="40"/>
            </w:pPr>
            <w:r/>
            <w:r>
              <w:rPr>
                <w:sz w:val="17"/>
              </w:rPr>
              <w:t>Decimals, full precision</w:t>
            </w:r>
          </w:p>
        </w:tc>
        <w:tc>
          <w:tcPr>
            <w:tcW w:type="dxa" w:w="4309"/>
            <w:shd w:val="clear" w:fill="F4F4F7"/>
          </w:tcPr>
          <w:p>
            <w:pPr>
              <w:spacing w:after="40" w:before="40"/>
            </w:pPr>
            <w:r/>
            <w:r>
              <w:rPr>
                <w:sz w:val="17"/>
              </w:rPr>
              <w:t>0.00446691</w:t>
            </w:r>
          </w:p>
        </w:tc>
      </w:tr>
    </w:tbl>
    <w:p>
      <w:pPr>
        <w:spacing w:after="80"/>
      </w:pPr>
    </w:p>
    <w:p>
      <w:pPr>
        <w:spacing w:after="160"/>
      </w:pPr>
      <w:r>
        <w:rPr>
          <w:b w:val="0"/>
          <w:i w:val="0"/>
        </w:rPr>
        <w:t>Rates at four decimal places distort a recalculated 45bp fee by about 0.74%. The current template sends full precision — please keep it. Any rate above 1 is rejected as a percentage entered where a decimal belongs.</w:t>
      </w:r>
    </w:p>
    <w:p>
      <w:pPr>
        <w:pStyle w:val="Heading2"/>
      </w:pPr>
      <w:r>
        <w:rPr>
          <w:b w:val="0"/>
          <w:i w:val="0"/>
        </w:rPr>
        <w:t>A.8 · Identity in the workbook</w:t>
      </w:r>
    </w:p>
    <w:p>
      <w:pPr>
        <w:spacing w:after="120"/>
      </w:pPr>
      <w:r>
        <w:rPr>
          <w:b w:val="0"/>
          <w:i w:val="0"/>
        </w:rPr>
        <w:t>Today PCS identifies the deal by Deal ID or Deal Name, and each tranche by its Tranche Name. That works only while those names never change, and it does not match the GUIDs the API will send.</w:t>
      </w:r>
    </w:p>
    <w:p>
      <w:pPr>
        <w:spacing w:after="200"/>
      </w:pPr>
      <w:r>
        <w:rPr>
          <w:b w:val="0"/>
          <w:i w:val="0"/>
        </w:rPr>
        <w:t xml:space="preserve">Please add a </w:t>
      </w:r>
      <w:r>
        <w:rPr>
          <w:rFonts w:ascii="Consolas" w:hAnsi="Consolas"/>
          <w:b w:val="0"/>
          <w:i w:val="0"/>
          <w:sz w:val="19"/>
        </w:rPr>
        <w:t>Deal ID</w:t>
      </w:r>
      <w:r>
        <w:rPr>
          <w:b w:val="0"/>
          <w:i w:val="0"/>
        </w:rPr>
        <w:t xml:space="preserve"> row carrying PortF’s deal GUID to the Deal Setup block, and a </w:t>
      </w:r>
      <w:r>
        <w:rPr>
          <w:rFonts w:ascii="Consolas" w:hAnsi="Consolas"/>
          <w:b w:val="0"/>
          <w:i w:val="0"/>
          <w:sz w:val="19"/>
        </w:rPr>
        <w:t>Tranche ID</w:t>
      </w:r>
      <w:r>
        <w:rPr>
          <w:b w:val="0"/>
          <w:i w:val="0"/>
        </w:rPr>
        <w:t xml:space="preserve"> row carrying the tranche GUID to each Tranche Details block. </w:t>
      </w:r>
      <w:r>
        <w:rPr>
          <w:b/>
          <w:i w:val="0"/>
        </w:rPr>
        <w:t>Row position does not matter.</w:t>
      </w:r>
    </w:p>
    <w:p>
      <w:pPr>
        <w:pStyle w:val="Heading1"/>
      </w:pPr>
      <w:r>
        <w:rPr>
          <w:b w:val="0"/>
          <w:i w:val="0"/>
        </w:rPr>
        <w:t>Part B · The API</w:t>
      </w:r>
    </w:p>
    <w:p>
      <w:pPr>
        <w:pStyle w:val="Heading2"/>
      </w:pPr>
      <w:r>
        <w:rPr>
          <w:b w:val="0"/>
          <w:i w:val="0"/>
        </w:rPr>
        <w:t>B.1 · Shape</w:t>
      </w:r>
    </w:p>
    <w:tbl>
      <w:tblPr>
        <w:tblStyle w:val="TableGrid"/>
        <w:tblW w:type="auto" w:w="0"/>
        <w:jc w:val="left"/>
        <w:tblLayout w:type="fixed"/>
        <w:tblLook w:firstColumn="1" w:firstRow="1" w:lastColumn="0" w:lastRow="0" w:noHBand="0" w:noVBand="1" w:val="04A0"/>
      </w:tblPr>
      <w:tblGrid>
        <w:gridCol w:w="5043"/>
        <w:gridCol w:w="5043"/>
      </w:tblGrid>
      <w:tr>
        <w:tc>
          <w:tcPr>
            <w:tcW w:type="dxa" w:w="2268"/>
            <w:shd w:val="clear" w:fill="431B5B"/>
          </w:tcPr>
          <w:p>
            <w:pPr>
              <w:spacing w:after="40" w:before="40"/>
            </w:pPr>
            <w:r/>
            <w:r>
              <w:rPr>
                <w:b/>
                <w:color w:val="FFFFFF"/>
                <w:sz w:val="17"/>
              </w:rPr>
              <w:t>Decision</w:t>
            </w:r>
          </w:p>
        </w:tc>
        <w:tc>
          <w:tcPr>
            <w:tcW w:type="dxa" w:w="7483"/>
            <w:shd w:val="clear" w:fill="431B5B"/>
          </w:tcPr>
          <w:p>
            <w:pPr>
              <w:spacing w:after="40" w:before="40"/>
            </w:pPr>
            <w:r/>
            <w:r>
              <w:rPr>
                <w:b/>
                <w:color w:val="FFFFFF"/>
                <w:sz w:val="17"/>
              </w:rPr>
              <w:t>Value</w:t>
            </w:r>
          </w:p>
        </w:tc>
      </w:tr>
      <w:tr>
        <w:tc>
          <w:tcPr>
            <w:tcW w:type="dxa" w:w="2268"/>
          </w:tcPr>
          <w:p>
            <w:pPr>
              <w:spacing w:after="40" w:before="40"/>
            </w:pPr>
            <w:r/>
            <w:r>
              <w:rPr>
                <w:sz w:val="17"/>
              </w:rPr>
              <w:t>Direction</w:t>
            </w:r>
          </w:p>
        </w:tc>
        <w:tc>
          <w:tcPr>
            <w:tcW w:type="dxa" w:w="7483"/>
          </w:tcPr>
          <w:p>
            <w:pPr>
              <w:spacing w:after="40" w:before="40"/>
            </w:pPr>
            <w:r/>
            <w:r>
              <w:rPr>
                <w:sz w:val="17"/>
              </w:rPr>
              <w:t>PCS pulls. PortF exposes a read API; PCS polls.</w:t>
            </w:r>
          </w:p>
        </w:tc>
      </w:tr>
      <w:tr>
        <w:tc>
          <w:tcPr>
            <w:tcW w:type="dxa" w:w="2268"/>
            <w:shd w:val="clear" w:fill="F4F4F7"/>
          </w:tcPr>
          <w:p>
            <w:pPr>
              <w:spacing w:after="40" w:before="40"/>
            </w:pPr>
            <w:r/>
            <w:r>
              <w:rPr>
                <w:sz w:val="17"/>
              </w:rPr>
              <w:t>Payload</w:t>
            </w:r>
          </w:p>
        </w:tc>
        <w:tc>
          <w:tcPr>
            <w:tcW w:type="dxa" w:w="7483"/>
            <w:shd w:val="clear" w:fill="F4F4F7"/>
          </w:tcPr>
          <w:p>
            <w:pPr>
              <w:spacing w:after="40" w:before="40"/>
            </w:pPr>
            <w:r/>
            <w:r>
              <w:rPr>
                <w:sz w:val="17"/>
              </w:rPr>
              <w:t>Full snapshot per deal — the complete current state every time.</w:t>
            </w:r>
          </w:p>
        </w:tc>
      </w:tr>
      <w:tr>
        <w:tc>
          <w:tcPr>
            <w:tcW w:type="dxa" w:w="2268"/>
          </w:tcPr>
          <w:p>
            <w:pPr>
              <w:spacing w:after="40" w:before="40"/>
            </w:pPr>
            <w:r/>
            <w:r>
              <w:rPr>
                <w:sz w:val="17"/>
              </w:rPr>
              <w:t>Schedule</w:t>
            </w:r>
          </w:p>
        </w:tc>
        <w:tc>
          <w:tcPr>
            <w:tcW w:type="dxa" w:w="7483"/>
          </w:tcPr>
          <w:p>
            <w:pPr>
              <w:spacing w:after="40" w:before="40"/>
            </w:pPr>
            <w:r/>
            <w:r>
              <w:rPr>
                <w:sz w:val="17"/>
              </w:rPr>
              <w:t>Full forward schedule to maturity.</w:t>
            </w:r>
          </w:p>
        </w:tc>
      </w:tr>
      <w:tr>
        <w:tc>
          <w:tcPr>
            <w:tcW w:type="dxa" w:w="2268"/>
            <w:shd w:val="clear" w:fill="F4F4F7"/>
          </w:tcPr>
          <w:p>
            <w:pPr>
              <w:spacing w:after="40" w:before="40"/>
            </w:pPr>
            <w:r/>
            <w:r>
              <w:rPr>
                <w:sz w:val="17"/>
              </w:rPr>
              <w:t>GL granularity</w:t>
            </w:r>
          </w:p>
        </w:tc>
        <w:tc>
          <w:tcPr>
            <w:tcW w:type="dxa" w:w="7483"/>
            <w:shd w:val="clear" w:fill="F4F4F7"/>
          </w:tcPr>
          <w:p>
            <w:pPr>
              <w:spacing w:after="40" w:before="40"/>
            </w:pPr>
            <w:r/>
            <w:r>
              <w:rPr>
                <w:sz w:val="17"/>
              </w:rPr>
              <w:t>Tranche level. Drawdown lots carried for traceability.</w:t>
            </w:r>
          </w:p>
        </w:tc>
      </w:tr>
      <w:tr>
        <w:tc>
          <w:tcPr>
            <w:tcW w:type="dxa" w:w="2268"/>
          </w:tcPr>
          <w:p>
            <w:pPr>
              <w:spacing w:after="40" w:before="40"/>
            </w:pPr>
            <w:r/>
            <w:r>
              <w:rPr>
                <w:sz w:val="17"/>
              </w:rPr>
              <w:t>Restatements</w:t>
            </w:r>
          </w:p>
        </w:tc>
        <w:tc>
          <w:tcPr>
            <w:tcW w:type="dxa" w:w="7483"/>
          </w:tcPr>
          <w:p>
            <w:pPr>
              <w:spacing w:after="40" w:before="40"/>
            </w:pPr>
            <w:r/>
            <w:r>
              <w:rPr>
                <w:sz w:val="17"/>
              </w:rPr>
              <w:t>No marker. PCS diffs each snapshot against the last.</w:t>
            </w:r>
          </w:p>
        </w:tc>
      </w:tr>
      <w:tr>
        <w:tc>
          <w:tcPr>
            <w:tcW w:type="dxa" w:w="2268"/>
            <w:shd w:val="clear" w:fill="F4F4F7"/>
          </w:tcPr>
          <w:p>
            <w:pPr>
              <w:spacing w:after="40" w:before="40"/>
            </w:pPr>
            <w:r/>
            <w:r>
              <w:rPr>
                <w:sz w:val="17"/>
              </w:rPr>
              <w:t>Volume</w:t>
            </w:r>
          </w:p>
        </w:tc>
        <w:tc>
          <w:tcPr>
            <w:tcW w:type="dxa" w:w="7483"/>
            <w:shd w:val="clear" w:fill="F4F4F7"/>
          </w:tcPr>
          <w:p>
            <w:pPr>
              <w:spacing w:after="40" w:before="40"/>
            </w:pPr>
            <w:r/>
            <w:r>
              <w:rPr>
                <w:sz w:val="17"/>
              </w:rPr>
              <w:t>No row ceiling. The Excel route stops at 500,000 rows; the API is the route for large deals.</w:t>
            </w:r>
          </w:p>
        </w:tc>
      </w:tr>
    </w:tbl>
    <w:p>
      <w:pPr>
        <w:spacing w:after="80"/>
      </w:pPr>
    </w:p>
    <w:p>
      <w:pPr>
        <w:pStyle w:val="Heading2"/>
      </w:pPr>
      <w:r>
        <w:rPr>
          <w:b w:val="0"/>
          <w:i w:val="0"/>
        </w:rPr>
        <w:t>B.2 · Endpoints</w:t>
      </w:r>
    </w:p>
    <w:p>
      <w:pPr>
        <w:spacing w:after="80"/>
      </w:pPr>
      <w:r>
        <w:rPr>
          <w:rFonts w:ascii="Consolas" w:hAnsi="Consolas"/>
          <w:b/>
          <w:i w:val="0"/>
          <w:sz w:val="19"/>
        </w:rPr>
        <w:t>GET /deals?changedSince={iso8601}</w:t>
      </w:r>
    </w:p>
    <w:p>
      <w:pPr>
        <w:spacing w:after="120"/>
      </w:pPr>
      <w:r>
        <w:rPr>
          <w:b w:val="0"/>
          <w:i w:val="0"/>
        </w:rPr>
        <w:t>Returns id, dealCode, name, lastChangedAt, snapshotId and contentHash per deal. No schedules. contentHash lets PCS skip the fetch when nothing has changed.</w:t>
      </w:r>
    </w:p>
    <w:p>
      <w:pPr>
        <w:spacing w:after="80"/>
      </w:pPr>
      <w:r>
        <w:rPr>
          <w:rFonts w:ascii="Consolas" w:hAnsi="Consolas"/>
          <w:b/>
          <w:i w:val="0"/>
          <w:sz w:val="19"/>
        </w:rPr>
        <w:t>GET /deals/{externalDealId}</w:t>
      </w:r>
    </w:p>
    <w:p>
      <w:pPr>
        <w:spacing w:after="160"/>
      </w:pPr>
      <w:r>
        <w:rPr>
          <w:b w:val="0"/>
          <w:i w:val="0"/>
        </w:rPr>
        <w:t>The full snapshot. snapshotId and contentHash must change when anything in the payload changes, and must not change otherwise.</w:t>
      </w:r>
    </w:p>
    <w:p>
      <w:pPr>
        <w:pStyle w:val="Heading2"/>
      </w:pPr>
      <w:r>
        <w:rPr>
          <w:b w:val="0"/>
          <w:i w:val="0"/>
        </w:rPr>
        <w:t>B.3 · Field mapping</w:t>
      </w:r>
    </w:p>
    <w:p>
      <w:pPr>
        <w:spacing w:after="120"/>
      </w:pPr>
      <w:r>
        <w:rPr>
          <w:b w:val="0"/>
          <w:i w:val="0"/>
        </w:rPr>
        <w:t>Every API field has a workbook counterpart with the same meaning and the same legal values.</w:t>
      </w:r>
    </w:p>
    <w:tbl>
      <w:tblPr>
        <w:tblStyle w:val="TableGrid"/>
        <w:tblW w:type="auto" w:w="0"/>
        <w:jc w:val="left"/>
        <w:tblLayout w:type="fixed"/>
        <w:tblLook w:firstColumn="1" w:firstRow="1" w:lastColumn="0" w:lastRow="0" w:noHBand="0" w:noVBand="1" w:val="04A0"/>
      </w:tblPr>
      <w:tblGrid>
        <w:gridCol w:w="3362"/>
        <w:gridCol w:w="3362"/>
        <w:gridCol w:w="3362"/>
      </w:tblGrid>
      <w:tr>
        <w:tc>
          <w:tcPr>
            <w:tcW w:type="dxa" w:w="3628"/>
            <w:shd w:val="clear" w:fill="431B5B"/>
          </w:tcPr>
          <w:p>
            <w:pPr>
              <w:spacing w:after="40" w:before="40"/>
            </w:pPr>
            <w:r/>
            <w:r>
              <w:rPr>
                <w:b/>
                <w:color w:val="FFFFFF"/>
                <w:sz w:val="17"/>
              </w:rPr>
              <w:t>Workbook location</w:t>
            </w:r>
          </w:p>
        </w:tc>
        <w:tc>
          <w:tcPr>
            <w:tcW w:type="dxa" w:w="3175"/>
            <w:shd w:val="clear" w:fill="431B5B"/>
          </w:tcPr>
          <w:p>
            <w:pPr>
              <w:spacing w:after="40" w:before="40"/>
            </w:pPr>
            <w:r/>
            <w:r>
              <w:rPr>
                <w:b/>
                <w:color w:val="FFFFFF"/>
                <w:sz w:val="17"/>
              </w:rPr>
              <w:t>API field</w:t>
            </w:r>
          </w:p>
        </w:tc>
        <w:tc>
          <w:tcPr>
            <w:tcW w:type="dxa" w:w="2948"/>
            <w:shd w:val="clear" w:fill="431B5B"/>
          </w:tcPr>
          <w:p>
            <w:pPr>
              <w:spacing w:after="40" w:before="40"/>
            </w:pPr>
            <w:r/>
            <w:r>
              <w:rPr>
                <w:b/>
                <w:color w:val="FFFFFF"/>
                <w:sz w:val="17"/>
              </w:rPr>
              <w:t>Notes</w:t>
            </w:r>
          </w:p>
        </w:tc>
      </w:tr>
      <w:tr>
        <w:tc>
          <w:tcPr>
            <w:tcW w:type="dxa" w:w="3628"/>
          </w:tcPr>
          <w:p>
            <w:pPr>
              <w:spacing w:after="40" w:before="40"/>
            </w:pPr>
            <w:r/>
            <w:r>
              <w:rPr>
                <w:sz w:val="17"/>
              </w:rPr>
              <w:t>Deal Setup → Deal Name</w:t>
            </w:r>
          </w:p>
        </w:tc>
        <w:tc>
          <w:tcPr>
            <w:tcW w:type="dxa" w:w="3175"/>
          </w:tcPr>
          <w:p>
            <w:pPr>
              <w:spacing w:after="40" w:before="40"/>
            </w:pPr>
            <w:r/>
            <w:r>
              <w:rPr>
                <w:rFonts w:ascii="Consolas" w:hAnsi="Consolas"/>
                <w:sz w:val="16"/>
              </w:rPr>
              <w:t>deal.dealName</w:t>
            </w:r>
          </w:p>
        </w:tc>
        <w:tc>
          <w:tcPr>
            <w:tcW w:type="dxa" w:w="2948"/>
          </w:tcPr>
          <w:p>
            <w:pPr>
              <w:spacing w:after="40" w:before="40"/>
            </w:pPr>
            <w:r/>
            <w:r>
              <w:rPr>
                <w:sz w:val="17"/>
              </w:rPr>
            </w:r>
          </w:p>
        </w:tc>
      </w:tr>
      <w:tr>
        <w:tc>
          <w:tcPr>
            <w:tcW w:type="dxa" w:w="3628"/>
            <w:shd w:val="clear" w:fill="F4F4F7"/>
          </w:tcPr>
          <w:p>
            <w:pPr>
              <w:spacing w:after="40" w:before="40"/>
            </w:pPr>
            <w:r/>
            <w:r>
              <w:rPr>
                <w:sz w:val="17"/>
              </w:rPr>
              <w:t>Deal Setup → Deal ID</w:t>
            </w:r>
          </w:p>
        </w:tc>
        <w:tc>
          <w:tcPr>
            <w:tcW w:type="dxa" w:w="3175"/>
            <w:shd w:val="clear" w:fill="F4F4F7"/>
          </w:tcPr>
          <w:p>
            <w:pPr>
              <w:spacing w:after="40" w:before="40"/>
            </w:pPr>
            <w:r/>
            <w:r>
              <w:rPr>
                <w:rFonts w:ascii="Consolas" w:hAnsi="Consolas"/>
                <w:sz w:val="16"/>
              </w:rPr>
              <w:t>deal.dealCode</w:t>
            </w:r>
          </w:p>
        </w:tc>
        <w:tc>
          <w:tcPr>
            <w:tcW w:type="dxa" w:w="2948"/>
            <w:shd w:val="clear" w:fill="F4F4F7"/>
          </w:tcPr>
          <w:p>
            <w:pPr>
              <w:spacing w:after="40" w:before="40"/>
            </w:pPr>
            <w:r/>
            <w:r>
              <w:rPr>
                <w:sz w:val="17"/>
              </w:rPr>
              <w:t>Display code.</w:t>
            </w:r>
          </w:p>
        </w:tc>
      </w:tr>
      <w:tr>
        <w:tc>
          <w:tcPr>
            <w:tcW w:type="dxa" w:w="3628"/>
          </w:tcPr>
          <w:p>
            <w:pPr>
              <w:spacing w:after="40" w:before="40"/>
            </w:pPr>
            <w:r/>
            <w:r>
              <w:rPr>
                <w:sz w:val="17"/>
              </w:rPr>
              <w:t>(GUID, not yet exported)</w:t>
            </w:r>
          </w:p>
        </w:tc>
        <w:tc>
          <w:tcPr>
            <w:tcW w:type="dxa" w:w="3175"/>
          </w:tcPr>
          <w:p>
            <w:pPr>
              <w:spacing w:after="40" w:before="40"/>
            </w:pPr>
            <w:r/>
            <w:r>
              <w:rPr>
                <w:rFonts w:ascii="Consolas" w:hAnsi="Consolas"/>
                <w:sz w:val="16"/>
              </w:rPr>
              <w:t>externalDealId</w:t>
            </w:r>
          </w:p>
        </w:tc>
        <w:tc>
          <w:tcPr>
            <w:tcW w:type="dxa" w:w="2948"/>
          </w:tcPr>
          <w:p>
            <w:pPr>
              <w:spacing w:after="40" w:before="40"/>
            </w:pPr>
            <w:r/>
            <w:r>
              <w:rPr>
                <w:sz w:val="17"/>
              </w:rPr>
              <w:t>The identity.</w:t>
            </w:r>
          </w:p>
        </w:tc>
      </w:tr>
      <w:tr>
        <w:tc>
          <w:tcPr>
            <w:tcW w:type="dxa" w:w="3628"/>
            <w:shd w:val="clear" w:fill="F4F4F7"/>
          </w:tcPr>
          <w:p>
            <w:pPr>
              <w:spacing w:after="40" w:before="40"/>
            </w:pPr>
            <w:r/>
            <w:r>
              <w:rPr>
                <w:sz w:val="17"/>
              </w:rPr>
              <w:t>Deal Setup → Currency</w:t>
            </w:r>
          </w:p>
        </w:tc>
        <w:tc>
          <w:tcPr>
            <w:tcW w:type="dxa" w:w="3175"/>
            <w:shd w:val="clear" w:fill="F4F4F7"/>
          </w:tcPr>
          <w:p>
            <w:pPr>
              <w:spacing w:after="40" w:before="40"/>
            </w:pPr>
            <w:r/>
            <w:r>
              <w:rPr>
                <w:rFonts w:ascii="Consolas" w:hAnsi="Consolas"/>
                <w:sz w:val="16"/>
              </w:rPr>
              <w:t>deal.currency</w:t>
            </w:r>
          </w:p>
        </w:tc>
        <w:tc>
          <w:tcPr>
            <w:tcW w:type="dxa" w:w="2948"/>
            <w:shd w:val="clear" w:fill="F4F4F7"/>
          </w:tcPr>
          <w:p>
            <w:pPr>
              <w:spacing w:after="40" w:before="40"/>
            </w:pPr>
            <w:r/>
            <w:r>
              <w:rPr>
                <w:sz w:val="17"/>
              </w:rPr>
            </w:r>
          </w:p>
        </w:tc>
      </w:tr>
      <w:tr>
        <w:tc>
          <w:tcPr>
            <w:tcW w:type="dxa" w:w="3628"/>
          </w:tcPr>
          <w:p>
            <w:pPr>
              <w:spacing w:after="40" w:before="40"/>
            </w:pPr>
            <w:r/>
            <w:r>
              <w:rPr>
                <w:sz w:val="17"/>
              </w:rPr>
              <w:t>Deal Setup → Settlement Date</w:t>
            </w:r>
          </w:p>
        </w:tc>
        <w:tc>
          <w:tcPr>
            <w:tcW w:type="dxa" w:w="3175"/>
          </w:tcPr>
          <w:p>
            <w:pPr>
              <w:spacing w:after="40" w:before="40"/>
            </w:pPr>
            <w:r/>
            <w:r>
              <w:rPr>
                <w:rFonts w:ascii="Consolas" w:hAnsi="Consolas"/>
                <w:sz w:val="16"/>
              </w:rPr>
              <w:t>deal.settlementDate</w:t>
            </w:r>
          </w:p>
        </w:tc>
        <w:tc>
          <w:tcPr>
            <w:tcW w:type="dxa" w:w="2948"/>
          </w:tcPr>
          <w:p>
            <w:pPr>
              <w:spacing w:after="40" w:before="40"/>
            </w:pPr>
            <w:r/>
            <w:r>
              <w:rPr>
                <w:sz w:val="17"/>
              </w:rPr>
            </w:r>
          </w:p>
        </w:tc>
      </w:tr>
      <w:tr>
        <w:tc>
          <w:tcPr>
            <w:tcW w:type="dxa" w:w="3628"/>
            <w:shd w:val="clear" w:fill="F4F4F7"/>
          </w:tcPr>
          <w:p>
            <w:pPr>
              <w:spacing w:after="40" w:before="40"/>
            </w:pPr>
            <w:r/>
            <w:r>
              <w:rPr>
                <w:sz w:val="17"/>
              </w:rPr>
              <w:t>Facility Setup → Total Commitment</w:t>
            </w:r>
          </w:p>
        </w:tc>
        <w:tc>
          <w:tcPr>
            <w:tcW w:type="dxa" w:w="3175"/>
            <w:shd w:val="clear" w:fill="F4F4F7"/>
          </w:tcPr>
          <w:p>
            <w:pPr>
              <w:spacing w:after="40" w:before="40"/>
            </w:pPr>
            <w:r/>
            <w:r>
              <w:rPr>
                <w:rFonts w:ascii="Consolas" w:hAnsi="Consolas"/>
                <w:sz w:val="16"/>
              </w:rPr>
              <w:t>facility.totalCommitment</w:t>
            </w:r>
          </w:p>
        </w:tc>
        <w:tc>
          <w:tcPr>
            <w:tcW w:type="dxa" w:w="2948"/>
            <w:shd w:val="clear" w:fill="F4F4F7"/>
          </w:tcPr>
          <w:p>
            <w:pPr>
              <w:spacing w:after="40" w:before="40"/>
            </w:pPr>
            <w:r/>
            <w:r>
              <w:rPr>
                <w:sz w:val="17"/>
              </w:rPr>
            </w:r>
          </w:p>
        </w:tc>
      </w:tr>
      <w:tr>
        <w:tc>
          <w:tcPr>
            <w:tcW w:type="dxa" w:w="3628"/>
          </w:tcPr>
          <w:p>
            <w:pPr>
              <w:spacing w:after="40" w:before="40"/>
            </w:pPr>
            <w:r/>
            <w:r>
              <w:rPr>
                <w:sz w:val="17"/>
              </w:rPr>
              <w:t>Facility Setup → Day Count Convention</w:t>
            </w:r>
          </w:p>
        </w:tc>
        <w:tc>
          <w:tcPr>
            <w:tcW w:type="dxa" w:w="3175"/>
          </w:tcPr>
          <w:p>
            <w:pPr>
              <w:spacing w:after="40" w:before="40"/>
            </w:pPr>
            <w:r/>
            <w:r>
              <w:rPr>
                <w:rFonts w:ascii="Consolas" w:hAnsi="Consolas"/>
                <w:sz w:val="16"/>
              </w:rPr>
              <w:t>facility.dayCountConvention</w:t>
            </w:r>
          </w:p>
        </w:tc>
        <w:tc>
          <w:tcPr>
            <w:tcW w:type="dxa" w:w="2948"/>
          </w:tcPr>
          <w:p>
            <w:pPr>
              <w:spacing w:after="40" w:before="40"/>
            </w:pPr>
            <w:r/>
            <w:r>
              <w:rPr>
                <w:sz w:val="17"/>
              </w:rPr>
            </w:r>
          </w:p>
        </w:tc>
      </w:tr>
      <w:tr>
        <w:tc>
          <w:tcPr>
            <w:tcW w:type="dxa" w:w="3628"/>
            <w:shd w:val="clear" w:fill="F4F4F7"/>
          </w:tcPr>
          <w:p>
            <w:pPr>
              <w:spacing w:after="40" w:before="40"/>
            </w:pPr>
            <w:r/>
            <w:r>
              <w:rPr>
                <w:sz w:val="17"/>
              </w:rPr>
              <w:t>Facility Fees block</w:t>
            </w:r>
          </w:p>
        </w:tc>
        <w:tc>
          <w:tcPr>
            <w:tcW w:type="dxa" w:w="3175"/>
            <w:shd w:val="clear" w:fill="F4F4F7"/>
          </w:tcPr>
          <w:p>
            <w:pPr>
              <w:spacing w:after="40" w:before="40"/>
            </w:pPr>
            <w:r/>
            <w:r>
              <w:rPr>
                <w:rFonts w:ascii="Consolas" w:hAnsi="Consolas"/>
                <w:sz w:val="16"/>
              </w:rPr>
              <w:t>facilityFees[]</w:t>
            </w:r>
          </w:p>
        </w:tc>
        <w:tc>
          <w:tcPr>
            <w:tcW w:type="dxa" w:w="2948"/>
            <w:shd w:val="clear" w:fill="F4F4F7"/>
          </w:tcPr>
          <w:p>
            <w:pPr>
              <w:spacing w:after="40" w:before="40"/>
            </w:pPr>
            <w:r/>
            <w:r>
              <w:rPr>
                <w:sz w:val="17"/>
              </w:rPr>
              <w:t>One object per fee column.</w:t>
            </w:r>
          </w:p>
        </w:tc>
      </w:tr>
      <w:tr>
        <w:tc>
          <w:tcPr>
            <w:tcW w:type="dxa" w:w="3628"/>
          </w:tcPr>
          <w:p>
            <w:pPr>
              <w:spacing w:after="40" w:before="40"/>
            </w:pPr>
            <w:r/>
            <w:r>
              <w:rPr>
                <w:sz w:val="17"/>
              </w:rPr>
              <w:t>Tranche Details → Tranche Name</w:t>
            </w:r>
          </w:p>
        </w:tc>
        <w:tc>
          <w:tcPr>
            <w:tcW w:type="dxa" w:w="3175"/>
          </w:tcPr>
          <w:p>
            <w:pPr>
              <w:spacing w:after="40" w:before="40"/>
            </w:pPr>
            <w:r/>
            <w:r>
              <w:rPr>
                <w:rFonts w:ascii="Consolas" w:hAnsi="Consolas"/>
                <w:sz w:val="16"/>
              </w:rPr>
              <w:t>tranches[].trancheName</w:t>
            </w:r>
          </w:p>
        </w:tc>
        <w:tc>
          <w:tcPr>
            <w:tcW w:type="dxa" w:w="2948"/>
          </w:tcPr>
          <w:p>
            <w:pPr>
              <w:spacing w:after="40" w:before="40"/>
            </w:pPr>
            <w:r/>
            <w:r>
              <w:rPr>
                <w:sz w:val="17"/>
              </w:rPr>
              <w:t>Display only.</w:t>
            </w:r>
          </w:p>
        </w:tc>
      </w:tr>
      <w:tr>
        <w:tc>
          <w:tcPr>
            <w:tcW w:type="dxa" w:w="3628"/>
            <w:shd w:val="clear" w:fill="F4F4F7"/>
          </w:tcPr>
          <w:p>
            <w:pPr>
              <w:spacing w:after="40" w:before="40"/>
            </w:pPr>
            <w:r/>
            <w:r>
              <w:rPr>
                <w:sz w:val="17"/>
              </w:rPr>
              <w:t>(GUID, not yet exported)</w:t>
            </w:r>
          </w:p>
        </w:tc>
        <w:tc>
          <w:tcPr>
            <w:tcW w:type="dxa" w:w="3175"/>
            <w:shd w:val="clear" w:fill="F4F4F7"/>
          </w:tcPr>
          <w:p>
            <w:pPr>
              <w:spacing w:after="40" w:before="40"/>
            </w:pPr>
            <w:r/>
            <w:r>
              <w:rPr>
                <w:rFonts w:ascii="Consolas" w:hAnsi="Consolas"/>
                <w:sz w:val="16"/>
              </w:rPr>
              <w:t>tranches[].externalTrancheId</w:t>
            </w:r>
          </w:p>
        </w:tc>
        <w:tc>
          <w:tcPr>
            <w:tcW w:type="dxa" w:w="2948"/>
            <w:shd w:val="clear" w:fill="F4F4F7"/>
          </w:tcPr>
          <w:p>
            <w:pPr>
              <w:spacing w:after="40" w:before="40"/>
            </w:pPr>
            <w:r/>
            <w:r>
              <w:rPr>
                <w:sz w:val="17"/>
              </w:rPr>
              <w:t>The identity.</w:t>
            </w:r>
          </w:p>
        </w:tc>
      </w:tr>
      <w:tr>
        <w:tc>
          <w:tcPr>
            <w:tcW w:type="dxa" w:w="3628"/>
          </w:tcPr>
          <w:p>
            <w:pPr>
              <w:spacing w:after="40" w:before="40"/>
            </w:pPr>
            <w:r/>
            <w:r>
              <w:rPr>
                <w:sz w:val="17"/>
              </w:rPr>
              <w:t>Tranche Interest Details</w:t>
            </w:r>
          </w:p>
        </w:tc>
        <w:tc>
          <w:tcPr>
            <w:tcW w:type="dxa" w:w="3175"/>
          </w:tcPr>
          <w:p>
            <w:pPr>
              <w:spacing w:after="40" w:before="40"/>
            </w:pPr>
            <w:r/>
            <w:r>
              <w:rPr>
                <w:rFonts w:ascii="Consolas" w:hAnsi="Consolas"/>
                <w:sz w:val="16"/>
              </w:rPr>
              <w:t>tranches[].interestComponents[]</w:t>
            </w:r>
          </w:p>
        </w:tc>
        <w:tc>
          <w:tcPr>
            <w:tcW w:type="dxa" w:w="2948"/>
          </w:tcPr>
          <w:p>
            <w:pPr>
              <w:spacing w:after="40" w:before="40"/>
            </w:pPr>
            <w:r/>
            <w:r>
              <w:rPr>
                <w:sz w:val="17"/>
              </w:rPr>
              <w:t>One object per component column.</w:t>
            </w:r>
          </w:p>
        </w:tc>
      </w:tr>
      <w:tr>
        <w:tc>
          <w:tcPr>
            <w:tcW w:type="dxa" w:w="3628"/>
            <w:shd w:val="clear" w:fill="F4F4F7"/>
          </w:tcPr>
          <w:p>
            <w:pPr>
              <w:spacing w:after="40" w:before="40"/>
            </w:pPr>
            <w:r/>
            <w:r>
              <w:rPr>
                <w:sz w:val="17"/>
              </w:rPr>
              <w:t>Tranche Fees</w:t>
            </w:r>
          </w:p>
        </w:tc>
        <w:tc>
          <w:tcPr>
            <w:tcW w:type="dxa" w:w="3175"/>
            <w:shd w:val="clear" w:fill="F4F4F7"/>
          </w:tcPr>
          <w:p>
            <w:pPr>
              <w:spacing w:after="40" w:before="40"/>
            </w:pPr>
            <w:r/>
            <w:r>
              <w:rPr>
                <w:rFonts w:ascii="Consolas" w:hAnsi="Consolas"/>
                <w:sz w:val="16"/>
              </w:rPr>
              <w:t>tranches[].trancheFees[]</w:t>
            </w:r>
          </w:p>
        </w:tc>
        <w:tc>
          <w:tcPr>
            <w:tcW w:type="dxa" w:w="2948"/>
            <w:shd w:val="clear" w:fill="F4F4F7"/>
          </w:tcPr>
          <w:p>
            <w:pPr>
              <w:spacing w:after="40" w:before="40"/>
            </w:pPr>
            <w:r/>
            <w:r>
              <w:rPr>
                <w:sz w:val="17"/>
              </w:rPr>
              <w:t>One object per fee column.</w:t>
            </w:r>
          </w:p>
        </w:tc>
      </w:tr>
      <w:tr>
        <w:tc>
          <w:tcPr>
            <w:tcW w:type="dxa" w:w="3628"/>
          </w:tcPr>
          <w:p>
            <w:pPr>
              <w:spacing w:after="40" w:before="40"/>
            </w:pPr>
            <w:r/>
            <w:r>
              <w:rPr>
                <w:sz w:val="17"/>
              </w:rPr>
              <w:t>Cashflow grid</w:t>
            </w:r>
          </w:p>
        </w:tc>
        <w:tc>
          <w:tcPr>
            <w:tcW w:type="dxa" w:w="3175"/>
          </w:tcPr>
          <w:p>
            <w:pPr>
              <w:spacing w:after="40" w:before="40"/>
            </w:pPr>
            <w:r/>
            <w:r>
              <w:rPr>
                <w:rFonts w:ascii="Consolas" w:hAnsi="Consolas"/>
                <w:sz w:val="16"/>
              </w:rPr>
              <w:t>cashflows[]</w:t>
            </w:r>
          </w:p>
        </w:tc>
        <w:tc>
          <w:tcPr>
            <w:tcW w:type="dxa" w:w="2948"/>
          </w:tcPr>
          <w:p>
            <w:pPr>
              <w:spacing w:after="40" w:before="40"/>
            </w:pPr>
            <w:r/>
            <w:r>
              <w:rPr>
                <w:sz w:val="17"/>
              </w:rPr>
              <w:t>One row per date × component × lot — see B.4.</w:t>
            </w:r>
          </w:p>
        </w:tc>
      </w:tr>
    </w:tbl>
    <w:p>
      <w:pPr>
        <w:spacing w:after="80"/>
      </w:pPr>
    </w:p>
    <w:p>
      <w:pPr>
        <w:pStyle w:val="Heading2"/>
      </w:pPr>
      <w:r>
        <w:rPr>
          <w:b w:val="0"/>
          <w:i w:val="0"/>
        </w:rPr>
        <w:t>B.4 · Cashflows — the one structural difference</w:t>
      </w:r>
    </w:p>
    <w:p>
      <w:pPr>
        <w:spacing w:after="120"/>
      </w:pPr>
      <w:r>
        <w:rPr>
          <w:b w:val="0"/>
          <w:i w:val="0"/>
        </w:rPr>
        <w:t>The workbook lays cashflows out as a grid: four sections, each with four Rate/Amount pairs. That works on a spreadsheet and does not survive a fifth component.</w:t>
      </w:r>
    </w:p>
    <w:p>
      <w:pPr>
        <w:spacing w:after="120"/>
      </w:pPr>
      <w:r>
        <w:rPr>
          <w:b/>
          <w:i w:val="0"/>
        </w:rPr>
        <w:t>The API sends one row per date × tranche × component × drawdown lot instead</w:t>
      </w:r>
      <w:r>
        <w:rPr>
          <w:b w:val="0"/>
          <w:i w:val="0"/>
        </w:rPr>
        <w:t>, with postingType, settlementType and balanceBasis as fields rather than as grid position. The two carry identical information; PCS turns the grid into these rows on import.</w:t>
      </w:r>
    </w:p>
    <w:p>
      <w:pPr>
        <w:spacing w:after="120"/>
      </w:pPr>
      <w:r>
        <w:rPr>
          <w:b w:val="0"/>
          <w:i w:val="0"/>
        </w:rPr>
        <w:t>The long form is preferred because it removes the grid’s one remaining ambiguity — a single pair covering two components. The API simply has no way to express that, which is the point.</w:t>
      </w:r>
    </w:p>
    <w:tbl>
      <w:tblPr>
        <w:tblStyle w:val="TableGrid"/>
        <w:tblW w:type="auto" w:w="0"/>
        <w:jc w:val="left"/>
        <w:tblLayout w:type="fixed"/>
        <w:tblLook w:firstColumn="1" w:firstRow="1" w:lastColumn="0" w:lastRow="0" w:noHBand="0" w:noVBand="1" w:val="04A0"/>
      </w:tblPr>
      <w:tblGrid>
        <w:gridCol w:w="5043"/>
        <w:gridCol w:w="5043"/>
      </w:tblGrid>
      <w:tr>
        <w:tc>
          <w:tcPr>
            <w:tcW w:type="dxa" w:w="2835"/>
            <w:shd w:val="clear" w:fill="431B5B"/>
          </w:tcPr>
          <w:p>
            <w:pPr>
              <w:spacing w:after="40" w:before="40"/>
            </w:pPr>
            <w:r/>
            <w:r>
              <w:rPr>
                <w:b/>
                <w:color w:val="FFFFFF"/>
                <w:sz w:val="17"/>
              </w:rPr>
              <w:t>Required on every row</w:t>
            </w:r>
          </w:p>
        </w:tc>
        <w:tc>
          <w:tcPr>
            <w:tcW w:type="dxa" w:w="6917"/>
            <w:shd w:val="clear" w:fill="431B5B"/>
          </w:tcPr>
          <w:p>
            <w:pPr>
              <w:spacing w:after="40" w:before="40"/>
            </w:pPr>
            <w:r/>
            <w:r>
              <w:rPr>
                <w:b/>
                <w:color w:val="FFFFFF"/>
                <w:sz w:val="17"/>
              </w:rPr>
              <w:t>Why it is not optional</w:t>
            </w:r>
          </w:p>
        </w:tc>
      </w:tr>
      <w:tr>
        <w:tc>
          <w:tcPr>
            <w:tcW w:type="dxa" w:w="2835"/>
          </w:tcPr>
          <w:p>
            <w:pPr>
              <w:spacing w:after="40" w:before="40"/>
            </w:pPr>
            <w:r/>
            <w:r>
              <w:rPr>
                <w:rFonts w:ascii="Consolas" w:hAnsi="Consolas"/>
                <w:sz w:val="16"/>
              </w:rPr>
              <w:t>externalComponentId</w:t>
            </w:r>
          </w:p>
        </w:tc>
        <w:tc>
          <w:tcPr>
            <w:tcW w:type="dxa" w:w="6917"/>
          </w:tcPr>
          <w:p>
            <w:pPr>
              <w:spacing w:after="40" w:before="40"/>
            </w:pPr>
            <w:r/>
            <w:r>
              <w:rPr>
                <w:sz w:val="17"/>
              </w:rPr>
              <w:t>A row that cannot name its component cannot be reported or reconciled per component.</w:t>
            </w:r>
          </w:p>
        </w:tc>
      </w:tr>
      <w:tr>
        <w:tc>
          <w:tcPr>
            <w:tcW w:type="dxa" w:w="2835"/>
            <w:shd w:val="clear" w:fill="F4F4F7"/>
          </w:tcPr>
          <w:p>
            <w:pPr>
              <w:spacing w:after="40" w:before="40"/>
            </w:pPr>
            <w:r/>
            <w:r>
              <w:rPr>
                <w:rFonts w:ascii="Consolas" w:hAnsi="Consolas"/>
                <w:sz w:val="16"/>
              </w:rPr>
              <w:t>postingType</w:t>
            </w:r>
          </w:p>
        </w:tc>
        <w:tc>
          <w:tcPr>
            <w:tcW w:type="dxa" w:w="6917"/>
            <w:shd w:val="clear" w:fill="F4F4F7"/>
          </w:tcPr>
          <w:p>
            <w:pPr>
              <w:spacing w:after="40" w:before="40"/>
            </w:pPr>
            <w:r/>
            <w:r>
              <w:rPr>
                <w:sz w:val="17"/>
              </w:rPr>
              <w:t>Interest or Fee — drives the GL account.</w:t>
            </w:r>
          </w:p>
        </w:tc>
      </w:tr>
      <w:tr>
        <w:tc>
          <w:tcPr>
            <w:tcW w:type="dxa" w:w="2835"/>
          </w:tcPr>
          <w:p>
            <w:pPr>
              <w:spacing w:after="40" w:before="40"/>
            </w:pPr>
            <w:r/>
            <w:r>
              <w:rPr>
                <w:rFonts w:ascii="Consolas" w:hAnsi="Consolas"/>
                <w:sz w:val="16"/>
              </w:rPr>
              <w:t>settlementType</w:t>
            </w:r>
          </w:p>
        </w:tc>
        <w:tc>
          <w:tcPr>
            <w:tcW w:type="dxa" w:w="6917"/>
          </w:tcPr>
          <w:p>
            <w:pPr>
              <w:spacing w:after="40" w:before="40"/>
            </w:pPr>
            <w:r/>
            <w:r>
              <w:rPr>
                <w:sz w:val="17"/>
              </w:rPr>
              <w:t>Cash, Capitalized or PIK — drives whether it is paid, capitalised or accrued in kind.</w:t>
            </w:r>
          </w:p>
        </w:tc>
      </w:tr>
      <w:tr>
        <w:tc>
          <w:tcPr>
            <w:tcW w:type="dxa" w:w="2835"/>
            <w:shd w:val="clear" w:fill="F4F4F7"/>
          </w:tcPr>
          <w:p>
            <w:pPr>
              <w:spacing w:after="40" w:before="40"/>
            </w:pPr>
            <w:r/>
            <w:r>
              <w:rPr>
                <w:rFonts w:ascii="Consolas" w:hAnsi="Consolas"/>
                <w:sz w:val="16"/>
              </w:rPr>
              <w:t>daysCovered</w:t>
            </w:r>
          </w:p>
        </w:tc>
        <w:tc>
          <w:tcPr>
            <w:tcW w:type="dxa" w:w="6917"/>
            <w:shd w:val="clear" w:fill="F4F4F7"/>
          </w:tcPr>
          <w:p>
            <w:pPr>
              <w:spacing w:after="40" w:before="40"/>
            </w:pPr>
            <w:r/>
            <w:r>
              <w:rPr>
                <w:sz w:val="17"/>
              </w:rPr>
              <w:t>Or periodStart and periodEnd. See below.</w:t>
            </w:r>
          </w:p>
        </w:tc>
      </w:tr>
      <w:tr>
        <w:tc>
          <w:tcPr>
            <w:tcW w:type="dxa" w:w="2835"/>
          </w:tcPr>
          <w:p>
            <w:pPr>
              <w:spacing w:after="40" w:before="40"/>
            </w:pPr>
            <w:r/>
            <w:r>
              <w:rPr>
                <w:rFonts w:ascii="Consolas" w:hAnsi="Consolas"/>
                <w:sz w:val="16"/>
              </w:rPr>
              <w:t>amount</w:t>
            </w:r>
          </w:p>
        </w:tc>
        <w:tc>
          <w:tcPr>
            <w:tcW w:type="dxa" w:w="6917"/>
          </w:tcPr>
          <w:p>
            <w:pPr>
              <w:spacing w:after="40" w:before="40"/>
            </w:pPr>
            <w:r/>
            <w:r>
              <w:rPr>
                <w:sz w:val="17"/>
              </w:rPr>
              <w:t>What PCS posts. Taken as given; never recalculated.</w:t>
            </w:r>
          </w:p>
        </w:tc>
      </w:tr>
    </w:tbl>
    <w:p>
      <w:pPr>
        <w:spacing w:after="80"/>
      </w:pPr>
    </w:p>
    <w:tbl>
      <w:tblPr>
        <w:tblStyle w:val="TableGrid"/>
        <w:tblW w:type="auto" w:w="0"/>
        <w:tblLook w:firstColumn="1" w:firstRow="1" w:lastColumn="0" w:lastRow="0" w:noHBand="0" w:noVBand="1" w:val="04A0"/>
      </w:tblPr>
      <w:tblGrid>
        <w:gridCol w:w="10086"/>
      </w:tblGrid>
      <w:tr>
        <w:tc>
          <w:tcPr>
            <w:tcW w:type="dxa" w:w="9751"/>
            <w:shd w:val="clear" w:fill="EEF2FF"/>
          </w:tcPr>
          <w:p>
            <w:pPr>
              <w:spacing w:after="40"/>
            </w:pPr>
            <w:r/>
            <w:r>
              <w:rPr>
                <w:b/>
                <w:sz w:val="19"/>
              </w:rPr>
              <w:t>State the period</w:t>
            </w:r>
          </w:p>
          <w:p>
            <w:pPr>
              <w:spacing w:after="40"/>
            </w:pPr>
            <w:r>
              <w:rPr>
                <w:sz w:val="19"/>
              </w:rPr>
              <w:t>The workbook does not say how many days a row covers, and its two sheet types disagree about what the row date means — on tranche sheets it is the period start, on the facility sheet the period end. PCS resolves this by testing both readings against the days the figures themselves imply, which works but is an inference. Send daysCovered, or periodStart and periodEnd, on every row. It costs one field and removes a whole class of reconciliation doubt.</w:t>
            </w:r>
          </w:p>
        </w:tc>
      </w:tr>
    </w:tbl>
    <w:p>
      <w:pPr>
        <w:spacing w:after="80"/>
      </w:pPr>
    </w:p>
    <w:p>
      <w:pPr>
        <w:pStyle w:val="Heading1"/>
      </w:pPr>
      <w:r>
        <w:rPr>
          <w:b w:val="0"/>
          <w:i w:val="0"/>
        </w:rPr>
        <w:t>Part C · Shared vocabulary</w:t>
      </w:r>
    </w:p>
    <w:p>
      <w:pPr>
        <w:spacing w:after="160"/>
      </w:pPr>
      <w:r>
        <w:rPr>
          <w:b w:val="0"/>
          <w:i w:val="0"/>
        </w:rPr>
        <w:t>These are the only accepted values, on both routes. They are read from the workbook’s Lookup values tab at import time rather than hard-coded, so extending the list there extends it for PCS with no code change. Anything outside them stops the import with the offending cell named.</w:t>
      </w:r>
    </w:p>
    <w:tbl>
      <w:tblPr>
        <w:tblStyle w:val="TableGrid"/>
        <w:tblW w:type="auto" w:w="0"/>
        <w:jc w:val="left"/>
        <w:tblLayout w:type="fixed"/>
        <w:tblLook w:firstColumn="1" w:firstRow="1" w:lastColumn="0" w:lastRow="0" w:noHBand="0" w:noVBand="1" w:val="04A0"/>
      </w:tblPr>
      <w:tblGrid>
        <w:gridCol w:w="5043"/>
        <w:gridCol w:w="5043"/>
      </w:tblGrid>
      <w:tr>
        <w:tc>
          <w:tcPr>
            <w:tcW w:type="dxa" w:w="2381"/>
            <w:shd w:val="clear" w:fill="431B5B"/>
          </w:tcPr>
          <w:p>
            <w:pPr>
              <w:spacing w:after="40" w:before="40"/>
            </w:pPr>
            <w:r/>
            <w:r>
              <w:rPr>
                <w:b/>
                <w:color w:val="FFFFFF"/>
                <w:sz w:val="17"/>
              </w:rPr>
              <w:t>Field</w:t>
            </w:r>
          </w:p>
        </w:tc>
        <w:tc>
          <w:tcPr>
            <w:tcW w:type="dxa" w:w="7370"/>
            <w:shd w:val="clear" w:fill="431B5B"/>
          </w:tcPr>
          <w:p>
            <w:pPr>
              <w:spacing w:after="40" w:before="40"/>
            </w:pPr>
            <w:r/>
            <w:r>
              <w:rPr>
                <w:b/>
                <w:color w:val="FFFFFF"/>
                <w:sz w:val="17"/>
              </w:rPr>
              <w:t>Accepted values</w:t>
            </w:r>
          </w:p>
        </w:tc>
      </w:tr>
      <w:tr>
        <w:tc>
          <w:tcPr>
            <w:tcW w:type="dxa" w:w="2381"/>
          </w:tcPr>
          <w:p>
            <w:pPr>
              <w:spacing w:after="40" w:before="40"/>
            </w:pPr>
            <w:r/>
            <w:r>
              <w:rPr>
                <w:sz w:val="17"/>
              </w:rPr>
              <w:t>Deal Structure</w:t>
            </w:r>
          </w:p>
        </w:tc>
        <w:tc>
          <w:tcPr>
            <w:tcW w:type="dxa" w:w="7370"/>
          </w:tcPr>
          <w:p>
            <w:pPr>
              <w:spacing w:after="40" w:before="40"/>
            </w:pPr>
            <w:r/>
            <w:r>
              <w:rPr>
                <w:sz w:val="17"/>
              </w:rPr>
              <w:t>Corporate term loan · Construction/mezzanine finance · Revolving borrowing base · Bilateral facility · Other</w:t>
            </w:r>
          </w:p>
        </w:tc>
      </w:tr>
      <w:tr>
        <w:tc>
          <w:tcPr>
            <w:tcW w:type="dxa" w:w="2381"/>
            <w:shd w:val="clear" w:fill="F4F4F7"/>
          </w:tcPr>
          <w:p>
            <w:pPr>
              <w:spacing w:after="40" w:before="40"/>
            </w:pPr>
            <w:r/>
            <w:r>
              <w:rPr>
                <w:sz w:val="17"/>
              </w:rPr>
              <w:t>Currency</w:t>
            </w:r>
          </w:p>
        </w:tc>
        <w:tc>
          <w:tcPr>
            <w:tcW w:type="dxa" w:w="7370"/>
            <w:shd w:val="clear" w:fill="F4F4F7"/>
          </w:tcPr>
          <w:p>
            <w:pPr>
              <w:spacing w:after="40" w:before="40"/>
            </w:pPr>
            <w:r/>
            <w:r>
              <w:rPr>
                <w:sz w:val="17"/>
              </w:rPr>
              <w:t>USD · EUR · GBP · AUD · CAD · CHF · JPY · NZD · SGD · HKD</w:t>
            </w:r>
          </w:p>
        </w:tc>
      </w:tr>
      <w:tr>
        <w:tc>
          <w:tcPr>
            <w:tcW w:type="dxa" w:w="2381"/>
          </w:tcPr>
          <w:p>
            <w:pPr>
              <w:spacing w:after="40" w:before="40"/>
            </w:pPr>
            <w:r/>
            <w:r>
              <w:rPr>
                <w:sz w:val="17"/>
              </w:rPr>
              <w:t>Accounting Framework</w:t>
            </w:r>
          </w:p>
        </w:tc>
        <w:tc>
          <w:tcPr>
            <w:tcW w:type="dxa" w:w="7370"/>
          </w:tcPr>
          <w:p>
            <w:pPr>
              <w:spacing w:after="40" w:before="40"/>
            </w:pPr>
            <w:r/>
            <w:r>
              <w:rPr>
                <w:sz w:val="17"/>
              </w:rPr>
              <w:t>IFRS · US GAAP (CECL) · Canadian ASPE · AASB (Australian)</w:t>
            </w:r>
          </w:p>
        </w:tc>
      </w:tr>
      <w:tr>
        <w:tc>
          <w:tcPr>
            <w:tcW w:type="dxa" w:w="2381"/>
            <w:shd w:val="clear" w:fill="F4F4F7"/>
          </w:tcPr>
          <w:p>
            <w:pPr>
              <w:spacing w:after="40" w:before="40"/>
            </w:pPr>
            <w:r/>
            <w:r>
              <w:rPr>
                <w:sz w:val="17"/>
              </w:rPr>
              <w:t>Day Count Conversion</w:t>
            </w:r>
          </w:p>
        </w:tc>
        <w:tc>
          <w:tcPr>
            <w:tcW w:type="dxa" w:w="7370"/>
            <w:shd w:val="clear" w:fill="F4F4F7"/>
          </w:tcPr>
          <w:p>
            <w:pPr>
              <w:spacing w:after="40" w:before="40"/>
            </w:pPr>
            <w:r/>
            <w:r>
              <w:rPr>
                <w:sz w:val="17"/>
              </w:rPr>
              <w:t>ACT/360 · ACT/365 · ACT/ACT · 30/360 · 30E/360</w:t>
            </w:r>
          </w:p>
        </w:tc>
      </w:tr>
      <w:tr>
        <w:tc>
          <w:tcPr>
            <w:tcW w:type="dxa" w:w="2381"/>
          </w:tcPr>
          <w:p>
            <w:pPr>
              <w:spacing w:after="40" w:before="40"/>
            </w:pPr>
            <w:r/>
            <w:r>
              <w:rPr>
                <w:sz w:val="17"/>
              </w:rPr>
              <w:t>Holiday Calendar</w:t>
            </w:r>
          </w:p>
        </w:tc>
        <w:tc>
          <w:tcPr>
            <w:tcW w:type="dxa" w:w="7370"/>
          </w:tcPr>
          <w:p>
            <w:pPr>
              <w:spacing w:after="40" w:before="40"/>
            </w:pPr>
            <w:r/>
            <w:r>
              <w:rPr>
                <w:sz w:val="17"/>
              </w:rPr>
              <w:t>None · US Federal · UK Bank · TARGET (EUR) · Australian Notional</w:t>
            </w:r>
          </w:p>
        </w:tc>
      </w:tr>
      <w:tr>
        <w:tc>
          <w:tcPr>
            <w:tcW w:type="dxa" w:w="2381"/>
            <w:shd w:val="clear" w:fill="F4F4F7"/>
          </w:tcPr>
          <w:p>
            <w:pPr>
              <w:spacing w:after="40" w:before="40"/>
            </w:pPr>
            <w:r/>
            <w:r>
              <w:rPr>
                <w:sz w:val="17"/>
              </w:rPr>
              <w:t>Repayment Type</w:t>
            </w:r>
          </w:p>
        </w:tc>
        <w:tc>
          <w:tcPr>
            <w:tcW w:type="dxa" w:w="7370"/>
            <w:shd w:val="clear" w:fill="F4F4F7"/>
          </w:tcPr>
          <w:p>
            <w:pPr>
              <w:spacing w:after="40" w:before="40"/>
            </w:pPr>
            <w:r/>
            <w:r>
              <w:rPr>
                <w:sz w:val="17"/>
              </w:rPr>
              <w:t>Bullet at maturity · Periodic (amortising)</w:t>
            </w:r>
          </w:p>
        </w:tc>
      </w:tr>
      <w:tr>
        <w:tc>
          <w:tcPr>
            <w:tcW w:type="dxa" w:w="2381"/>
          </w:tcPr>
          <w:p>
            <w:pPr>
              <w:spacing w:after="40" w:before="40"/>
            </w:pPr>
            <w:r/>
            <w:r>
              <w:rPr>
                <w:sz w:val="17"/>
              </w:rPr>
              <w:t>Facility Type</w:t>
            </w:r>
          </w:p>
        </w:tc>
        <w:tc>
          <w:tcPr>
            <w:tcW w:type="dxa" w:w="7370"/>
          </w:tcPr>
          <w:p>
            <w:pPr>
              <w:spacing w:after="40" w:before="40"/>
            </w:pPr>
            <w:r/>
            <w:r>
              <w:rPr>
                <w:sz w:val="17"/>
              </w:rPr>
              <w:t>Term Loan · Revolving Credit Facility · Delayed-Draw Term Loan · Revolving Borrowing Base (livestock/commodities)</w:t>
            </w:r>
          </w:p>
        </w:tc>
      </w:tr>
      <w:tr>
        <w:tc>
          <w:tcPr>
            <w:tcW w:type="dxa" w:w="2381"/>
            <w:shd w:val="clear" w:fill="F4F4F7"/>
          </w:tcPr>
          <w:p>
            <w:pPr>
              <w:spacing w:after="40" w:before="40"/>
            </w:pPr>
            <w:r/>
            <w:r>
              <w:rPr>
                <w:sz w:val="17"/>
              </w:rPr>
              <w:t>Interest Accrual Period</w:t>
            </w:r>
          </w:p>
        </w:tc>
        <w:tc>
          <w:tcPr>
            <w:tcW w:type="dxa" w:w="7370"/>
            <w:shd w:val="clear" w:fill="F4F4F7"/>
          </w:tcPr>
          <w:p>
            <w:pPr>
              <w:spacing w:after="40" w:before="40"/>
            </w:pPr>
            <w:r/>
            <w:r>
              <w:rPr>
                <w:sz w:val="17"/>
              </w:rPr>
              <w:t>Weekly · Monthly · Quarterly · Semi-annual · Annual · At maturity (bullet)</w:t>
            </w:r>
          </w:p>
        </w:tc>
      </w:tr>
      <w:tr>
        <w:tc>
          <w:tcPr>
            <w:tcW w:type="dxa" w:w="2381"/>
          </w:tcPr>
          <w:p>
            <w:pPr>
              <w:spacing w:after="40" w:before="40"/>
            </w:pPr>
            <w:r/>
            <w:r>
              <w:rPr>
                <w:sz w:val="17"/>
              </w:rPr>
              <w:t>Fee types</w:t>
            </w:r>
          </w:p>
        </w:tc>
        <w:tc>
          <w:tcPr>
            <w:tcW w:type="dxa" w:w="7370"/>
          </w:tcPr>
          <w:p>
            <w:pPr>
              <w:spacing w:after="40" w:before="40"/>
            </w:pPr>
            <w:r/>
            <w:r>
              <w:rPr>
                <w:sz w:val="17"/>
              </w:rPr>
              <w:t>arrangement · commitment · utilisation · agency · other · origination · management · performance</w:t>
            </w:r>
          </w:p>
        </w:tc>
      </w:tr>
      <w:tr>
        <w:tc>
          <w:tcPr>
            <w:tcW w:type="dxa" w:w="2381"/>
            <w:shd w:val="clear" w:fill="F4F4F7"/>
          </w:tcPr>
          <w:p>
            <w:pPr>
              <w:spacing w:after="40" w:before="40"/>
            </w:pPr>
            <w:r/>
            <w:r>
              <w:rPr>
                <w:sz w:val="17"/>
              </w:rPr>
              <w:t>Base</w:t>
            </w:r>
          </w:p>
        </w:tc>
        <w:tc>
          <w:tcPr>
            <w:tcW w:type="dxa" w:w="7370"/>
            <w:shd w:val="clear" w:fill="F4F4F7"/>
          </w:tcPr>
          <w:p>
            <w:pPr>
              <w:spacing w:after="40" w:before="40"/>
            </w:pPr>
            <w:r/>
            <w:r>
              <w:rPr>
                <w:sz w:val="17"/>
              </w:rPr>
              <w:t>Commitment · Funded · Unfunded · Tranche face</w:t>
            </w:r>
          </w:p>
        </w:tc>
      </w:tr>
      <w:tr>
        <w:tc>
          <w:tcPr>
            <w:tcW w:type="dxa" w:w="2381"/>
          </w:tcPr>
          <w:p>
            <w:pPr>
              <w:spacing w:after="40" w:before="40"/>
            </w:pPr>
            <w:r/>
            <w:r>
              <w:rPr>
                <w:sz w:val="17"/>
              </w:rPr>
              <w:t>Frequency</w:t>
            </w:r>
          </w:p>
        </w:tc>
        <w:tc>
          <w:tcPr>
            <w:tcW w:type="dxa" w:w="7370"/>
          </w:tcPr>
          <w:p>
            <w:pPr>
              <w:spacing w:after="40" w:before="40"/>
            </w:pPr>
            <w:r/>
            <w:r>
              <w:rPr>
                <w:sz w:val="17"/>
              </w:rPr>
              <w:t>One-off · Monthly · Quarterly · Semi · Annual</w:t>
            </w:r>
          </w:p>
        </w:tc>
      </w:tr>
      <w:tr>
        <w:tc>
          <w:tcPr>
            <w:tcW w:type="dxa" w:w="2381"/>
            <w:shd w:val="clear" w:fill="F4F4F7"/>
          </w:tcPr>
          <w:p>
            <w:pPr>
              <w:spacing w:after="40" w:before="40"/>
            </w:pPr>
            <w:r/>
            <w:r>
              <w:rPr>
                <w:sz w:val="17"/>
              </w:rPr>
              <w:t>IFRS / AASB treatment</w:t>
            </w:r>
          </w:p>
        </w:tc>
        <w:tc>
          <w:tcPr>
            <w:tcW w:type="dxa" w:w="7370"/>
            <w:shd w:val="clear" w:fill="F4F4F7"/>
          </w:tcPr>
          <w:p>
            <w:pPr>
              <w:spacing w:after="40" w:before="40"/>
            </w:pPr>
            <w:r/>
            <w:r>
              <w:rPr>
                <w:sz w:val="17"/>
              </w:rPr>
              <w:t>IFRS 9 - capitalised into EIR · IFRS 15 - recognised over time · IFRS 15 - recognised point-in-time</w:t>
            </w:r>
          </w:p>
        </w:tc>
      </w:tr>
      <w:tr>
        <w:tc>
          <w:tcPr>
            <w:tcW w:type="dxa" w:w="2381"/>
          </w:tcPr>
          <w:p>
            <w:pPr>
              <w:spacing w:after="40" w:before="40"/>
            </w:pPr>
            <w:r/>
            <w:r>
              <w:rPr>
                <w:sz w:val="17"/>
              </w:rPr>
              <w:t>Interest type</w:t>
            </w:r>
          </w:p>
        </w:tc>
        <w:tc>
          <w:tcPr>
            <w:tcW w:type="dxa" w:w="7370"/>
          </w:tcPr>
          <w:p>
            <w:pPr>
              <w:spacing w:after="40" w:before="40"/>
            </w:pPr>
            <w:r/>
            <w:r>
              <w:rPr>
                <w:sz w:val="17"/>
              </w:rPr>
              <w:t>SOFR · SONIA · TermSOFR · ESTR · EURIBOR · FIXED</w:t>
            </w:r>
          </w:p>
        </w:tc>
      </w:tr>
      <w:tr>
        <w:tc>
          <w:tcPr>
            <w:tcW w:type="dxa" w:w="2381"/>
            <w:shd w:val="clear" w:fill="F4F4F7"/>
          </w:tcPr>
          <w:p>
            <w:pPr>
              <w:spacing w:after="40" w:before="40"/>
            </w:pPr>
            <w:r/>
            <w:r>
              <w:rPr>
                <w:sz w:val="17"/>
              </w:rPr>
              <w:t>Accrual</w:t>
            </w:r>
          </w:p>
        </w:tc>
        <w:tc>
          <w:tcPr>
            <w:tcW w:type="dxa" w:w="7370"/>
            <w:shd w:val="clear" w:fill="F4F4F7"/>
          </w:tcPr>
          <w:p>
            <w:pPr>
              <w:spacing w:after="40" w:before="40"/>
            </w:pPr>
            <w:r/>
            <w:r>
              <w:rPr>
                <w:sz w:val="17"/>
              </w:rPr>
              <w:t>Facility default · Weekly · Monthly · Quarterly · Semi-annual · Annual · At maturity</w:t>
            </w:r>
          </w:p>
        </w:tc>
      </w:tr>
      <w:tr>
        <w:tc>
          <w:tcPr>
            <w:tcW w:type="dxa" w:w="2381"/>
          </w:tcPr>
          <w:p>
            <w:pPr>
              <w:spacing w:after="40" w:before="40"/>
            </w:pPr>
            <w:r/>
            <w:r>
              <w:rPr>
                <w:sz w:val="17"/>
              </w:rPr>
              <w:t>Terms (multi)</w:t>
            </w:r>
          </w:p>
        </w:tc>
        <w:tc>
          <w:tcPr>
            <w:tcW w:type="dxa" w:w="7370"/>
          </w:tcPr>
          <w:p>
            <w:pPr>
              <w:spacing w:after="40" w:before="40"/>
            </w:pPr>
            <w:r/>
            <w:r>
              <w:rPr>
                <w:sz w:val="17"/>
              </w:rPr>
              <w:t>1M · 3M · 6M · 12M · O/N</w:t>
            </w:r>
          </w:p>
        </w:tc>
      </w:tr>
      <w:tr>
        <w:tc>
          <w:tcPr>
            <w:tcW w:type="dxa" w:w="2381"/>
            <w:shd w:val="clear" w:fill="F4F4F7"/>
          </w:tcPr>
          <w:p>
            <w:pPr>
              <w:spacing w:after="40" w:before="40"/>
            </w:pPr>
            <w:r/>
            <w:r>
              <w:rPr>
                <w:sz w:val="17"/>
              </w:rPr>
              <w:t>Settlement Type</w:t>
            </w:r>
          </w:p>
        </w:tc>
        <w:tc>
          <w:tcPr>
            <w:tcW w:type="dxa" w:w="7370"/>
            <w:shd w:val="clear" w:fill="F4F4F7"/>
          </w:tcPr>
          <w:p>
            <w:pPr>
              <w:spacing w:after="40" w:before="40"/>
            </w:pPr>
            <w:r/>
            <w:r>
              <w:rPr>
                <w:sz w:val="17"/>
              </w:rPr>
              <w:t>Cash · Capitalized · PIK</w:t>
            </w:r>
          </w:p>
        </w:tc>
      </w:tr>
    </w:tbl>
    <w:p>
      <w:pPr>
        <w:spacing w:after="80"/>
      </w:pPr>
    </w:p>
    <w:tbl>
      <w:tblPr>
        <w:tblStyle w:val="TableGrid"/>
        <w:tblW w:type="auto" w:w="0"/>
        <w:tblLook w:firstColumn="1" w:firstRow="1" w:lastColumn="0" w:lastRow="0" w:noHBand="0" w:noVBand="1" w:val="04A0"/>
      </w:tblPr>
      <w:tblGrid>
        <w:gridCol w:w="10086"/>
      </w:tblGrid>
      <w:tr>
        <w:tc>
          <w:tcPr>
            <w:tcW w:type="dxa" w:w="9751"/>
            <w:shd w:val="clear" w:fill="FDECEC"/>
          </w:tcPr>
          <w:p>
            <w:pPr>
              <w:spacing w:after="40"/>
            </w:pPr>
            <w:r/>
            <w:r>
              <w:rPr>
                <w:b/>
                <w:sz w:val="19"/>
              </w:rPr>
              <w:t>Two corrections needed in the Lookup values tab</w:t>
            </w:r>
          </w:p>
          <w:p>
            <w:pPr>
              <w:spacing w:after="40"/>
            </w:pPr>
            <w:r>
              <w:rPr>
                <w:sz w:val="19"/>
              </w:rPr>
              <w:t>ACT/365 is missing — the tab lists ACT/360 twice (E5 and E6) and omits ACT/365 entirely, so no SONIA or other GBP deal can state its day count. PCS accepts ACT/365 in the meantime and warns. Separately, Frequency spells Monthly as "Montly"; both spellings are accepted. A third defect is data rather than vocabulary: Tranche 2 names its fee "Arrangeement Fee" in the fee block and "Arrangement Fee" in the cashflow header, so the two do not join.</w:t>
            </w:r>
          </w:p>
        </w:tc>
      </w:tr>
    </w:tbl>
    <w:p>
      <w:pPr>
        <w:spacing w:after="80"/>
      </w:pPr>
    </w:p>
    <w:p>
      <w:pPr>
        <w:pStyle w:val="Heading1"/>
      </w:pPr>
      <w:r>
        <w:rPr>
          <w:b w:val="0"/>
          <w:i w:val="0"/>
        </w:rPr>
        <w:t>Part D · Validation</w:t>
      </w:r>
    </w:p>
    <w:p>
      <w:pPr>
        <w:spacing w:after="160"/>
      </w:pPr>
      <w:r>
        <w:rPr>
          <w:b w:val="0"/>
          <w:i w:val="0"/>
        </w:rPr>
        <w:t>Both routes apply the same rules. The workbook is checked before anything is written, and the review screen lists both categories with the import button disabled while any blocking problem remains.</w:t>
      </w:r>
    </w:p>
    <w:p>
      <w:pPr>
        <w:pStyle w:val="Heading2"/>
      </w:pPr>
      <w:r>
        <w:rPr>
          <w:b w:val="0"/>
          <w:i w:val="0"/>
        </w:rPr>
        <w:t>D.1 · Stops the import</w:t>
      </w:r>
    </w:p>
    <w:p>
      <w:pPr>
        <w:pStyle w:val="ListBullet"/>
        <w:spacing w:after="60"/>
      </w:pPr>
      <w:r>
        <w:t>Any value outside Part C.</w:t>
      </w:r>
    </w:p>
    <w:p>
      <w:pPr>
        <w:pStyle w:val="ListBullet"/>
        <w:spacing w:after="60"/>
      </w:pPr>
      <w:r>
        <w:t>A blank Currency, Accounting Framework, Day Count Convention, Deal Structure or Interest Type.</w:t>
      </w:r>
    </w:p>
    <w:p>
      <w:pPr>
        <w:pStyle w:val="ListBullet"/>
        <w:spacing w:after="60"/>
      </w:pPr>
      <w:r>
        <w:t>Any rate greater than 1.</w:t>
      </w:r>
    </w:p>
    <w:p>
      <w:pPr>
        <w:pStyle w:val="ListBullet"/>
        <w:spacing w:after="60"/>
      </w:pPr>
      <w:r>
        <w:t>A FIXED component with no Base Value.</w:t>
      </w:r>
    </w:p>
    <w:p>
      <w:pPr>
        <w:pStyle w:val="ListBullet"/>
        <w:spacing w:after="60"/>
      </w:pPr>
      <w:r>
        <w:t>A Rate column not followed immediately by Amount.</w:t>
      </w:r>
    </w:p>
    <w:p>
      <w:pPr>
        <w:pStyle w:val="ListBullet"/>
        <w:spacing w:after="60"/>
      </w:pPr>
      <w:r>
        <w:t>A cashflow row naming a component that is not declared.</w:t>
      </w:r>
    </w:p>
    <w:p>
      <w:pPr>
        <w:pStyle w:val="ListBullet"/>
        <w:spacing w:after="60"/>
      </w:pPr>
      <w:r>
        <w:t>A missing Settlement Date or Maturity Date, or a blank Deal Name.</w:t>
      </w:r>
    </w:p>
    <w:p>
      <w:pPr>
        <w:pStyle w:val="ListBullet"/>
        <w:spacing w:after="60"/>
      </w:pPr>
      <w:r>
        <w:t>No Loan info sheet, or no Lookup values sheet.</w:t>
      </w:r>
    </w:p>
    <w:p>
      <w:pPr>
        <w:pStyle w:val="ListBullet"/>
        <w:spacing w:after="60"/>
      </w:pPr>
      <w:r>
        <w:t>More than 500,000 cashflow rows (Excel route only).</w:t>
      </w:r>
    </w:p>
    <w:p>
      <w:pPr>
        <w:pStyle w:val="Heading2"/>
      </w:pPr>
      <w:r>
        <w:rPr>
          <w:b w:val="0"/>
          <w:i w:val="0"/>
        </w:rPr>
        <w:t>D.2 · Warns but proceeds</w:t>
      </w:r>
    </w:p>
    <w:p>
      <w:pPr>
        <w:pStyle w:val="ListBullet"/>
        <w:spacing w:after="60"/>
      </w:pPr>
      <w:r>
        <w:t>A blank Base, Frequency, Fee Types or Holiday Calendar.</w:t>
      </w:r>
    </w:p>
    <w:p>
      <w:pPr>
        <w:pStyle w:val="ListBullet"/>
        <w:spacing w:after="60"/>
      </w:pPr>
      <w:r>
        <w:t>Days covered inferred, with the convention used and how well it fits.</w:t>
      </w:r>
    </w:p>
    <w:p>
      <w:pPr>
        <w:pStyle w:val="ListBullet"/>
        <w:spacing w:after="60"/>
      </w:pPr>
      <w:r>
        <w:t>Rates that appear rounded, with the full-precision value PCS back-solved.</w:t>
      </w:r>
    </w:p>
    <w:p>
      <w:pPr>
        <w:pStyle w:val="ListBullet"/>
        <w:spacing w:after="60"/>
      </w:pPr>
      <w:r>
        <w:t>A Rate/Amount pair covering more than one component.</w:t>
      </w:r>
    </w:p>
    <w:p>
      <w:pPr>
        <w:pStyle w:val="ListBullet"/>
        <w:spacing w:after="60"/>
      </w:pPr>
      <w:r>
        <w:t>Total Commitment and the opening unfunded balance inconsistent with each other.</w:t>
      </w:r>
    </w:p>
    <w:p>
      <w:pPr>
        <w:pStyle w:val="ListBullet"/>
        <w:spacing w:after="60"/>
      </w:pPr>
      <w:r>
        <w:t>A value PCS does not yet handle — imported, but driving no calculation.</w:t>
      </w:r>
    </w:p>
    <w:tbl>
      <w:tblPr>
        <w:tblStyle w:val="TableGrid"/>
        <w:tblW w:type="auto" w:w="0"/>
        <w:tblLook w:firstColumn="1" w:firstRow="1" w:lastColumn="0" w:lastRow="0" w:noHBand="0" w:noVBand="1" w:val="04A0"/>
      </w:tblPr>
      <w:tblGrid>
        <w:gridCol w:w="10086"/>
      </w:tblGrid>
      <w:tr>
        <w:tc>
          <w:tcPr>
            <w:tcW w:type="dxa" w:w="9751"/>
            <w:shd w:val="clear" w:fill="EEF2FF"/>
          </w:tcPr>
          <w:p>
            <w:pPr>
              <w:spacing w:after="40"/>
            </w:pPr>
            <w:r/>
            <w:r>
              <w:rPr>
                <w:b/>
                <w:sz w:val="19"/>
              </w:rPr>
              <w:t>Why blank is not always fatal</w:t>
            </w:r>
          </w:p>
          <w:p>
            <w:pPr>
              <w:spacing w:after="40"/>
            </w:pPr>
            <w:r>
              <w:rPr>
                <w:sz w:val="19"/>
              </w:rPr>
              <w:t>Blank stops the import only where a missing value would change a NUMBER. Day count, currency and accounting framework silently mis-state every amount in the file if defaulted. A blank fee Base or Frequency is descriptive — the amounts still come from the cashflow table and still post correctly. That distinction is not academic: the agreed template’s own tranche-fee blocks leave Base blank, so a blanket rule would reject the sample file.</w:t>
            </w:r>
          </w:p>
        </w:tc>
      </w:tr>
    </w:tbl>
    <w:p>
      <w:pPr>
        <w:spacing w:after="80"/>
      </w:pPr>
    </w:p>
    <w:p>
      <w:pPr>
        <w:pStyle w:val="Heading1"/>
      </w:pPr>
      <w:r>
        <w:rPr>
          <w:b w:val="0"/>
          <w:i w:val="0"/>
        </w:rPr>
        <w:t>Part E · Open items</w:t>
      </w:r>
    </w:p>
    <w:p>
      <w:pPr>
        <w:pStyle w:val="Heading2"/>
      </w:pPr>
      <w:r>
        <w:rPr>
          <w:b w:val="0"/>
          <w:i w:val="0"/>
        </w:rPr>
        <w:t>E.1 · For PortF</w:t>
      </w:r>
    </w:p>
    <w:tbl>
      <w:tblPr>
        <w:tblStyle w:val="TableGrid"/>
        <w:tblW w:type="auto" w:w="0"/>
        <w:jc w:val="left"/>
        <w:tblLayout w:type="fixed"/>
        <w:tblLook w:firstColumn="1" w:firstRow="1" w:lastColumn="0" w:lastRow="0" w:noHBand="0" w:noVBand="1" w:val="04A0"/>
      </w:tblPr>
      <w:tblGrid>
        <w:gridCol w:w="3362"/>
        <w:gridCol w:w="3362"/>
        <w:gridCol w:w="3362"/>
      </w:tblGrid>
      <w:tr>
        <w:tc>
          <w:tcPr>
            <w:tcW w:type="dxa" w:w="454"/>
            <w:shd w:val="clear" w:fill="431B5B"/>
          </w:tcPr>
          <w:p>
            <w:pPr>
              <w:spacing w:after="40" w:before="40"/>
            </w:pPr>
            <w:r/>
            <w:r>
              <w:rPr>
                <w:b/>
                <w:color w:val="FFFFFF"/>
                <w:sz w:val="17"/>
              </w:rPr>
              <w:t>#</w:t>
            </w:r>
          </w:p>
        </w:tc>
        <w:tc>
          <w:tcPr>
            <w:tcW w:type="dxa" w:w="3061"/>
            <w:shd w:val="clear" w:fill="431B5B"/>
          </w:tcPr>
          <w:p>
            <w:pPr>
              <w:spacing w:after="40" w:before="40"/>
            </w:pPr>
            <w:r/>
            <w:r>
              <w:rPr>
                <w:b/>
                <w:color w:val="FFFFFF"/>
                <w:sz w:val="17"/>
              </w:rPr>
              <w:t>Item</w:t>
            </w:r>
          </w:p>
        </w:tc>
        <w:tc>
          <w:tcPr>
            <w:tcW w:type="dxa" w:w="6236"/>
            <w:shd w:val="clear" w:fill="431B5B"/>
          </w:tcPr>
          <w:p>
            <w:pPr>
              <w:spacing w:after="40" w:before="40"/>
            </w:pPr>
            <w:r/>
            <w:r>
              <w:rPr>
                <w:b/>
                <w:color w:val="FFFFFF"/>
                <w:sz w:val="17"/>
              </w:rPr>
              <w:t>Why it matters</w:t>
            </w:r>
          </w:p>
        </w:tc>
      </w:tr>
      <w:tr>
        <w:tc>
          <w:tcPr>
            <w:tcW w:type="dxa" w:w="454"/>
          </w:tcPr>
          <w:p>
            <w:pPr>
              <w:spacing w:after="40" w:before="40"/>
            </w:pPr>
            <w:r/>
            <w:r>
              <w:rPr>
                <w:sz w:val="17"/>
              </w:rPr>
              <w:t>1</w:t>
            </w:r>
          </w:p>
        </w:tc>
        <w:tc>
          <w:tcPr>
            <w:tcW w:type="dxa" w:w="3061"/>
          </w:tcPr>
          <w:p>
            <w:pPr>
              <w:spacing w:after="40" w:before="40"/>
            </w:pPr>
            <w:r/>
            <w:r>
              <w:rPr>
                <w:sz w:val="17"/>
              </w:rPr>
              <w:t>Export the deal and tranche GUIDs into the workbook</w:t>
            </w:r>
          </w:p>
        </w:tc>
        <w:tc>
          <w:tcPr>
            <w:tcW w:type="dxa" w:w="6236"/>
          </w:tcPr>
          <w:p>
            <w:pPr>
              <w:spacing w:after="40" w:before="40"/>
            </w:pPr>
            <w:r/>
            <w:r>
              <w:rPr>
                <w:sz w:val="17"/>
              </w:rPr>
              <w:t>Confirmed to exist. Until they are in the file, the two routes disagree about which tranche is which.</w:t>
            </w:r>
          </w:p>
        </w:tc>
      </w:tr>
      <w:tr>
        <w:tc>
          <w:tcPr>
            <w:tcW w:type="dxa" w:w="454"/>
            <w:shd w:val="clear" w:fill="F4F4F7"/>
          </w:tcPr>
          <w:p>
            <w:pPr>
              <w:spacing w:after="40" w:before="40"/>
            </w:pPr>
            <w:r/>
            <w:r>
              <w:rPr>
                <w:sz w:val="17"/>
              </w:rPr>
              <w:t>2</w:t>
            </w:r>
          </w:p>
        </w:tc>
        <w:tc>
          <w:tcPr>
            <w:tcW w:type="dxa" w:w="3061"/>
            <w:shd w:val="clear" w:fill="F4F4F7"/>
          </w:tcPr>
          <w:p>
            <w:pPr>
              <w:spacing w:after="40" w:before="40"/>
            </w:pPr>
            <w:r/>
            <w:r>
              <w:rPr>
                <w:sz w:val="17"/>
              </w:rPr>
              <w:t>State daysCovered, or period start and end</w:t>
            </w:r>
          </w:p>
        </w:tc>
        <w:tc>
          <w:tcPr>
            <w:tcW w:type="dxa" w:w="6236"/>
            <w:shd w:val="clear" w:fill="F4F4F7"/>
          </w:tcPr>
          <w:p>
            <w:pPr>
              <w:spacing w:after="40" w:before="40"/>
            </w:pPr>
            <w:r/>
            <w:r>
              <w:rPr>
                <w:sz w:val="17"/>
              </w:rPr>
              <w:t>Currently inferred, and the two sheet types use opposite conventions.</w:t>
            </w:r>
          </w:p>
        </w:tc>
      </w:tr>
      <w:tr>
        <w:tc>
          <w:tcPr>
            <w:tcW w:type="dxa" w:w="454"/>
          </w:tcPr>
          <w:p>
            <w:pPr>
              <w:spacing w:after="40" w:before="40"/>
            </w:pPr>
            <w:r/>
            <w:r>
              <w:rPr>
                <w:sz w:val="17"/>
              </w:rPr>
              <w:t>3</w:t>
            </w:r>
          </w:p>
        </w:tc>
        <w:tc>
          <w:tcPr>
            <w:tcW w:type="dxa" w:w="3061"/>
          </w:tcPr>
          <w:p>
            <w:pPr>
              <w:spacing w:after="40" w:before="40"/>
            </w:pPr>
            <w:r/>
            <w:r>
              <w:rPr>
                <w:sz w:val="17"/>
              </w:rPr>
              <w:t>One Rate/Amount pair per component</w:t>
            </w:r>
          </w:p>
        </w:tc>
        <w:tc>
          <w:tcPr>
            <w:tcW w:type="dxa" w:w="6236"/>
          </w:tcPr>
          <w:p>
            <w:pPr>
              <w:spacing w:after="40" w:before="40"/>
            </w:pPr>
            <w:r/>
            <w:r>
              <w:rPr>
                <w:sz w:val="17"/>
              </w:rPr>
              <w:t>A shared pair cannot be split, so interest cannot be reported per component.</w:t>
            </w:r>
          </w:p>
        </w:tc>
      </w:tr>
      <w:tr>
        <w:tc>
          <w:tcPr>
            <w:tcW w:type="dxa" w:w="454"/>
            <w:shd w:val="clear" w:fill="F4F4F7"/>
          </w:tcPr>
          <w:p>
            <w:pPr>
              <w:spacing w:after="40" w:before="40"/>
            </w:pPr>
            <w:r/>
            <w:r>
              <w:rPr>
                <w:sz w:val="17"/>
              </w:rPr>
              <w:t>4</w:t>
            </w:r>
          </w:p>
        </w:tc>
        <w:tc>
          <w:tcPr>
            <w:tcW w:type="dxa" w:w="3061"/>
            <w:shd w:val="clear" w:fill="F4F4F7"/>
          </w:tcPr>
          <w:p>
            <w:pPr>
              <w:spacing w:after="40" w:before="40"/>
            </w:pPr>
            <w:r/>
            <w:r>
              <w:rPr>
                <w:sz w:val="17"/>
              </w:rPr>
              <w:t>Correct the Lookup values tab</w:t>
            </w:r>
          </w:p>
        </w:tc>
        <w:tc>
          <w:tcPr>
            <w:tcW w:type="dxa" w:w="6236"/>
            <w:shd w:val="clear" w:fill="F4F4F7"/>
          </w:tcPr>
          <w:p>
            <w:pPr>
              <w:spacing w:after="40" w:before="40"/>
            </w:pPr>
            <w:r/>
            <w:r>
              <w:rPr>
                <w:sz w:val="17"/>
              </w:rPr>
              <w:t>ACT/365 missing, "Montly" misspelt, "Arrangeement Fee" mismatched.</w:t>
            </w:r>
          </w:p>
        </w:tc>
      </w:tr>
      <w:tr>
        <w:tc>
          <w:tcPr>
            <w:tcW w:type="dxa" w:w="454"/>
          </w:tcPr>
          <w:p>
            <w:pPr>
              <w:spacing w:after="40" w:before="40"/>
            </w:pPr>
            <w:r/>
            <w:r>
              <w:rPr>
                <w:sz w:val="17"/>
              </w:rPr>
              <w:t>5</w:t>
            </w:r>
          </w:p>
        </w:tc>
        <w:tc>
          <w:tcPr>
            <w:tcW w:type="dxa" w:w="3061"/>
          </w:tcPr>
          <w:p>
            <w:pPr>
              <w:spacing w:after="40" w:before="40"/>
            </w:pPr>
            <w:r/>
            <w:r>
              <w:rPr>
                <w:sz w:val="17"/>
              </w:rPr>
              <w:t>Add a consolidation event</w:t>
            </w:r>
          </w:p>
        </w:tc>
        <w:tc>
          <w:tcPr>
            <w:tcW w:type="dxa" w:w="6236"/>
          </w:tcPr>
          <w:p>
            <w:pPr>
              <w:spacing w:after="40" w:before="40"/>
            </w:pPr>
            <w:r/>
            <w:r>
              <w:rPr>
                <w:sz w:val="17"/>
              </w:rPr>
              <w:t>The sample converts a 6-month floating facility into a 20-year loan at a negotiated rate. There is no way to express that, and it is likely a modification under IFRS 9.</w:t>
            </w:r>
          </w:p>
        </w:tc>
      </w:tr>
      <w:tr>
        <w:tc>
          <w:tcPr>
            <w:tcW w:type="dxa" w:w="454"/>
            <w:shd w:val="clear" w:fill="F4F4F7"/>
          </w:tcPr>
          <w:p>
            <w:pPr>
              <w:spacing w:after="40" w:before="40"/>
            </w:pPr>
            <w:r/>
            <w:r>
              <w:rPr>
                <w:sz w:val="17"/>
              </w:rPr>
              <w:t>6</w:t>
            </w:r>
          </w:p>
        </w:tc>
        <w:tc>
          <w:tcPr>
            <w:tcW w:type="dxa" w:w="3061"/>
            <w:shd w:val="clear" w:fill="F4F4F7"/>
          </w:tcPr>
          <w:p>
            <w:pPr>
              <w:spacing w:after="40" w:before="40"/>
            </w:pPr>
            <w:r/>
            <w:r>
              <w:rPr>
                <w:sz w:val="17"/>
              </w:rPr>
              <w:t>Decompose level-payment schedules</w:t>
            </w:r>
          </w:p>
        </w:tc>
        <w:tc>
          <w:tcPr>
            <w:tcW w:type="dxa" w:w="6236"/>
            <w:shd w:val="clear" w:fill="F4F4F7"/>
          </w:tcPr>
          <w:p>
            <w:pPr>
              <w:spacing w:after="40" w:before="40"/>
            </w:pPr>
            <w:r/>
            <w:r>
              <w:rPr>
                <w:sz w:val="17"/>
              </w:rPr>
              <w:t>A blended principal-plus-interest figure cannot be posted — the ledger needs the two in different accounts.</w:t>
            </w:r>
          </w:p>
        </w:tc>
      </w:tr>
      <w:tr>
        <w:tc>
          <w:tcPr>
            <w:tcW w:type="dxa" w:w="454"/>
          </w:tcPr>
          <w:p>
            <w:pPr>
              <w:spacing w:after="40" w:before="40"/>
            </w:pPr>
            <w:r/>
            <w:r>
              <w:rPr>
                <w:sz w:val="17"/>
              </w:rPr>
              <w:t>7</w:t>
            </w:r>
          </w:p>
        </w:tc>
        <w:tc>
          <w:tcPr>
            <w:tcW w:type="dxa" w:w="3061"/>
          </w:tcPr>
          <w:p>
            <w:pPr>
              <w:spacing w:after="40" w:before="40"/>
            </w:pPr>
            <w:r/>
            <w:r>
              <w:rPr>
                <w:sz w:val="17"/>
              </w:rPr>
              <w:t>Covenants</w:t>
            </w:r>
          </w:p>
        </w:tc>
        <w:tc>
          <w:tcPr>
            <w:tcW w:type="dxa" w:w="6236"/>
          </w:tcPr>
          <w:p>
            <w:pPr>
              <w:spacing w:after="40" w:before="40"/>
            </w:pPr>
            <w:r/>
            <w:r>
              <w:rPr>
                <w:sz w:val="17"/>
              </w:rPr>
              <w:t>Absent entirely. Without them an external deal cannot take part in covenant monitoring or margin step-ups.</w:t>
            </w:r>
          </w:p>
        </w:tc>
      </w:tr>
      <w:tr>
        <w:tc>
          <w:tcPr>
            <w:tcW w:type="dxa" w:w="454"/>
            <w:shd w:val="clear" w:fill="F4F4F7"/>
          </w:tcPr>
          <w:p>
            <w:pPr>
              <w:spacing w:after="40" w:before="40"/>
            </w:pPr>
            <w:r/>
            <w:r>
              <w:rPr>
                <w:sz w:val="17"/>
              </w:rPr>
              <w:t>8</w:t>
            </w:r>
          </w:p>
        </w:tc>
        <w:tc>
          <w:tcPr>
            <w:tcW w:type="dxa" w:w="3061"/>
            <w:shd w:val="clear" w:fill="F4F4F7"/>
          </w:tcPr>
          <w:p>
            <w:pPr>
              <w:spacing w:after="40" w:before="40"/>
            </w:pPr>
            <w:r/>
            <w:r>
              <w:rPr>
                <w:sz w:val="17"/>
              </w:rPr>
              <w:t>Resolve Total Commitment vs opening unfunded balance</w:t>
            </w:r>
          </w:p>
        </w:tc>
        <w:tc>
          <w:tcPr>
            <w:tcW w:type="dxa" w:w="6236"/>
            <w:shd w:val="clear" w:fill="F4F4F7"/>
          </w:tcPr>
          <w:p>
            <w:pPr>
              <w:spacing w:after="40" w:before="40"/>
            </w:pPr>
            <w:r/>
            <w:r>
              <w:rPr>
                <w:sz w:val="17"/>
              </w:rPr>
              <w:t>£36.6bn against £32.28bn. One is wrong, and it is the figure impairment is measured on.</w:t>
            </w:r>
          </w:p>
        </w:tc>
      </w:tr>
    </w:tbl>
    <w:p>
      <w:pPr>
        <w:spacing w:after="80"/>
      </w:pPr>
    </w:p>
    <w:p>
      <w:pPr>
        <w:pStyle w:val="Heading2"/>
      </w:pPr>
      <w:r>
        <w:rPr>
          <w:b w:val="0"/>
          <w:i w:val="0"/>
        </w:rPr>
        <w:t>E.2 · For FIS</w:t>
      </w:r>
    </w:p>
    <w:tbl>
      <w:tblPr>
        <w:tblStyle w:val="TableGrid"/>
        <w:tblW w:type="auto" w:w="0"/>
        <w:jc w:val="left"/>
        <w:tblLayout w:type="fixed"/>
        <w:tblLook w:firstColumn="1" w:firstRow="1" w:lastColumn="0" w:lastRow="0" w:noHBand="0" w:noVBand="1" w:val="04A0"/>
      </w:tblPr>
      <w:tblGrid>
        <w:gridCol w:w="5043"/>
        <w:gridCol w:w="5043"/>
      </w:tblGrid>
      <w:tr>
        <w:tc>
          <w:tcPr>
            <w:tcW w:type="dxa" w:w="4876"/>
            <w:shd w:val="clear" w:fill="431B5B"/>
          </w:tcPr>
          <w:p>
            <w:pPr>
              <w:spacing w:after="40" w:before="40"/>
            </w:pPr>
            <w:r/>
            <w:r>
              <w:rPr>
                <w:b/>
                <w:color w:val="FFFFFF"/>
                <w:sz w:val="17"/>
              </w:rPr>
              <w:t>Decision</w:t>
            </w:r>
          </w:p>
        </w:tc>
        <w:tc>
          <w:tcPr>
            <w:tcW w:type="dxa" w:w="4876"/>
            <w:shd w:val="clear" w:fill="431B5B"/>
          </w:tcPr>
          <w:p>
            <w:pPr>
              <w:spacing w:after="40" w:before="40"/>
            </w:pPr>
            <w:r/>
            <w:r>
              <w:rPr>
                <w:b/>
                <w:color w:val="FFFFFF"/>
                <w:sz w:val="17"/>
              </w:rPr>
              <w:t>Recommendation</w:t>
            </w:r>
          </w:p>
        </w:tc>
      </w:tr>
      <w:tr>
        <w:tc>
          <w:tcPr>
            <w:tcW w:type="dxa" w:w="4876"/>
          </w:tcPr>
          <w:p>
            <w:pPr>
              <w:spacing w:after="40" w:before="40"/>
            </w:pPr>
            <w:r/>
            <w:r>
              <w:rPr>
                <w:sz w:val="17"/>
              </w:rPr>
              <w:t>Restatement posting — reverse-and-repost, or delta-post, when a restated period has already reached Investran?</w:t>
            </w:r>
          </w:p>
        </w:tc>
        <w:tc>
          <w:tcPr>
            <w:tcW w:type="dxa" w:w="4876"/>
          </w:tcPr>
          <w:p>
            <w:pPr>
              <w:spacing w:after="40" w:before="40"/>
            </w:pPr>
            <w:r/>
            <w:r>
              <w:rPr>
                <w:sz w:val="17"/>
              </w:rPr>
              <w:t>Reverse and re-post. Cleaner audit trail, and it does not compound if a period is restated twice.</w:t>
            </w:r>
          </w:p>
        </w:tc>
      </w:tr>
      <w:tr>
        <w:tc>
          <w:tcPr>
            <w:tcW w:type="dxa" w:w="4876"/>
            <w:shd w:val="clear" w:fill="F4F4F7"/>
          </w:tcPr>
          <w:p>
            <w:pPr>
              <w:spacing w:after="40" w:before="40"/>
            </w:pPr>
            <w:r/>
            <w:r>
              <w:rPr>
                <w:sz w:val="17"/>
              </w:rPr>
              <w:t>EAD basis — does the credit conversion factor apply to the committed amount only?</w:t>
            </w:r>
          </w:p>
        </w:tc>
        <w:tc>
          <w:tcPr>
            <w:tcW w:type="dxa" w:w="4876"/>
            <w:shd w:val="clear" w:fill="F4F4F7"/>
          </w:tcPr>
          <w:p>
            <w:pPr>
              <w:spacing w:after="40" w:before="40"/>
            </w:pPr>
            <w:r/>
            <w:r>
              <w:rPr>
                <w:sz w:val="17"/>
              </w:rPr>
              <w:t>Yes. Headroom above the committed amount normally needs fresh credit approval and is not an exposure.</w:t>
            </w:r>
          </w:p>
        </w:tc>
      </w:tr>
      <w:tr>
        <w:tc>
          <w:tcPr>
            <w:tcW w:type="dxa" w:w="4876"/>
          </w:tcPr>
          <w:p>
            <w:pPr>
              <w:spacing w:after="40" w:before="40"/>
            </w:pPr>
            <w:r/>
            <w:r>
              <w:rPr>
                <w:sz w:val="17"/>
              </w:rPr>
              <w:t>Consolidation — modification, or an embedded contractual term?</w:t>
            </w:r>
          </w:p>
        </w:tc>
        <w:tc>
          <w:tcPr>
            <w:tcW w:type="dxa" w:w="4876"/>
          </w:tcPr>
          <w:p>
            <w:pPr>
              <w:spacing w:after="40" w:before="40"/>
            </w:pPr>
            <w:r/>
            <w:r>
              <w:rPr>
                <w:sz w:val="17"/>
              </w:rPr>
              <w:t>Settle with the audit position before the engine work starts; it decides whether PCS derecognises and re-recognises at that date.</w:t>
            </w:r>
          </w:p>
        </w:tc>
      </w:tr>
    </w:tbl>
    <w:p>
      <w:pPr>
        <w:spacing w:after="80"/>
      </w:pPr>
    </w:p>
    <w:p>
      <w:r>
        <w:rPr>
          <w:b w:val="0"/>
          <w:i/>
        </w:rPr>
        <w:t>Questions on this specification go to Ferhat Ansari.</w:t>
      </w:r>
    </w:p>
    <w:sectPr w:rsidR="00FC693F" w:rsidRPr="0006063C" w:rsidSect="00034616">
      <w:pgSz w:w="12240" w:h="158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431B5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31B5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31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