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Zomato Restaurant Listings Analysis Report</w:t>
      </w:r>
    </w:p>
    <w:p>
      <w:pPr>
        <w:spacing w:after="300"/>
        <w:jc w:val="center"/>
      </w:pPr>
      <w:r>
        <w:rPr>
          <w:i/>
          <w:iCs/>
          <w:color w:val="555555"/>
          <w:sz w:val="24"/>
          <w:szCs w:val="24"/>
        </w:rPr>
        <w:t xml:space="preserve">Global Catalog Composition, Delivery, Locality &amp; Rating Analysis (SQL Server)</w:t>
      </w:r>
    </w:p>
    <w:p>
      <w:pPr>
        <w:pStyle w:val="Heading1"/>
        <w:spacing w:after="150" w:before="300"/>
      </w:pPr>
      <w:r>
        <w:t xml:space="preserve">Business Problem</w:t>
      </w:r>
    </w:p>
    <w:p>
      <w:pPr>
        <w:spacing w:after="160"/>
      </w:pPr>
      <w:r>
        <w:t xml:space="preserve">Zomato's restaurant listings span dozens of countries, thousands of localities, and a wide range of price points, cuisines, and service options. Understanding how listings are distributed geographically, which service features (online delivery, table booking) correlate with better outcomes, and where ratings and value are strongest matters directly for market-expansion planning, partner-restaurant recommendations, and city-level growth strategy. This analysis uses SQL Server to explore the Zomato restaurant dataset and answer the following business questions:</w:t>
      </w:r>
    </w:p>
    <w:p>
      <w:pPr>
        <w:pStyle w:val="ListParagraph"/>
        <w:numPr>
          <w:ilvl w:val="0"/>
          <w:numId w:val="1"/>
        </w:numPr>
        <w:spacing w:after="80"/>
      </w:pPr>
      <w:r>
        <w:t xml:space="preserve">How are restaurant listings distributed across countries, and which single market dominates the catalog?</w:t>
      </w:r>
    </w:p>
    <w:p>
      <w:pPr>
        <w:pStyle w:val="ListParagraph"/>
        <w:numPr>
          <w:ilvl w:val="0"/>
          <w:numId w:val="1"/>
        </w:numPr>
        <w:spacing w:after="80"/>
      </w:pPr>
      <w:r>
        <w:t xml:space="preserve">Which countries' restaurants actually offer online delivery, and how does that vary internationally?</w:t>
      </w:r>
    </w:p>
    <w:p>
      <w:pPr>
        <w:pStyle w:val="ListParagraph"/>
        <w:numPr>
          <w:ilvl w:val="0"/>
          <w:numId w:val="1"/>
        </w:numPr>
        <w:spacing w:after="80"/>
      </w:pPr>
      <w:r>
        <w:t xml:space="preserve">Which Indian city and locality has the highest concentration of listed restaurants, and which have the fewest?</w:t>
      </w:r>
    </w:p>
    <w:p>
      <w:pPr>
        <w:pStyle w:val="ListParagraph"/>
        <w:numPr>
          <w:ilvl w:val="0"/>
          <w:numId w:val="1"/>
        </w:numPr>
        <w:spacing w:after="80"/>
      </w:pPr>
      <w:r>
        <w:t xml:space="preserve">What cuisines define the busiest restaurant hub in the dataset?</w:t>
      </w:r>
    </w:p>
    <w:p>
      <w:pPr>
        <w:pStyle w:val="ListParagraph"/>
        <w:numPr>
          <w:ilvl w:val="0"/>
          <w:numId w:val="1"/>
        </w:numPr>
        <w:spacing w:after="80"/>
      </w:pPr>
      <w:r>
        <w:t xml:space="preserve">Does offering table booking correlate with a better average rating?</w:t>
      </w:r>
    </w:p>
    <w:p>
      <w:pPr>
        <w:pStyle w:val="ListParagraph"/>
        <w:numPr>
          <w:ilvl w:val="0"/>
          <w:numId w:val="1"/>
        </w:numPr>
        <w:spacing w:after="80"/>
      </w:pPr>
      <w:r>
        <w:t xml:space="preserve">How are restaurant ratings distributed overall, and what share fall into each quality tier?</w:t>
      </w:r>
    </w:p>
    <w:p>
      <w:pPr>
        <w:pStyle w:val="ListParagraph"/>
        <w:numPr>
          <w:ilvl w:val="0"/>
          <w:numId w:val="1"/>
        </w:numPr>
        <w:spacing w:after="80"/>
      </w:pPr>
      <w:r>
        <w:t xml:space="preserve">Does price range relate to the likelihood of a restaurant achieving a top rating?</w:t>
      </w:r>
    </w:p>
    <w:p>
      <w:pPr>
        <w:pStyle w:val="ListParagraph"/>
        <w:numPr>
          <w:ilvl w:val="0"/>
          <w:numId w:val="1"/>
        </w:numPr>
        <w:spacing w:after="80"/>
      </w:pPr>
      <w:r>
        <w:t xml:space="preserve">Which restaurants represent the best combination of high rating, high vote count, and moderate cost?</w:t>
      </w:r>
    </w:p>
    <w:p>
      <w:pPr>
        <w:spacing w:after="160"/>
      </w:pPr>
      <w:r>
        <w:rPr>
          <w:i/>
          <w:iCs/>
        </w:rPr>
        <w:t xml:space="preserve">Tech stack: Microsoft SQL Server (T-SQL) — window functions, CTEs, views, STRING_SPLIT, CASE expressions, and UPDATE/JOIN statements — see ZOMATO_DATA_EXPLORATION.sql and ZOMATO_DATA_ANALYSIS.sql for the full query set.</w:t>
      </w:r>
    </w:p>
    <w:p>
      <w:pPr>
        <w:pStyle w:val="Heading1"/>
        <w:spacing w:after="150" w:before="300"/>
      </w:pPr>
      <w:r>
        <w:t xml:space="preserve">Exploratory Data Analysis Insights</w:t>
      </w:r>
    </w:p>
    <w:p>
      <w:pPr>
        <w:pStyle w:val="Heading2"/>
        <w:spacing w:after="120" w:before="260"/>
      </w:pPr>
      <w:r>
        <w:t xml:space="preserve">Dataset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C00000" w:val="clear"/>
          </w:tcPr>
          <w:p>
            <w:r>
              <w:rPr>
                <w:b/>
                <w:bCs/>
                <w:color w:val="FFFFFF"/>
              </w:rPr>
              <w:t xml:space="preserve">Metric</w:t>
            </w:r>
          </w:p>
        </w:tc>
        <w:tc>
          <w:tcPr>
            <w:tcW w:type="dxa" w:w="3400"/>
            <w:shd w:fill="C00000" w:val="clear"/>
          </w:tcPr>
          <w:p>
            <w:r>
              <w:rPr>
                <w:b/>
                <w:bCs/>
                <w:color w:val="FFFFFF"/>
              </w:rPr>
              <w:t xml:space="preserve">Value</w:t>
            </w:r>
          </w:p>
        </w:tc>
      </w:tr>
      <w:tr>
        <w:tc>
          <w:tcPr>
            <w:tcW w:type="dxa" w:w="5600"/>
          </w:tcPr>
          <w:p>
            <w:r>
              <w:t xml:space="preserve">Total restaurant listings (raw)</w:t>
            </w:r>
          </w:p>
        </w:tc>
        <w:tc>
          <w:tcPr>
            <w:tcW w:type="dxa" w:w="3400"/>
          </w:tcPr>
          <w:p>
            <w:r>
              <w:t xml:space="preserve">9,551</w:t>
            </w:r>
          </w:p>
        </w:tc>
      </w:tr>
      <w:tr>
        <w:tc>
          <w:tcPr>
            <w:tcW w:type="dxa" w:w="5600"/>
          </w:tcPr>
          <w:p>
            <w:r>
              <w:t xml:space="preserve">Countries represented</w:t>
            </w:r>
          </w:p>
        </w:tc>
        <w:tc>
          <w:tcPr>
            <w:tcW w:type="dxa" w:w="3400"/>
          </w:tcPr>
          <w:p>
            <w:r>
              <w:t xml:space="preserve">15</w:t>
            </w:r>
          </w:p>
        </w:tc>
      </w:tr>
      <w:tr>
        <w:tc>
          <w:tcPr>
            <w:tcW w:type="dxa" w:w="5600"/>
          </w:tcPr>
          <w:p>
            <w:r>
              <w:t xml:space="preserve">Duplicate RestaurantID values</w:t>
            </w:r>
          </w:p>
        </w:tc>
        <w:tc>
          <w:tcPr>
            <w:tcW w:type="dxa" w:w="3400"/>
          </w:tcPr>
          <w:p>
            <w:r>
              <w:t xml:space="preserve">None</w:t>
            </w:r>
          </w:p>
        </w:tc>
      </w:tr>
      <w:tr>
        <w:tc>
          <w:tcPr>
            <w:tcW w:type="dxa" w:w="5600"/>
          </w:tcPr>
          <w:p>
            <w:r>
              <w:t xml:space="preserve">Missing Cuisines</w:t>
            </w:r>
          </w:p>
        </w:tc>
        <w:tc>
          <w:tcPr>
            <w:tcW w:type="dxa" w:w="3400"/>
          </w:tcPr>
          <w:p>
            <w:r>
              <w:t xml:space="preserve">9 (0.09%)</w:t>
            </w:r>
          </w:p>
        </w:tc>
      </w:tr>
      <w:tr>
        <w:tc>
          <w:tcPr>
            <w:tcW w:type="dxa" w:w="5600"/>
          </w:tcPr>
          <w:p>
            <w:r>
              <w:t xml:space="preserve">Restaurants offering table booking</w:t>
            </w:r>
          </w:p>
        </w:tc>
        <w:tc>
          <w:tcPr>
            <w:tcW w:type="dxa" w:w="3400"/>
          </w:tcPr>
          <w:p>
            <w:r>
              <w:t xml:space="preserve">1,158 (12.1%)</w:t>
            </w:r>
          </w:p>
        </w:tc>
      </w:tr>
      <w:tr>
        <w:tc>
          <w:tcPr>
            <w:tcW w:type="dxa" w:w="5600"/>
          </w:tcPr>
          <w:p>
            <w:r>
              <w:t xml:space="preserve">Restaurants offering online delivery</w:t>
            </w:r>
          </w:p>
        </w:tc>
        <w:tc>
          <w:tcPr>
            <w:tcW w:type="dxa" w:w="3400"/>
          </w:tcPr>
          <w:p>
            <w:r>
              <w:t xml:space="preserve">2,451 (25.7%)</w:t>
            </w:r>
          </w:p>
        </w:tc>
      </w:tr>
      <w:tr>
        <w:tc>
          <w:tcPr>
            <w:tcW w:type="dxa" w:w="5600"/>
          </w:tcPr>
          <w:p>
            <w:r>
              <w:t xml:space="preserve">Currently delivering (live flag)</w:t>
            </w:r>
          </w:p>
        </w:tc>
        <w:tc>
          <w:tcPr>
            <w:tcW w:type="dxa" w:w="3400"/>
          </w:tcPr>
          <w:p>
            <w:r>
              <w:t xml:space="preserve">34 (0.36%)</w:t>
            </w:r>
          </w:p>
        </w:tc>
      </w:tr>
      <w:tr>
        <w:tc>
          <w:tcPr>
            <w:tcW w:type="dxa" w:w="5600"/>
          </w:tcPr>
          <w:p>
            <w:r>
              <w:t xml:space="preserve">Rating range</w:t>
            </w:r>
          </w:p>
        </w:tc>
        <w:tc>
          <w:tcPr>
            <w:tcW w:type="dxa" w:w="3400"/>
          </w:tcPr>
          <w:p>
            <w:r>
              <w:t xml:space="preserve">1.0 – 4.9 (mean 2.89)</w:t>
            </w:r>
          </w:p>
        </w:tc>
      </w:tr>
      <w:tr>
        <w:tc>
          <w:tcPr>
            <w:tcW w:type="dxa" w:w="5600"/>
          </w:tcPr>
          <w:p>
            <w:r>
              <w:t xml:space="preserve">Votes range</w:t>
            </w:r>
          </w:p>
        </w:tc>
        <w:tc>
          <w:tcPr>
            <w:tcW w:type="dxa" w:w="3400"/>
          </w:tcPr>
          <w:p>
            <w:r>
              <w:t xml:space="preserve">0 – 10,934 (median 31)</w:t>
            </w:r>
          </w:p>
        </w:tc>
      </w:tr>
      <w:tr>
        <w:tc>
          <w:tcPr>
            <w:tcW w:type="dxa" w:w="5600"/>
          </w:tcPr>
          <w:p>
            <w:r>
              <w:t xml:space="preserve">Average cost for two — median</w:t>
            </w:r>
          </w:p>
        </w:tc>
        <w:tc>
          <w:tcPr>
            <w:tcW w:type="dxa" w:w="3400"/>
          </w:tcPr>
          <w:p>
            <w:r>
              <w:t xml:space="preserve">400 (local currency)</w:t>
            </w:r>
          </w:p>
        </w:tc>
      </w:tr>
      <w:tr>
        <w:tc>
          <w:tcPr>
            <w:tcW w:type="dxa" w:w="5600"/>
          </w:tcPr>
          <w:p>
            <w:r>
              <w:t xml:space="preserve">Price range scale</w:t>
            </w:r>
          </w:p>
        </w:tc>
        <w:tc>
          <w:tcPr>
            <w:tcW w:type="dxa" w:w="3400"/>
          </w:tcPr>
          <w:p>
            <w:r>
              <w:t xml:space="preserve">1 (lowest) – 4 (highest)</w:t>
            </w:r>
          </w:p>
        </w:tc>
      </w:tr>
    </w:tbl>
    <w:p>
      <w:pPr>
        <w:pStyle w:val="Heading2"/>
        <w:spacing w:after="120" w:before="260"/>
      </w:pPr>
      <w:r>
        <w:t xml:space="preserve">Data Quality Notes</w:t>
      </w:r>
    </w:p>
    <w:p>
      <w:pPr>
        <w:pStyle w:val="ListParagraph"/>
        <w:numPr>
          <w:ilvl w:val="0"/>
          <w:numId w:val="1"/>
        </w:numPr>
        <w:spacing w:after="80"/>
      </w:pPr>
      <w:r>
        <w:t xml:space="preserve">No duplicate RestaurantID values — each of the 9,551 rows is a unique restaurant listing.</w:t>
      </w:r>
    </w:p>
    <w:p>
      <w:pPr>
        <w:pStyle w:val="ListParagraph"/>
        <w:numPr>
          <w:ilvl w:val="0"/>
          <w:numId w:val="1"/>
        </w:numPr>
        <w:spacing w:after="80"/>
      </w:pPr>
      <w:r>
        <w:t xml:space="preserve">One row (RestaurantID 18306543, “34, Chowringhee Lane”) has a comma embedded in the restaurant name itself, which shifted columns during the original SQL Server import and produced corrupted CountryCode values (e.g. ‘ Bar’, ‘ Grill’) on that and a handful of neighboring rows — these were identified and removed before analysis.</w:t>
      </w:r>
    </w:p>
    <w:p>
      <w:pPr>
        <w:pStyle w:val="ListParagraph"/>
        <w:numPr>
          <w:ilvl w:val="0"/>
          <w:numId w:val="1"/>
        </w:numPr>
        <w:spacing w:after="80"/>
      </w:pPr>
      <w:r>
        <w:t xml:space="preserve">54 rows contain a literal ‘?’ character in the City field in place of accented letters (São Paulo, Brasília, İstanbul) — an encoding artifact from the source export, corrected with a find-and-replace before city-level aggregation.</w:t>
      </w:r>
    </w:p>
    <w:p>
      <w:pPr>
        <w:pStyle w:val="ListParagraph"/>
        <w:numPr>
          <w:ilvl w:val="0"/>
          <w:numId w:val="1"/>
        </w:numPr>
        <w:spacing w:after="80"/>
      </w:pPr>
      <w:r>
        <w:t xml:space="preserve">CountryCode is a numeric key that only becomes meaningful once joined to a separate country lookup table — this join added a COUNTRY_NAME field used throughout the analysis.</w:t>
      </w:r>
    </w:p>
    <w:p>
      <w:pPr>
        <w:pStyle w:val="ListParagraph"/>
        <w:numPr>
          <w:ilvl w:val="0"/>
          <w:numId w:val="1"/>
        </w:numPr>
        <w:spacing w:after="80"/>
      </w:pPr>
      <w:r>
        <w:t xml:space="preserve">Votes, Average_Cost_for_two, and Rating were stored as text-friendly types on import and were cast to INT / FLOAT / DECIMAL respectively before any numeric aggregation.</w:t>
      </w:r>
    </w:p>
    <w:p>
      <w:pPr>
        <w:pStyle w:val="ListParagraph"/>
        <w:numPr>
          <w:ilvl w:val="0"/>
          <w:numId w:val="1"/>
        </w:numPr>
        <w:spacing w:after="80"/>
      </w:pPr>
      <w:r>
        <w:t xml:space="preserve">Address, LocalityVerbose, and Switch_to_order_menu columns were dropped — the first two duplicate information already captured in City/Locality, and Switch_to_order_menu is constant (‘No’) across every row in the dataset.</w:t>
      </w:r>
    </w:p>
    <w:p>
      <w:pPr>
        <w:pStyle w:val="ListParagraph"/>
        <w:numPr>
          <w:ilvl w:val="0"/>
          <w:numId w:val="1"/>
        </w:numPr>
        <w:spacing w:after="80"/>
      </w:pPr>
      <w:r>
        <w:t xml:space="preserve">A derived RATE_CATEGORY column (Poor / Good / Great / Excellent) was added via a CASE expression to support quality-tier analysis without repeating the same range logic in every query.</w:t>
      </w:r>
    </w:p>
    <w:p>
      <w:pPr>
        <w:pStyle w:val="Heading1"/>
        <w:spacing w:after="150" w:before="300"/>
      </w:pPr>
      <w:r>
        <w:t xml:space="preserve">Research Questions &amp; Key Findings</w:t>
      </w:r>
    </w:p>
    <w:p>
      <w:pPr>
        <w:pStyle w:val="Heading2"/>
        <w:spacing w:after="120" w:before="260"/>
      </w:pPr>
      <w:r>
        <w:t xml:space="preserve">1. Country Representation</w:t>
      </w:r>
    </w:p>
    <w:p>
      <w:pPr>
        <w:spacing w:after="160"/>
      </w:pPr>
      <w:r>
        <w:t xml:space="preserve">India overwhelmingly dominates the catalog, accounting for 90.6% of all restaurant listings (8,652 of 9,551). The United States is a distant second at 4.5% (434 listings), with the United Kingdom, Brazil, the UAE, and South Africa each contributing under 1% individually. The remaining nine countries — including Canada, at just 4 listings — make up a long tail of minimal representation.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000"/>
      </w:tblGrid>
      <w:tr>
        <w:trPr>
          <w:tblHeader/>
        </w:trPr>
        <w:tc>
          <w:tcPr>
            <w:tcW w:type="dxa" w:w="4200"/>
            <w:shd w:fill="C00000" w:val="clear"/>
          </w:tcPr>
          <w:p>
            <w:r>
              <w:rPr>
                <w:b/>
                <w:bCs/>
                <w:color w:val="FFFFFF"/>
              </w:rPr>
              <w:t xml:space="preserve">Country</w:t>
            </w:r>
          </w:p>
        </w:tc>
        <w:tc>
          <w:tcPr>
            <w:tcW w:type="dxa" w:w="2800"/>
            <w:shd w:fill="C00000" w:val="clear"/>
          </w:tcPr>
          <w:p>
            <w:r>
              <w:rPr>
                <w:b/>
                <w:bCs/>
                <w:color w:val="FFFFFF"/>
              </w:rPr>
              <w:t xml:space="preserve">Restaurant Count</w:t>
            </w:r>
          </w:p>
        </w:tc>
        <w:tc>
          <w:tcPr>
            <w:tcW w:type="dxa" w:w="2000"/>
            <w:shd w:fill="C00000" w:val="clear"/>
          </w:tcPr>
          <w:p>
            <w:r>
              <w:rPr>
                <w:b/>
                <w:bCs/>
                <w:color w:val="FFFFFF"/>
              </w:rPr>
              <w:t xml:space="preserve">% of Catalog</w:t>
            </w:r>
          </w:p>
        </w:tc>
      </w:tr>
      <w:tr>
        <w:tc>
          <w:tcPr>
            <w:tcW w:type="dxa" w:w="4200"/>
          </w:tcPr>
          <w:p>
            <w:r>
              <w:t xml:space="preserve">India</w:t>
            </w:r>
          </w:p>
        </w:tc>
        <w:tc>
          <w:tcPr>
            <w:tcW w:type="dxa" w:w="2800"/>
          </w:tcPr>
          <w:p>
            <w:r>
              <w:t xml:space="preserve">8,652</w:t>
            </w:r>
          </w:p>
        </w:tc>
        <w:tc>
          <w:tcPr>
            <w:tcW w:type="dxa" w:w="2000"/>
          </w:tcPr>
          <w:p>
            <w:r>
              <w:t xml:space="preserve">90.59%</w:t>
            </w:r>
          </w:p>
        </w:tc>
      </w:tr>
      <w:tr>
        <w:tc>
          <w:tcPr>
            <w:tcW w:type="dxa" w:w="4200"/>
          </w:tcPr>
          <w:p>
            <w:r>
              <w:t xml:space="preserve">United States</w:t>
            </w:r>
          </w:p>
        </w:tc>
        <w:tc>
          <w:tcPr>
            <w:tcW w:type="dxa" w:w="2800"/>
          </w:tcPr>
          <w:p>
            <w:r>
              <w:t xml:space="preserve">434</w:t>
            </w:r>
          </w:p>
        </w:tc>
        <w:tc>
          <w:tcPr>
            <w:tcW w:type="dxa" w:w="2000"/>
          </w:tcPr>
          <w:p>
            <w:r>
              <w:t xml:space="preserve">4.54%</w:t>
            </w:r>
          </w:p>
        </w:tc>
      </w:tr>
      <w:tr>
        <w:tc>
          <w:tcPr>
            <w:tcW w:type="dxa" w:w="4200"/>
          </w:tcPr>
          <w:p>
            <w:r>
              <w:t xml:space="preserve">United Kingdom</w:t>
            </w:r>
          </w:p>
        </w:tc>
        <w:tc>
          <w:tcPr>
            <w:tcW w:type="dxa" w:w="2800"/>
          </w:tcPr>
          <w:p>
            <w:r>
              <w:t xml:space="preserve">80</w:t>
            </w:r>
          </w:p>
        </w:tc>
        <w:tc>
          <w:tcPr>
            <w:tcW w:type="dxa" w:w="2000"/>
          </w:tcPr>
          <w:p>
            <w:r>
              <w:t xml:space="preserve">0.84%</w:t>
            </w:r>
          </w:p>
        </w:tc>
      </w:tr>
      <w:tr>
        <w:tc>
          <w:tcPr>
            <w:tcW w:type="dxa" w:w="4200"/>
          </w:tcPr>
          <w:p>
            <w:r>
              <w:t xml:space="preserve">Brazil</w:t>
            </w:r>
          </w:p>
        </w:tc>
        <w:tc>
          <w:tcPr>
            <w:tcW w:type="dxa" w:w="2800"/>
          </w:tcPr>
          <w:p>
            <w:r>
              <w:t xml:space="preserve">60</w:t>
            </w:r>
          </w:p>
        </w:tc>
        <w:tc>
          <w:tcPr>
            <w:tcW w:type="dxa" w:w="2000"/>
          </w:tcPr>
          <w:p>
            <w:r>
              <w:t xml:space="preserve">0.63%</w:t>
            </w:r>
          </w:p>
        </w:tc>
      </w:tr>
      <w:tr>
        <w:tc>
          <w:tcPr>
            <w:tcW w:type="dxa" w:w="4200"/>
          </w:tcPr>
          <w:p>
            <w:r>
              <w:t xml:space="preserve">United Arab Emirates</w:t>
            </w:r>
          </w:p>
        </w:tc>
        <w:tc>
          <w:tcPr>
            <w:tcW w:type="dxa" w:w="2800"/>
          </w:tcPr>
          <w:p>
            <w:r>
              <w:t xml:space="preserve">60</w:t>
            </w:r>
          </w:p>
        </w:tc>
        <w:tc>
          <w:tcPr>
            <w:tcW w:type="dxa" w:w="2000"/>
          </w:tcPr>
          <w:p>
            <w:r>
              <w:t xml:space="preserve">0.63%</w:t>
            </w:r>
          </w:p>
        </w:tc>
      </w:tr>
      <w:tr>
        <w:tc>
          <w:tcPr>
            <w:tcW w:type="dxa" w:w="4200"/>
          </w:tcPr>
          <w:p>
            <w:r>
              <w:t xml:space="preserve">South Africa</w:t>
            </w:r>
          </w:p>
        </w:tc>
        <w:tc>
          <w:tcPr>
            <w:tcW w:type="dxa" w:w="2800"/>
          </w:tcPr>
          <w:p>
            <w:r>
              <w:t xml:space="preserve">60</w:t>
            </w:r>
          </w:p>
        </w:tc>
        <w:tc>
          <w:tcPr>
            <w:tcW w:type="dxa" w:w="2000"/>
          </w:tcPr>
          <w:p>
            <w:r>
              <w:t xml:space="preserve">0.63%</w:t>
            </w:r>
          </w:p>
        </w:tc>
      </w:tr>
      <w:tr>
        <w:tc>
          <w:tcPr>
            <w:tcW w:type="dxa" w:w="4200"/>
          </w:tcPr>
          <w:p>
            <w:r>
              <w:t xml:space="preserve">New Zealand</w:t>
            </w:r>
          </w:p>
        </w:tc>
        <w:tc>
          <w:tcPr>
            <w:tcW w:type="dxa" w:w="2800"/>
          </w:tcPr>
          <w:p>
            <w:r>
              <w:t xml:space="preserve">40</w:t>
            </w:r>
          </w:p>
        </w:tc>
        <w:tc>
          <w:tcPr>
            <w:tcW w:type="dxa" w:w="2000"/>
          </w:tcPr>
          <w:p>
            <w:r>
              <w:t xml:space="preserve">0.42%</w:t>
            </w:r>
          </w:p>
        </w:tc>
      </w:tr>
      <w:tr>
        <w:tc>
          <w:tcPr>
            <w:tcW w:type="dxa" w:w="4200"/>
          </w:tcPr>
          <w:p>
            <w:r>
              <w:t xml:space="preserve">Turkey</w:t>
            </w:r>
          </w:p>
        </w:tc>
        <w:tc>
          <w:tcPr>
            <w:tcW w:type="dxa" w:w="2800"/>
          </w:tcPr>
          <w:p>
            <w:r>
              <w:t xml:space="preserve">34</w:t>
            </w:r>
          </w:p>
        </w:tc>
        <w:tc>
          <w:tcPr>
            <w:tcW w:type="dxa" w:w="2000"/>
          </w:tcPr>
          <w:p>
            <w:r>
              <w:t xml:space="preserve">0.36%</w:t>
            </w:r>
          </w:p>
        </w:tc>
      </w:tr>
      <w:tr>
        <w:tc>
          <w:tcPr>
            <w:tcW w:type="dxa" w:w="4200"/>
          </w:tcPr>
          <w:p>
            <w:r>
              <w:t xml:space="preserve">Australia</w:t>
            </w:r>
          </w:p>
        </w:tc>
        <w:tc>
          <w:tcPr>
            <w:tcW w:type="dxa" w:w="2800"/>
          </w:tcPr>
          <w:p>
            <w:r>
              <w:t xml:space="preserve">24</w:t>
            </w:r>
          </w:p>
        </w:tc>
        <w:tc>
          <w:tcPr>
            <w:tcW w:type="dxa" w:w="2000"/>
          </w:tcPr>
          <w:p>
            <w:r>
              <w:t xml:space="preserve">0.25%</w:t>
            </w:r>
          </w:p>
        </w:tc>
      </w:tr>
      <w:tr>
        <w:tc>
          <w:tcPr>
            <w:tcW w:type="dxa" w:w="4200"/>
          </w:tcPr>
          <w:p>
            <w:r>
              <w:t xml:space="preserve">Philippines</w:t>
            </w:r>
          </w:p>
        </w:tc>
        <w:tc>
          <w:tcPr>
            <w:tcW w:type="dxa" w:w="2800"/>
          </w:tcPr>
          <w:p>
            <w:r>
              <w:t xml:space="preserve">22</w:t>
            </w:r>
          </w:p>
        </w:tc>
        <w:tc>
          <w:tcPr>
            <w:tcW w:type="dxa" w:w="2000"/>
          </w:tcPr>
          <w:p>
            <w:r>
              <w:t xml:space="preserve">0.23%</w:t>
            </w:r>
          </w:p>
        </w:tc>
      </w:tr>
    </w:tbl>
    <w:p>
      <w:pPr>
        <w:pStyle w:val="Heading2"/>
        <w:spacing w:after="120" w:before="260"/>
      </w:pPr>
      <w:r>
        <w:t xml:space="preserve">2. Online Delivery Availability by Country</w:t>
      </w:r>
    </w:p>
    <w:p>
      <w:pPr>
        <w:spacing w:after="160"/>
      </w:pPr>
      <w:r>
        <w:t xml:space="preserve">Online delivery on Zomato is, in this dataset, essentially an India-and-UAE phenomenon. 28.0% of Indian restaurants and 46.7% of UAE restaurants offer online delivery, while every other country in the catalog — including the US and UK — shows 0% of listed restaurants offering it. This points to online delivery being a market-specific feature rollout rather than a globally available Zomato capability at the time this data was captured.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C00000" w:val="clear"/>
          </w:tcPr>
          <w:p>
            <w:r>
              <w:rPr>
                <w:b/>
                <w:bCs/>
                <w:color w:val="FFFFFF"/>
              </w:rPr>
              <w:t xml:space="preserve">Country</w:t>
            </w:r>
          </w:p>
        </w:tc>
        <w:tc>
          <w:tcPr>
            <w:tcW w:type="dxa" w:w="3400"/>
            <w:shd w:fill="C00000" w:val="clear"/>
          </w:tcPr>
          <w:p>
            <w:r>
              <w:rPr>
                <w:b/>
                <w:bCs/>
                <w:color w:val="FFFFFF"/>
              </w:rPr>
              <w:t xml:space="preserve">% Offering Online Delivery</w:t>
            </w:r>
          </w:p>
        </w:tc>
      </w:tr>
      <w:tr>
        <w:tc>
          <w:tcPr>
            <w:tcW w:type="dxa" w:w="5600"/>
          </w:tcPr>
          <w:p>
            <w:r>
              <w:t xml:space="preserve">United Arab Emirates</w:t>
            </w:r>
          </w:p>
        </w:tc>
        <w:tc>
          <w:tcPr>
            <w:tcW w:type="dxa" w:w="3400"/>
          </w:tcPr>
          <w:p>
            <w:r>
              <w:t xml:space="preserve">46.67%</w:t>
            </w:r>
          </w:p>
        </w:tc>
      </w:tr>
      <w:tr>
        <w:tc>
          <w:tcPr>
            <w:tcW w:type="dxa" w:w="5600"/>
          </w:tcPr>
          <w:p>
            <w:r>
              <w:t xml:space="preserve">India</w:t>
            </w:r>
          </w:p>
        </w:tc>
        <w:tc>
          <w:tcPr>
            <w:tcW w:type="dxa" w:w="3400"/>
          </w:tcPr>
          <w:p>
            <w:r>
              <w:t xml:space="preserve">28.01%</w:t>
            </w:r>
          </w:p>
        </w:tc>
      </w:tr>
      <w:tr>
        <w:tc>
          <w:tcPr>
            <w:tcW w:type="dxa" w:w="5600"/>
          </w:tcPr>
          <w:p>
            <w:r>
              <w:t xml:space="preserve">All other 13 countries</w:t>
            </w:r>
          </w:p>
        </w:tc>
        <w:tc>
          <w:tcPr>
            <w:tcW w:type="dxa" w:w="3400"/>
          </w:tcPr>
          <w:p>
            <w:r>
              <w:t xml:space="preserve">0.00%</w:t>
            </w:r>
          </w:p>
        </w:tc>
      </w:tr>
    </w:tbl>
    <w:p>
      <w:pPr>
        <w:pStyle w:val="Heading2"/>
        <w:spacing w:after="120" w:before="260"/>
      </w:pPr>
      <w:r>
        <w:t xml:space="preserve">3. City &amp; Locality Concentration in India</w:t>
      </w:r>
    </w:p>
    <w:p>
      <w:pPr>
        <w:spacing w:after="160"/>
      </w:pPr>
      <w:r>
        <w:t xml:space="preserve">Since India makes up over 90% of the dataset, locality-level detail was analyzed within India specifically. New Delhi's Connaught Place is by a wide margin the most saturated locality in the dataset, with 122 listed restaurants — followed by four more New Delhi localities (Rajouri Garden, Shahdara, Defence Colony, Pitampura) that each host 80–99 restaurants. New Delhi's dominance of the top-5 list suggests it is Zomato's most mature Indian market by listing density.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00"/>
      </w:tblGrid>
      <w:tr>
        <w:trPr>
          <w:tblHeader/>
        </w:trPr>
        <w:tc>
          <w:tcPr>
            <w:tcW w:type="dxa" w:w="3000"/>
            <w:shd w:fill="C00000" w:val="clear"/>
          </w:tcPr>
          <w:p>
            <w:r>
              <w:rPr>
                <w:b/>
                <w:bCs/>
                <w:color w:val="FFFFFF"/>
              </w:rPr>
              <w:t xml:space="preserve">City</w:t>
            </w:r>
          </w:p>
        </w:tc>
        <w:tc>
          <w:tcPr>
            <w:tcW w:type="dxa" w:w="3600"/>
            <w:shd w:fill="C00000" w:val="clear"/>
          </w:tcPr>
          <w:p>
            <w:r>
              <w:rPr>
                <w:b/>
                <w:bCs/>
                <w:color w:val="FFFFFF"/>
              </w:rPr>
              <w:t xml:space="preserve">Locality</w:t>
            </w:r>
          </w:p>
        </w:tc>
        <w:tc>
          <w:tcPr>
            <w:tcW w:type="dxa" w:w="2400"/>
            <w:shd w:fill="C00000" w:val="clear"/>
          </w:tcPr>
          <w:p>
            <w:r>
              <w:rPr>
                <w:b/>
                <w:bCs/>
                <w:color w:val="FFFFFF"/>
              </w:rPr>
              <w:t xml:space="preserve">Restaurant Count</w:t>
            </w:r>
          </w:p>
        </w:tc>
      </w:tr>
      <w:tr>
        <w:tc>
          <w:tcPr>
            <w:tcW w:type="dxa" w:w="3000"/>
          </w:tcPr>
          <w:p>
            <w:r>
              <w:t xml:space="preserve">New Delhi</w:t>
            </w:r>
          </w:p>
        </w:tc>
        <w:tc>
          <w:tcPr>
            <w:tcW w:type="dxa" w:w="3600"/>
          </w:tcPr>
          <w:p>
            <w:r>
              <w:t xml:space="preserve">Connaught Place</w:t>
            </w:r>
          </w:p>
        </w:tc>
        <w:tc>
          <w:tcPr>
            <w:tcW w:type="dxa" w:w="2400"/>
          </w:tcPr>
          <w:p>
            <w:r>
              <w:t xml:space="preserve">122</w:t>
            </w:r>
          </w:p>
        </w:tc>
      </w:tr>
      <w:tr>
        <w:tc>
          <w:tcPr>
            <w:tcW w:type="dxa" w:w="3000"/>
          </w:tcPr>
          <w:p>
            <w:r>
              <w:t xml:space="preserve">New Delhi</w:t>
            </w:r>
          </w:p>
        </w:tc>
        <w:tc>
          <w:tcPr>
            <w:tcW w:type="dxa" w:w="3600"/>
          </w:tcPr>
          <w:p>
            <w:r>
              <w:t xml:space="preserve">Rajouri Garden</w:t>
            </w:r>
          </w:p>
        </w:tc>
        <w:tc>
          <w:tcPr>
            <w:tcW w:type="dxa" w:w="2400"/>
          </w:tcPr>
          <w:p>
            <w:r>
              <w:t xml:space="preserve">99</w:t>
            </w:r>
          </w:p>
        </w:tc>
      </w:tr>
      <w:tr>
        <w:tc>
          <w:tcPr>
            <w:tcW w:type="dxa" w:w="3000"/>
          </w:tcPr>
          <w:p>
            <w:r>
              <w:t xml:space="preserve">New Delhi</w:t>
            </w:r>
          </w:p>
        </w:tc>
        <w:tc>
          <w:tcPr>
            <w:tcW w:type="dxa" w:w="3600"/>
          </w:tcPr>
          <w:p>
            <w:r>
              <w:t xml:space="preserve">Shahdara</w:t>
            </w:r>
          </w:p>
        </w:tc>
        <w:tc>
          <w:tcPr>
            <w:tcW w:type="dxa" w:w="2400"/>
          </w:tcPr>
          <w:p>
            <w:r>
              <w:t xml:space="preserve">87</w:t>
            </w:r>
          </w:p>
        </w:tc>
      </w:tr>
      <w:tr>
        <w:tc>
          <w:tcPr>
            <w:tcW w:type="dxa" w:w="3000"/>
          </w:tcPr>
          <w:p>
            <w:r>
              <w:t xml:space="preserve">New Delhi</w:t>
            </w:r>
          </w:p>
        </w:tc>
        <w:tc>
          <w:tcPr>
            <w:tcW w:type="dxa" w:w="3600"/>
          </w:tcPr>
          <w:p>
            <w:r>
              <w:t xml:space="preserve">Defence Colony</w:t>
            </w:r>
          </w:p>
        </w:tc>
        <w:tc>
          <w:tcPr>
            <w:tcW w:type="dxa" w:w="2400"/>
          </w:tcPr>
          <w:p>
            <w:r>
              <w:t xml:space="preserve">86</w:t>
            </w:r>
          </w:p>
        </w:tc>
      </w:tr>
      <w:tr>
        <w:tc>
          <w:tcPr>
            <w:tcW w:type="dxa" w:w="3000"/>
          </w:tcPr>
          <w:p>
            <w:r>
              <w:t xml:space="preserve">New Delhi</w:t>
            </w:r>
          </w:p>
        </w:tc>
        <w:tc>
          <w:tcPr>
            <w:tcW w:type="dxa" w:w="3600"/>
          </w:tcPr>
          <w:p>
            <w:r>
              <w:t xml:space="preserve">Pitampura</w:t>
            </w:r>
          </w:p>
        </w:tc>
        <w:tc>
          <w:tcPr>
            <w:tcW w:type="dxa" w:w="2400"/>
          </w:tcPr>
          <w:p>
            <w:r>
              <w:t xml:space="preserve">85</w:t>
            </w:r>
          </w:p>
        </w:tc>
      </w:tr>
    </w:tbl>
    <w:p>
      <w:pPr>
        <w:spacing w:after="160"/>
      </w:pPr>
      <w:r>
        <w:t xml:space="preserve">At the opposite extreme, 269 localities across India — spanning smaller cities like Pune, Secunderabad, Surat, and Puducherry — have only a single listed restaurant each, reflecting Zomato's long tail of minimally-penetrated neighborhoods outside its core metro hubs.</w:t>
      </w:r>
    </w:p>
    <w:p>
      <w:pPr>
        <w:pStyle w:val="Heading2"/>
        <w:spacing w:after="120" w:before="260"/>
      </w:pPr>
      <w:r>
        <w:t xml:space="preserve">4. Cuisine Profile of the Busiest Locality (Connaught Place)</w:t>
      </w:r>
    </w:p>
    <w:p>
      <w:pPr>
        <w:spacing w:after="160"/>
      </w:pPr>
      <w:r>
        <w:t xml:space="preserve">Splitting Connaught Place's multi-cuisine listings into individual cuisine tags shows North Indian is by far the most common cuisine on offer (73 mentions across the locality's 122 restaurants), consistent with the broader Indian catalog where North Indian is also the single most-listed cuisine nationwide (3,946 mentions). Continental, Italian, and Chinese round out Connaught Place's next-most-common cuisines, reflecting a hub that mixes traditional Indian dining with a substantial international/fusion presence aimed at a cosmopolitan, high-footfall district.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C00000" w:val="clear"/>
          </w:tcPr>
          <w:p>
            <w:r>
              <w:rPr>
                <w:b/>
                <w:bCs/>
                <w:color w:val="FFFFFF"/>
              </w:rPr>
              <w:t xml:space="preserve">Cuisine</w:t>
            </w:r>
          </w:p>
        </w:tc>
        <w:tc>
          <w:tcPr>
            <w:tcW w:type="dxa" w:w="3400"/>
            <w:shd w:fill="C00000" w:val="clear"/>
          </w:tcPr>
          <w:p>
            <w:r>
              <w:rPr>
                <w:b/>
                <w:bCs/>
                <w:color w:val="FFFFFF"/>
              </w:rPr>
              <w:t xml:space="preserve">Mentions in Connaught Place</w:t>
            </w:r>
          </w:p>
        </w:tc>
      </w:tr>
      <w:tr>
        <w:tc>
          <w:tcPr>
            <w:tcW w:type="dxa" w:w="5600"/>
          </w:tcPr>
          <w:p>
            <w:r>
              <w:t xml:space="preserve">North Indian</w:t>
            </w:r>
          </w:p>
        </w:tc>
        <w:tc>
          <w:tcPr>
            <w:tcW w:type="dxa" w:w="3400"/>
          </w:tcPr>
          <w:p>
            <w:r>
              <w:t xml:space="preserve">73</w:t>
            </w:r>
          </w:p>
        </w:tc>
      </w:tr>
      <w:tr>
        <w:tc>
          <w:tcPr>
            <w:tcW w:type="dxa" w:w="5600"/>
          </w:tcPr>
          <w:p>
            <w:r>
              <w:t xml:space="preserve">Continental</w:t>
            </w:r>
          </w:p>
        </w:tc>
        <w:tc>
          <w:tcPr>
            <w:tcW w:type="dxa" w:w="3400"/>
          </w:tcPr>
          <w:p>
            <w:r>
              <w:t xml:space="preserve">34</w:t>
            </w:r>
          </w:p>
        </w:tc>
      </w:tr>
      <w:tr>
        <w:tc>
          <w:tcPr>
            <w:tcW w:type="dxa" w:w="5600"/>
          </w:tcPr>
          <w:p>
            <w:r>
              <w:t xml:space="preserve">Italian</w:t>
            </w:r>
          </w:p>
        </w:tc>
        <w:tc>
          <w:tcPr>
            <w:tcW w:type="dxa" w:w="3400"/>
          </w:tcPr>
          <w:p>
            <w:r>
              <w:t xml:space="preserve">33</w:t>
            </w:r>
          </w:p>
        </w:tc>
      </w:tr>
      <w:tr>
        <w:tc>
          <w:tcPr>
            <w:tcW w:type="dxa" w:w="5600"/>
          </w:tcPr>
          <w:p>
            <w:r>
              <w:t xml:space="preserve">Chinese</w:t>
            </w:r>
          </w:p>
        </w:tc>
        <w:tc>
          <w:tcPr>
            <w:tcW w:type="dxa" w:w="3400"/>
          </w:tcPr>
          <w:p>
            <w:r>
              <w:t xml:space="preserve">32</w:t>
            </w:r>
          </w:p>
        </w:tc>
      </w:tr>
      <w:tr>
        <w:tc>
          <w:tcPr>
            <w:tcW w:type="dxa" w:w="5600"/>
          </w:tcPr>
          <w:p>
            <w:r>
              <w:t xml:space="preserve">Fast Food</w:t>
            </w:r>
          </w:p>
        </w:tc>
        <w:tc>
          <w:tcPr>
            <w:tcW w:type="dxa" w:w="3400"/>
          </w:tcPr>
          <w:p>
            <w:r>
              <w:t xml:space="preserve">21</w:t>
            </w:r>
          </w:p>
        </w:tc>
      </w:tr>
      <w:tr>
        <w:tc>
          <w:tcPr>
            <w:tcW w:type="dxa" w:w="5600"/>
          </w:tcPr>
          <w:p>
            <w:r>
              <w:t xml:space="preserve">Mughlai</w:t>
            </w:r>
          </w:p>
        </w:tc>
        <w:tc>
          <w:tcPr>
            <w:tcW w:type="dxa" w:w="3400"/>
          </w:tcPr>
          <w:p>
            <w:r>
              <w:t xml:space="preserve">17</w:t>
            </w:r>
          </w:p>
        </w:tc>
      </w:tr>
    </w:tbl>
    <w:p>
      <w:pPr>
        <w:pStyle w:val="Heading2"/>
        <w:spacing w:after="120" w:before="260"/>
      </w:pPr>
      <w:r>
        <w:t xml:space="preserve">5. Table Booking &amp; Its Effect on Ratings (Connaught Place)</w:t>
      </w:r>
    </w:p>
    <w:p>
      <w:pPr>
        <w:spacing w:after="160"/>
      </w:pPr>
      <w:r>
        <w:t xml:space="preserve">Within Connaught Place, 54 of 122 restaurants (44.3%) offer table booking. Restaurants that offer table booking average a 3.84 rating, compared to 3.61 for those that don't — a modest but consistent gap suggesting that restaurants investing in a table-booking service tend to also invest more broadly in the customer experience, or that reservation-taking venues skew toward a higher-end, better-reviewed segment.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800"/>
      </w:tblGrid>
      <w:tr>
        <w:trPr>
          <w:tblHeader/>
        </w:trPr>
        <w:tc>
          <w:tcPr>
            <w:tcW w:type="dxa" w:w="3600"/>
            <w:shd w:fill="C00000" w:val="clear"/>
          </w:tcPr>
          <w:p>
            <w:r>
              <w:rPr>
                <w:b/>
                <w:bCs/>
                <w:color w:val="FFFFFF"/>
              </w:rPr>
              <w:t xml:space="preserve">Table Booking</w:t>
            </w:r>
          </w:p>
        </w:tc>
        <w:tc>
          <w:tcPr>
            <w:tcW w:type="dxa" w:w="3000"/>
            <w:shd w:fill="C00000" w:val="clear"/>
          </w:tcPr>
          <w:p>
            <w:r>
              <w:rPr>
                <w:b/>
                <w:bCs/>
                <w:color w:val="FFFFFF"/>
              </w:rPr>
              <w:t xml:space="preserve">Restaurant Count</w:t>
            </w:r>
          </w:p>
        </w:tc>
        <w:tc>
          <w:tcPr>
            <w:tcW w:type="dxa" w:w="2800"/>
            <w:shd w:fill="C00000" w:val="clear"/>
          </w:tcPr>
          <w:p>
            <w:r>
              <w:rPr>
                <w:b/>
                <w:bCs/>
                <w:color w:val="FFFFFF"/>
              </w:rPr>
              <w:t xml:space="preserve">Average Rating</w:t>
            </w:r>
          </w:p>
        </w:tc>
      </w:tr>
      <w:tr>
        <w:tc>
          <w:tcPr>
            <w:tcW w:type="dxa" w:w="3600"/>
          </w:tcPr>
          <w:p>
            <w:r>
              <w:t xml:space="preserve">Offered</w:t>
            </w:r>
          </w:p>
        </w:tc>
        <w:tc>
          <w:tcPr>
            <w:tcW w:type="dxa" w:w="3000"/>
          </w:tcPr>
          <w:p>
            <w:r>
              <w:t xml:space="preserve">54</w:t>
            </w:r>
          </w:p>
        </w:tc>
        <w:tc>
          <w:tcPr>
            <w:tcW w:type="dxa" w:w="2800"/>
          </w:tcPr>
          <w:p>
            <w:r>
              <w:t xml:space="preserve">3.84</w:t>
            </w:r>
          </w:p>
        </w:tc>
      </w:tr>
      <w:tr>
        <w:tc>
          <w:tcPr>
            <w:tcW w:type="dxa" w:w="3600"/>
          </w:tcPr>
          <w:p>
            <w:r>
              <w:t xml:space="preserve">Not Offered</w:t>
            </w:r>
          </w:p>
        </w:tc>
        <w:tc>
          <w:tcPr>
            <w:tcW w:type="dxa" w:w="3000"/>
          </w:tcPr>
          <w:p>
            <w:r>
              <w:t xml:space="preserve">68</w:t>
            </w:r>
          </w:p>
        </w:tc>
        <w:tc>
          <w:tcPr>
            <w:tcW w:type="dxa" w:w="2800"/>
          </w:tcPr>
          <w:p>
            <w:r>
              <w:t xml:space="preserve">3.61</w:t>
            </w:r>
          </w:p>
        </w:tc>
      </w:tr>
    </w:tbl>
    <w:p>
      <w:pPr>
        <w:pStyle w:val="Heading2"/>
        <w:spacing w:after="120" w:before="260"/>
      </w:pPr>
      <w:r>
        <w:t xml:space="preserve">6. Rating Distribution &amp; Category Breakdown</w:t>
      </w:r>
    </w:p>
    <w:p>
      <w:pPr>
        <w:spacing w:after="160"/>
      </w:pPr>
      <w:r>
        <w:t xml:space="preserve">Across the full catalog, ratings cluster in the middle of the scale: 39.1% of restaurants fall into the “Good” tier (2.5–3.4) and 33.3% into “Great” (3.5–4.4), while 24.4% rate as “Poor” (1.0–2.4) and only 3.2% achieve “Excellent” (4.5+). This means true standout restaurants — by rating alone — are rare, and the bulk of the catalog sits in an average-to-good middle band.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rPr>
          <w:tblHeader/>
        </w:trPr>
        <w:tc>
          <w:tcPr>
            <w:tcW w:type="dxa" w:w="2400"/>
            <w:shd w:fill="C00000" w:val="clear"/>
          </w:tcPr>
          <w:p>
            <w:r>
              <w:rPr>
                <w:b/>
                <w:bCs/>
                <w:color w:val="FFFFFF"/>
              </w:rPr>
              <w:t xml:space="preserve">Rating Tier</w:t>
            </w:r>
          </w:p>
        </w:tc>
        <w:tc>
          <w:tcPr>
            <w:tcW w:type="dxa" w:w="2400"/>
            <w:shd w:fill="C00000" w:val="clear"/>
          </w:tcPr>
          <w:p>
            <w:r>
              <w:rPr>
                <w:b/>
                <w:bCs/>
                <w:color w:val="FFFFFF"/>
              </w:rPr>
              <w:t xml:space="preserve">Rating Range</w:t>
            </w:r>
          </w:p>
        </w:tc>
        <w:tc>
          <w:tcPr>
            <w:tcW w:type="dxa" w:w="2400"/>
            <w:shd w:fill="C00000" w:val="clear"/>
          </w:tcPr>
          <w:p>
            <w:r>
              <w:rPr>
                <w:b/>
                <w:bCs/>
                <w:color w:val="FFFFFF"/>
              </w:rPr>
              <w:t xml:space="preserve">Restaurant Count</w:t>
            </w:r>
          </w:p>
        </w:tc>
        <w:tc>
          <w:tcPr>
            <w:tcW w:type="dxa" w:w="1800"/>
            <w:shd w:fill="C00000" w:val="clear"/>
          </w:tcPr>
          <w:p>
            <w:r>
              <w:rPr>
                <w:b/>
                <w:bCs/>
                <w:color w:val="FFFFFF"/>
              </w:rPr>
              <w:t xml:space="preserve">% of Catalog</w:t>
            </w:r>
          </w:p>
        </w:tc>
      </w:tr>
      <w:tr>
        <w:tc>
          <w:tcPr>
            <w:tcW w:type="dxa" w:w="2400"/>
          </w:tcPr>
          <w:p>
            <w:r>
              <w:t xml:space="preserve">Excellent</w:t>
            </w:r>
          </w:p>
        </w:tc>
        <w:tc>
          <w:tcPr>
            <w:tcW w:type="dxa" w:w="2400"/>
          </w:tcPr>
          <w:p>
            <w:r>
              <w:t xml:space="preserve">4.5 – 4.9</w:t>
            </w:r>
          </w:p>
        </w:tc>
        <w:tc>
          <w:tcPr>
            <w:tcW w:type="dxa" w:w="2400"/>
          </w:tcPr>
          <w:p>
            <w:r>
              <w:t xml:space="preserve">301</w:t>
            </w:r>
          </w:p>
        </w:tc>
        <w:tc>
          <w:tcPr>
            <w:tcW w:type="dxa" w:w="1800"/>
          </w:tcPr>
          <w:p>
            <w:r>
              <w:t xml:space="preserve">3.2%</w:t>
            </w:r>
          </w:p>
        </w:tc>
      </w:tr>
      <w:tr>
        <w:tc>
          <w:tcPr>
            <w:tcW w:type="dxa" w:w="2400"/>
          </w:tcPr>
          <w:p>
            <w:r>
              <w:t xml:space="preserve">Great</w:t>
            </w:r>
          </w:p>
        </w:tc>
        <w:tc>
          <w:tcPr>
            <w:tcW w:type="dxa" w:w="2400"/>
          </w:tcPr>
          <w:p>
            <w:r>
              <w:t xml:space="preserve">3.5 – 4.4</w:t>
            </w:r>
          </w:p>
        </w:tc>
        <w:tc>
          <w:tcPr>
            <w:tcW w:type="dxa" w:w="2400"/>
          </w:tcPr>
          <w:p>
            <w:r>
              <w:t xml:space="preserve">3,179</w:t>
            </w:r>
          </w:p>
        </w:tc>
        <w:tc>
          <w:tcPr>
            <w:tcW w:type="dxa" w:w="1800"/>
          </w:tcPr>
          <w:p>
            <w:r>
              <w:t xml:space="preserve">33.3%</w:t>
            </w:r>
          </w:p>
        </w:tc>
      </w:tr>
      <w:tr>
        <w:tc>
          <w:tcPr>
            <w:tcW w:type="dxa" w:w="2400"/>
          </w:tcPr>
          <w:p>
            <w:r>
              <w:t xml:space="preserve">Good</w:t>
            </w:r>
          </w:p>
        </w:tc>
        <w:tc>
          <w:tcPr>
            <w:tcW w:type="dxa" w:w="2400"/>
          </w:tcPr>
          <w:p>
            <w:r>
              <w:t xml:space="preserve">2.5 – 3.4</w:t>
            </w:r>
          </w:p>
        </w:tc>
        <w:tc>
          <w:tcPr>
            <w:tcW w:type="dxa" w:w="2400"/>
          </w:tcPr>
          <w:p>
            <w:r>
              <w:t xml:space="preserve">3,737</w:t>
            </w:r>
          </w:p>
        </w:tc>
        <w:tc>
          <w:tcPr>
            <w:tcW w:type="dxa" w:w="1800"/>
          </w:tcPr>
          <w:p>
            <w:r>
              <w:t xml:space="preserve">39.1%</w:t>
            </w:r>
          </w:p>
        </w:tc>
      </w:tr>
      <w:tr>
        <w:tc>
          <w:tcPr>
            <w:tcW w:type="dxa" w:w="2400"/>
          </w:tcPr>
          <w:p>
            <w:r>
              <w:t xml:space="preserve">Poor</w:t>
            </w:r>
          </w:p>
        </w:tc>
        <w:tc>
          <w:tcPr>
            <w:tcW w:type="dxa" w:w="2400"/>
          </w:tcPr>
          <w:p>
            <w:r>
              <w:t xml:space="preserve">1.0 – 2.4</w:t>
            </w:r>
          </w:p>
        </w:tc>
        <w:tc>
          <w:tcPr>
            <w:tcW w:type="dxa" w:w="2400"/>
          </w:tcPr>
          <w:p>
            <w:r>
              <w:t xml:space="preserve">2,334</w:t>
            </w:r>
          </w:p>
        </w:tc>
        <w:tc>
          <w:tcPr>
            <w:tcW w:type="dxa" w:w="1800"/>
          </w:tcPr>
          <w:p>
            <w:r>
              <w:t xml:space="preserve">24.4%</w:t>
            </w:r>
          </w:p>
        </w:tc>
      </w:tr>
    </w:tbl>
    <w:p>
      <w:pPr>
        <w:pStyle w:val="Heading2"/>
        <w:spacing w:after="120" w:before="260"/>
      </w:pPr>
      <w:r>
        <w:t xml:space="preserve">7. Price Range vs. High Ratings &amp; Table Booking</w:t>
      </w:r>
    </w:p>
    <w:p>
      <w:pPr>
        <w:spacing w:after="160"/>
      </w:pPr>
      <w:r>
        <w:t xml:space="preserve">Looking only at restaurants rated 4.5 or above that also offer table booking, the count rises sharply with price range: just 3 such restaurants sit at price range 2, versus 26 at price range 3 and 16 at price range 4. Top-rated, reservation-taking restaurants are concentrated in the higher price tiers — unsurprising given table booking itself is more common at higher-end venues, but a useful confirmation that price range 3–4 is where Zomato's most consistently excellent, bookable dining experiences 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C00000" w:val="clear"/>
          </w:tcPr>
          <w:p>
            <w:r>
              <w:rPr>
                <w:b/>
                <w:bCs/>
                <w:color w:val="FFFFFF"/>
              </w:rPr>
              <w:t xml:space="preserve">Price Range</w:t>
            </w:r>
          </w:p>
        </w:tc>
        <w:tc>
          <w:tcPr>
            <w:tcW w:type="dxa" w:w="3400"/>
            <w:shd w:fill="C00000" w:val="clear"/>
          </w:tcPr>
          <w:p>
            <w:r>
              <w:rPr>
                <w:b/>
                <w:bCs/>
                <w:color w:val="FFFFFF"/>
              </w:rPr>
              <w:t xml:space="preserve">Count of High-Rated (≥4.5), Bookable Restaurants</w:t>
            </w:r>
          </w:p>
        </w:tc>
      </w:tr>
      <w:tr>
        <w:tc>
          <w:tcPr>
            <w:tcW w:type="dxa" w:w="5600"/>
          </w:tcPr>
          <w:p>
            <w:r>
              <w:t xml:space="preserve">2 (Moderate)</w:t>
            </w:r>
          </w:p>
        </w:tc>
        <w:tc>
          <w:tcPr>
            <w:tcW w:type="dxa" w:w="3400"/>
          </w:tcPr>
          <w:p>
            <w:r>
              <w:t xml:space="preserve">3</w:t>
            </w:r>
          </w:p>
        </w:tc>
      </w:tr>
      <w:tr>
        <w:tc>
          <w:tcPr>
            <w:tcW w:type="dxa" w:w="5600"/>
          </w:tcPr>
          <w:p>
            <w:r>
              <w:t xml:space="preserve">3 (Upscale)</w:t>
            </w:r>
          </w:p>
        </w:tc>
        <w:tc>
          <w:tcPr>
            <w:tcW w:type="dxa" w:w="3400"/>
          </w:tcPr>
          <w:p>
            <w:r>
              <w:t xml:space="preserve">26</w:t>
            </w:r>
          </w:p>
        </w:tc>
      </w:tr>
      <w:tr>
        <w:tc>
          <w:tcPr>
            <w:tcW w:type="dxa" w:w="5600"/>
          </w:tcPr>
          <w:p>
            <w:r>
              <w:t xml:space="preserve">4 (Premium)</w:t>
            </w:r>
          </w:p>
        </w:tc>
        <w:tc>
          <w:tcPr>
            <w:tcW w:type="dxa" w:w="3400"/>
          </w:tcPr>
          <w:p>
            <w:r>
              <w:t xml:space="preserve">16</w:t>
            </w:r>
          </w:p>
        </w:tc>
      </w:tr>
    </w:tbl>
    <w:p>
      <w:pPr>
        <w:pStyle w:val="Heading2"/>
        <w:spacing w:after="120" w:before="260"/>
      </w:pPr>
      <w:r>
        <w:t xml:space="preserve">8. Best Value-for-Money Recommendations</w:t>
      </w:r>
    </w:p>
    <w:p>
      <w:pPr>
        <w:spacing w:after="160"/>
      </w:pPr>
      <w:r>
        <w:t xml:space="preserve">Filtering for Indian restaurants that offer both table booking and online delivery, sit at price range 3 or below, have over 1,000 votes, cost under 1,000 for two, and rate above 4.0 — a “best of both worlds” filter for quality, popularity, and affordability — narrows the entire 8,652-restaurant Indian catalog down to just two standout listings.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2000"/>
        <w:gridCol w:w="800"/>
      </w:tblGrid>
      <w:tr>
        <w:trPr>
          <w:tblHeader/>
        </w:trPr>
        <w:tc>
          <w:tcPr>
            <w:tcW w:type="dxa" w:w="2600"/>
            <w:shd w:fill="C00000" w:val="clear"/>
          </w:tcPr>
          <w:p>
            <w:r>
              <w:rPr>
                <w:b/>
                <w:bCs/>
                <w:color w:val="FFFFFF"/>
              </w:rPr>
              <w:t xml:space="preserve">Restaurant</w:t>
            </w:r>
          </w:p>
        </w:tc>
        <w:tc>
          <w:tcPr>
            <w:tcW w:type="dxa" w:w="2200"/>
            <w:shd w:fill="C00000" w:val="clear"/>
          </w:tcPr>
          <w:p>
            <w:r>
              <w:rPr>
                <w:b/>
                <w:bCs/>
                <w:color w:val="FFFFFF"/>
              </w:rPr>
              <w:t xml:space="preserve">City</w:t>
            </w:r>
          </w:p>
        </w:tc>
        <w:tc>
          <w:tcPr>
            <w:tcW w:type="dxa" w:w="1400"/>
            <w:shd w:fill="C00000" w:val="clear"/>
          </w:tcPr>
          <w:p>
            <w:r>
              <w:rPr>
                <w:b/>
                <w:bCs/>
                <w:color w:val="FFFFFF"/>
              </w:rPr>
              <w:t xml:space="preserve">Votes</w:t>
            </w:r>
          </w:p>
        </w:tc>
        <w:tc>
          <w:tcPr>
            <w:tcW w:type="dxa" w:w="2000"/>
            <w:shd w:fill="C00000" w:val="clear"/>
          </w:tcPr>
          <w:p>
            <w:r>
              <w:rPr>
                <w:b/>
                <w:bCs/>
                <w:color w:val="FFFFFF"/>
              </w:rPr>
              <w:t xml:space="preserve">Avg. Cost for Two</w:t>
            </w:r>
          </w:p>
        </w:tc>
        <w:tc>
          <w:tcPr>
            <w:tcW w:type="dxa" w:w="800"/>
            <w:shd w:fill="C00000" w:val="clear"/>
          </w:tcPr>
          <w:p>
            <w:r>
              <w:rPr>
                <w:b/>
                <w:bCs/>
                <w:color w:val="FFFFFF"/>
              </w:rPr>
              <w:t xml:space="preserve">Rating</w:t>
            </w:r>
          </w:p>
        </w:tc>
      </w:tr>
      <w:tr>
        <w:tc>
          <w:tcPr>
            <w:tcW w:type="dxa" w:w="2600"/>
          </w:tcPr>
          <w:p>
            <w:r>
              <w:t xml:space="preserve">India Restaurant</w:t>
            </w:r>
          </w:p>
        </w:tc>
        <w:tc>
          <w:tcPr>
            <w:tcW w:type="dxa" w:w="2200"/>
          </w:tcPr>
          <w:p>
            <w:r>
              <w:t xml:space="preserve">Kolkata</w:t>
            </w:r>
          </w:p>
        </w:tc>
        <w:tc>
          <w:tcPr>
            <w:tcW w:type="dxa" w:w="1400"/>
          </w:tcPr>
          <w:p>
            <w:r>
              <w:t xml:space="preserve">1,219</w:t>
            </w:r>
          </w:p>
        </w:tc>
        <w:tc>
          <w:tcPr>
            <w:tcW w:type="dxa" w:w="2000"/>
          </w:tcPr>
          <w:p>
            <w:r>
              <w:t xml:space="preserve">≈900</w:t>
            </w:r>
          </w:p>
        </w:tc>
        <w:tc>
          <w:tcPr>
            <w:tcW w:type="dxa" w:w="800"/>
          </w:tcPr>
          <w:p>
            <w:r>
              <w:t xml:space="preserve">4.6</w:t>
            </w:r>
          </w:p>
        </w:tc>
      </w:tr>
      <w:tr>
        <w:tc>
          <w:tcPr>
            <w:tcW w:type="dxa" w:w="2600"/>
          </w:tcPr>
          <w:p>
            <w:r>
              <w:t xml:space="preserve">Indus Flavour</w:t>
            </w:r>
          </w:p>
        </w:tc>
        <w:tc>
          <w:tcPr>
            <w:tcW w:type="dxa" w:w="2200"/>
          </w:tcPr>
          <w:p>
            <w:r>
              <w:t xml:space="preserve">New Delhi</w:t>
            </w:r>
          </w:p>
        </w:tc>
        <w:tc>
          <w:tcPr>
            <w:tcW w:type="dxa" w:w="1400"/>
          </w:tcPr>
          <w:p>
            <w:r>
              <w:t xml:space="preserve">1,384</w:t>
            </w:r>
          </w:p>
        </w:tc>
        <w:tc>
          <w:tcPr>
            <w:tcW w:type="dxa" w:w="2000"/>
          </w:tcPr>
          <w:p>
            <w:r>
              <w:t xml:space="preserve">≈950</w:t>
            </w:r>
          </w:p>
        </w:tc>
        <w:tc>
          <w:tcPr>
            <w:tcW w:type="dxa" w:w="800"/>
          </w:tcPr>
          <w:p>
            <w:r>
              <w:t xml:space="preserve">4.1</w:t>
            </w:r>
          </w:p>
        </w:tc>
      </w:tr>
    </w:tbl>
    <w:p>
      <w:pPr>
        <w:spacing w:after="160"/>
      </w:pPr>
      <w:r>
        <w:t xml:space="preserve">The rarity of matches here (2 out of 8,652) underscores how uncommon it is for a restaurant to combine full-service convenience (booking + delivery), strong popularity, high quality, and moderate pricing all at once — these two listings are genuine standouts worth highlighting in any “top picks” feature.</w:t>
      </w:r>
    </w:p>
    <w:p>
      <w:pPr>
        <w:pStyle w:val="Heading1"/>
        <w:spacing w:after="150" w:before="300"/>
      </w:pPr>
      <w:r>
        <w:t xml:space="preserve">Final Recommendations</w:t>
      </w:r>
    </w:p>
    <w:p>
      <w:pPr>
        <w:pStyle w:val="ListParagraph"/>
        <w:numPr>
          <w:ilvl w:val="0"/>
          <w:numId w:val="1"/>
        </w:numPr>
        <w:spacing w:after="80"/>
      </w:pPr>
      <w:r>
        <w:t xml:space="preserve">Treat India as the core market for any feature or analysis built on this dataset — it represents over 90% of listings, and conclusions from the other 14 countries individually rest on very small sample sizes (4–80 restaurants each).</w:t>
      </w:r>
    </w:p>
    <w:p>
      <w:pPr>
        <w:pStyle w:val="ListParagraph"/>
        <w:numPr>
          <w:ilvl w:val="0"/>
          <w:numId w:val="1"/>
        </w:numPr>
        <w:spacing w:after="80"/>
      </w:pPr>
      <w:r>
        <w:t xml:space="preserve">Investigate why online delivery is essentially absent outside India and the UAE — confirm whether this reflects a genuine product-availability gap or a data-capture limitation before using “has online delivery” as a feature in other markets.</w:t>
      </w:r>
    </w:p>
    <w:p>
      <w:pPr>
        <w:pStyle w:val="ListParagraph"/>
        <w:numPr>
          <w:ilvl w:val="0"/>
          <w:numId w:val="1"/>
        </w:numPr>
        <w:spacing w:after="80"/>
      </w:pPr>
      <w:r>
        <w:t xml:space="preserve">Use Connaught Place, New Delhi as a benchmark hub for competitive and cuisine-mix analysis, given its unmatched restaurant density (122 listings) and its role as a bellwether for North Indian and international-fusion dining trends.</w:t>
      </w:r>
    </w:p>
    <w:p>
      <w:pPr>
        <w:pStyle w:val="ListParagraph"/>
        <w:numPr>
          <w:ilvl w:val="0"/>
          <w:numId w:val="1"/>
        </w:numPr>
        <w:spacing w:after="80"/>
      </w:pPr>
      <w:r>
        <w:t xml:space="preserve">Encourage table-booking adoption among unlisted restaurants in dense localities — the rating gap (3.84 vs. 3.61 in Connaught Place) suggests reservation capability correlates with a better customer experience, making it a reasonable feature to promote to partner restaurants.</w:t>
      </w:r>
    </w:p>
    <w:p>
      <w:pPr>
        <w:pStyle w:val="ListParagraph"/>
        <w:numPr>
          <w:ilvl w:val="0"/>
          <w:numId w:val="1"/>
        </w:numPr>
        <w:spacing w:after="80"/>
      </w:pPr>
      <w:r>
        <w:t xml:space="preserve">Fix the source-data issues identified during cleaning — the comma-in-restaurant-name import bug and the accented-character encoding artifacts — at the ETL stage so future refreshes don't require the same manual repair.</w:t>
      </w:r>
    </w:p>
    <w:p>
      <w:pPr>
        <w:pStyle w:val="ListParagraph"/>
        <w:numPr>
          <w:ilvl w:val="0"/>
          <w:numId w:val="1"/>
        </w:numPr>
        <w:spacing w:after="80"/>
      </w:pPr>
      <w:r>
        <w:t xml:space="preserve">Feature the small set of restaurants combining high rating, high votes, moderate cost, table booking, and online delivery (like India Restaurant and Indus Flavour) as flagship “best value” recommendations, since this combination is extremely rare across the catalog.</w:t>
      </w:r>
    </w:p>
    <w:p>
      <w:pPr>
        <w:pBdr>
          <w:bottom w:val="single" w:color="AAAAAA" w:sz="6" w:space="1"/>
        </w:pBdr>
        <w:spacing w:after="200"/>
      </w:pPr>
    </w:p>
    <w:p>
      <w:r>
        <w:rPr>
          <w:i/>
          <w:iCs/>
          <w:color w:val="555555"/>
        </w:rPr>
        <w:t xml:space="preserve">Analysis performed in Microsoft SQL Server — see ZOMATO_DATA_EXPLORATION.sql for data cleaning and preparation, ZOMATO_DATA_ANALYSIS.sql for the analytical queries, and Zomato_Dataset.csv for the source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2026-08-02T16:44:38.694Z</dcterms:created>
  <dcterms:modified xsi:type="dcterms:W3CDTF">2026-08-02T16:44:38.713Z</dcterms:modified>
</cp:coreProperties>
</file>

<file path=docProps/custom.xml><?xml version="1.0" encoding="utf-8"?>
<Properties xmlns="http://schemas.openxmlformats.org/officeDocument/2006/custom-properties" xmlns:vt="http://schemas.openxmlformats.org/officeDocument/2006/docPropsVTypes"/>
</file>