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AgroAI: Project Report</w:t>
      </w:r>
    </w:p>
    <w:p>
      <w:pPr/>
      <w:r>
        <w:rPr>
          <w:i/>
        </w:rPr>
        <w:t xml:space="preserve">Multilingual AI-Powered Portal for Farmers with Integrated Data Structures &amp; Algorithms</w:t>
      </w:r>
    </w:p>
    <w:p>
      <w:pPr/>
      <w:r>
        <w:t xml:space="preserve">Oct 13, 2026</w:t>
      </w:r>
      <w:r>
        <w:t xml:space="preserve"> · </w:t>
      </w:r>
      <w:r>
        <w:t xml:space="preserve">@Saad Ansari</w:t>
      </w:r>
    </w:p>
    <w:p>
      <w:pPr>
        <w:pStyle w:val="Heading2"/>
      </w:pPr>
      <w:r>
        <w:t xml:space="preserve">1. Executive Summary</w:t>
      </w:r>
    </w:p>
    <w:p>
      <w:pPr/>
      <w:r>
        <w:t xml:space="preserve">AgroAI is a Flask web portal that gives farmers, including non-literate ones, AI advice on crops, soil, tools, tasks and money in Hindi, Chhattisgarhi and English.</w:t>
      </w:r>
    </w:p>
    <w:p>
      <w:pPr/>
      <w:r>
        <w:t xml:space="preserve">It combines Groq-hosted language models, voice input and spoken answers through the Web Speech API, and location-aware prompts. Classical data structures and algorithms power each decision module: crop rotation, fertilizer dosage, task priority, market ranking and the ledger.</w:t>
      </w:r>
    </w:p>
    <w:p>
      <w:pPr/>
      <w:r>
        <w:t xml:space="preserve">The interface is built for outdoor use. It uses a high-contrast, sunlight-readable palette of Forest Green (#1E5631) and Marigold Gold (#EAA81B), with subtle 6px rounded corners.</w:t>
      </w:r>
    </w:p>
    <w:p>
      <w:pPr>
        <w:pStyle w:val="Heading2"/>
      </w:pPr>
      <w:r>
        <w:t xml:space="preserve">2. System Architecture and Tech Stack</w:t>
      </w:r>
    </w:p>
    <w:p>
      <w:pPr/>
      <w:r>
        <w:t xml:space="preserve">A Flask backend serves HTML pages and JSON routes, calls the Groq API for advice, and stores data in SQLite. The browser handles voice input and spoken output.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Technology</w:t>
            </w:r>
          </w:p>
        </w:tc>
      </w:tr>
      <w:tr>
        <w:tc>
          <w:tcPr>
            <w:tcW w:w="4680" w:type="dxa"/>
          </w:tcPr>
          <w:p>
            <w:pPr/>
            <w:r>
              <w:t xml:space="preserve">Backend</w:t>
            </w:r>
          </w:p>
        </w:tc>
        <w:tc>
          <w:tcPr>
            <w:tcW w:w="4680" w:type="dxa"/>
          </w:tcPr>
          <w:p>
            <w:pPr/>
            <w:r>
              <w:t xml:space="preserve">Python 3.10+, Flask</w:t>
            </w:r>
          </w:p>
        </w:tc>
      </w:tr>
      <w:tr>
        <w:tc>
          <w:tcPr>
            <w:tcW w:w="4680" w:type="dxa"/>
          </w:tcPr>
          <w:p>
            <w:pPr/>
            <w:r>
              <w:t xml:space="preserve">Database</w:t>
            </w:r>
          </w:p>
        </w:tc>
        <w:tc>
          <w:tcPr>
            <w:tcW w:w="4680" w:type="dxa"/>
          </w:tcPr>
          <w:p>
            <w:pPr/>
            <w:r>
              <w:t xml:space="preserve">SQLite3</w:t>
            </w:r>
          </w:p>
        </w:tc>
      </w:tr>
      <w:tr>
        <w:tc>
          <w:tcPr>
            <w:tcW w:w="4680" w:type="dxa"/>
          </w:tcPr>
          <w:p>
            <w:pPr/>
            <w:r>
              <w:t xml:space="preserve">AI models</w:t>
            </w:r>
          </w:p>
        </w:tc>
        <w:tc>
          <w:tcPr>
            <w:tcW w:w="4680" w:type="dxa"/>
          </w:tcPr>
          <w:p>
            <w:pPr/>
            <w:r>
              <w:t xml:space="preserve">Groq API (qwen/qwen3.8-27b, openai/gpt-oss-120b)</w:t>
            </w:r>
          </w:p>
        </w:tc>
      </w:tr>
      <w:tr>
        <w:tc>
          <w:tcPr>
            <w:tcW w:w="4680" w:type="dxa"/>
          </w:tcPr>
          <w:p>
            <w:pPr/>
            <w:r>
              <w:t xml:space="preserve">Voice</w:t>
            </w:r>
          </w:p>
        </w:tc>
        <w:tc>
          <w:tcPr>
            <w:tcW w:w="4680" w:type="dxa"/>
          </w:tcPr>
          <w:p>
            <w:pPr/>
            <w:r>
              <w:t xml:space="preserve">Web Speech API: SpeechRecognition (speech to text), SpeechSynthesis (text to speech)</w:t>
            </w:r>
          </w:p>
        </w:tc>
      </w:tr>
      <w:tr>
        <w:tc>
          <w:tcPr>
            <w:tcW w:w="4680" w:type="dxa"/>
          </w:tcPr>
          <w:p>
            <w:pPr/>
            <w:r>
              <w:t xml:space="preserve">Frontend</w:t>
            </w:r>
          </w:p>
        </w:tc>
        <w:tc>
          <w:tcPr>
            <w:tcW w:w="4680" w:type="dxa"/>
          </w:tcPr>
          <w:p>
            <w:pPr/>
            <w:r>
              <w:t xml:space="preserve">HTML5, CSS3, Vanilla JavaScript (Fetch API)</w:t>
            </w:r>
          </w:p>
        </w:tc>
      </w:tr>
    </w:tbl>
    <w:p>
      <w:pPr/>
      <w:r>
        <w:t xml:space="preserve">Source code sits under </w:t>
      </w:r>
      <w:r>
        <w:rPr>
          <w:rStyle w:val="CodeChar"/>
        </w:rPr>
        <w:t xml:space="preserve">src/</w:t>
      </w:r>
      <w:r>
        <w:t xml:space="preserve">. The </w:t>
      </w:r>
      <w:r>
        <w:rPr>
          <w:rStyle w:val="CodeChar"/>
        </w:rPr>
        <w:t xml:space="preserve">dsa_core</w:t>
      </w:r>
      <w:r>
        <w:t xml:space="preserve"> package holds one module per algorithm.</w:t>
      </w:r>
    </w:p>
    <w:p>
      <w:pPr>
        <w:pStyle w:val="Code"/>
      </w:pPr>
      <w:bookmarkStart w:id="1" w:name="bongo_lang_text_1"/>
      <w:bookmarkEnd w:id="1"/>
      <w:r>
        <w:t xml:space="preserve">AgroAI/</w:t>
        <w:br/>
        <w:t xml:space="preserve">├── .env.example</w:t>
        <w:br/>
        <w:t xml:space="preserve">├── .gitignore</w:t>
        <w:br/>
        <w:t xml:space="preserve">├── README.md</w:t>
        <w:br/>
        <w:t xml:space="preserve">├── requirements.txt</w:t>
        <w:br/>
        <w:t xml:space="preserve">└── src/</w:t>
        <w:br/>
        <w:t xml:space="preserve">    ├── app/</w:t>
        <w:br/>
        <w:t xml:space="preserve">    │   ├── database/</w:t>
        <w:br/>
        <w:t xml:space="preserve">    │   │   ├── agro_ai.db</w:t>
        <w:br/>
        <w:t xml:space="preserve">    │   │   └── db_handler.py</w:t>
        <w:br/>
        <w:t xml:space="preserve">    │   ├── dsa_core/</w:t>
        <w:br/>
        <w:t xml:space="preserve">    │   │   ├── arrays_stacks.py</w:t>
        <w:br/>
        <w:t xml:space="preserve">    │   │   ├── graph_rotation.py</w:t>
        <w:br/>
        <w:t xml:space="preserve">    │   │   ├── hash_map.py</w:t>
        <w:br/>
        <w:t xml:space="preserve">    │   │   ├── linked_list.py</w:t>
        <w:br/>
        <w:t xml:space="preserve">    │   │   ├── npk_calculator.py</w:t>
        <w:br/>
        <w:t xml:space="preserve">    │   │   ├── priority_heap.py</w:t>
        <w:br/>
        <w:t xml:space="preserve">    │   │   └── sorting_searching.py</w:t>
        <w:br/>
        <w:t xml:space="preserve">    │   ├── static/</w:t>
        <w:br/>
        <w:t xml:space="preserve">    │   │   ├── css/style.css</w:t>
        <w:br/>
        <w:t xml:space="preserve">    │   │   └── js/main.js</w:t>
        <w:br/>
        <w:t xml:space="preserve">    │   ├── templates/</w:t>
        <w:br/>
        <w:t xml:space="preserve">    │   │   ├── base.html</w:t>
        <w:br/>
        <w:t xml:space="preserve">    │   │   ├── index.html</w:t>
        <w:br/>
        <w:t xml:space="preserve">    │   │   ├── ledger.html</w:t>
        <w:br/>
        <w:t xml:space="preserve">    │   │   ├── market.html</w:t>
        <w:br/>
        <w:t xml:space="preserve">    │   │   ├── recommendations.html</w:t>
        <w:br/>
        <w:t xml:space="preserve">    │   │   └── tools.html</w:t>
        <w:br/>
        <w:t xml:space="preserve">    │   ├── __init__.py</w:t>
        <w:br/>
        <w:t xml:space="preserve">    │   └── routes.py</w:t>
        <w:br/>
        <w:t xml:space="preserve">    └── run.py</w:t>
      </w:r>
    </w:p>
    <w:p>
      <w:pPr>
        <w:pStyle w:val="Heading2"/>
      </w:pPr>
      <w:r>
        <w:t xml:space="preserve">3. Data Structures and Algorithms Mapping</w:t>
      </w:r>
    </w:p>
    <w:p>
      <w:pPr/>
      <w:r>
        <w:t xml:space="preserve">Each functional module is built on a specific data structure or algorithm, listed below with its purpose and time complexity.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Module</w:t>
            </w:r>
          </w:p>
        </w:tc>
        <w:tc>
          <w:tcPr>
            <w:tcW w:w="2340" w:type="dxa"/>
            <w:shd w:val="clear" w:color="auto" w:fill="F2F2F2"/>
          </w:tcPr>
          <w:p>
            <w:pPr/>
            <w:r>
              <w:t xml:space="preserve">DSA concept</w:t>
            </w:r>
          </w:p>
        </w:tc>
        <w:tc>
          <w:tcPr>
            <w:tcW w:w="2340" w:type="dxa"/>
            <w:shd w:val="clear" w:color="auto" w:fill="F2F2F2"/>
          </w:tcPr>
          <w:p>
            <w:pPr/>
            <w:r>
              <w:t xml:space="preserve">Purpose</w:t>
            </w:r>
          </w:p>
        </w:tc>
        <w:tc>
          <w:tcPr>
            <w:tcW w:w="2340" w:type="dxa"/>
            <w:shd w:val="clear" w:color="auto" w:fill="F2F2F2"/>
          </w:tcPr>
          <w:p>
            <w:pPr/>
            <w:r>
              <w:t xml:space="preserve">Complexity</w:t>
            </w:r>
          </w:p>
        </w:tc>
      </w:tr>
      <w:tr>
        <w:tc>
          <w:tcPr>
            <w:tcW w:w="2340" w:type="dxa"/>
          </w:tcPr>
          <w:p>
            <w:pPr/>
            <w:r>
              <w:t xml:space="preserve">AI request processing</w:t>
            </w:r>
          </w:p>
        </w:tc>
        <w:tc>
          <w:tcPr>
            <w:tcW w:w="2340" w:type="dxa"/>
          </w:tcPr>
          <w:p>
            <w:pPr/>
            <w:r>
              <w:t xml:space="preserve">FIFO queue buffer</w:t>
            </w:r>
          </w:p>
        </w:tc>
        <w:tc>
          <w:tcPr>
            <w:tcW w:w="2340" w:type="dxa"/>
          </w:tcPr>
          <w:p>
            <w:pPr/>
            <w:r>
              <w:t xml:space="preserve">Queues incoming speech-to-text queries and processes them in order</w:t>
            </w:r>
          </w:p>
        </w:tc>
        <w:tc>
          <w:tcPr>
            <w:tcW w:w="2340" w:type="dxa"/>
          </w:tcPr>
          <w:p>
            <w:pPr/>
            <w:r>
              <w:t xml:space="preserve">O(1) enqueue and dequeue</w:t>
            </w:r>
          </w:p>
        </w:tc>
      </w:tr>
      <w:tr>
        <w:tc>
          <w:tcPr>
            <w:tcW w:w="2340" w:type="dxa"/>
          </w:tcPr>
          <w:p>
            <w:pPr/>
            <w:r>
              <w:t xml:space="preserve">My Crop Manager</w:t>
            </w:r>
          </w:p>
        </w:tc>
        <w:tc>
          <w:tcPr>
            <w:tcW w:w="2340" w:type="dxa"/>
          </w:tcPr>
          <w:p>
            <w:pPr/>
            <w:r>
              <w:t xml:space="preserve">Dynamic array (push, pop)</w:t>
            </w:r>
          </w:p>
        </w:tc>
        <w:tc>
          <w:tcPr>
            <w:tcW w:w="2340" w:type="dxa"/>
          </w:tcPr>
          <w:p>
            <w:pPr/>
            <w:r>
              <w:t xml:space="preserve">Holds the farmer's active crop list</w:t>
            </w:r>
          </w:p>
        </w:tc>
        <w:tc>
          <w:tcPr>
            <w:tcW w:w="2340" w:type="dxa"/>
          </w:tcPr>
          <w:p>
            <w:pPr/>
            <w:r>
              <w:t xml:space="preserve">O(1) push, O(N) pop</w:t>
            </w:r>
          </w:p>
        </w:tc>
      </w:tr>
      <w:tr>
        <w:tc>
          <w:tcPr>
            <w:tcW w:w="2340" w:type="dxa"/>
          </w:tcPr>
          <w:p>
            <w:pPr/>
            <w:r>
              <w:t xml:space="preserve">Crop rotation engine</w:t>
            </w:r>
          </w:p>
        </w:tc>
        <w:tc>
          <w:tcPr>
            <w:tcW w:w="2340" w:type="dxa"/>
          </w:tcPr>
          <w:p>
            <w:pPr/>
            <w:r>
              <w:t xml:space="preserve">Directed acyclic graph with BFS</w:t>
            </w:r>
          </w:p>
        </w:tc>
        <w:tc>
          <w:tcPr>
            <w:tcW w:w="2340" w:type="dxa"/>
          </w:tcPr>
          <w:p>
            <w:pPr/>
            <w:r>
              <w:t xml:space="preserve">Suggests successor crops by nitrogen restoration score</w:t>
            </w:r>
          </w:p>
        </w:tc>
        <w:tc>
          <w:tcPr>
            <w:tcW w:w="2340" w:type="dxa"/>
          </w:tcPr>
          <w:p>
            <w:pPr/>
            <w:r>
              <w:t xml:space="preserve">O(V + E)</w:t>
            </w:r>
          </w:p>
        </w:tc>
      </w:tr>
      <w:tr>
        <w:tc>
          <w:tcPr>
            <w:tcW w:w="2340" w:type="dxa"/>
          </w:tcPr>
          <w:p>
            <w:pPr/>
            <w:r>
              <w:t xml:space="preserve">Field task scheduler</w:t>
            </w:r>
          </w:p>
        </w:tc>
        <w:tc>
          <w:tcPr>
            <w:tcW w:w="2340" w:type="dxa"/>
          </w:tcPr>
          <w:p>
            <w:pPr/>
            <w:r>
              <w:t xml:space="preserve">Min-heap (priority queue)</w:t>
            </w:r>
          </w:p>
        </w:tc>
        <w:tc>
          <w:tcPr>
            <w:tcW w:w="2340" w:type="dxa"/>
          </w:tcPr>
          <w:p>
            <w:pPr/>
            <w:r>
              <w:t xml:space="preserve">Ranks urgent tasks such as irrigation and spraying by due date</w:t>
            </w:r>
          </w:p>
        </w:tc>
        <w:tc>
          <w:tcPr>
            <w:tcW w:w="2340" w:type="dxa"/>
          </w:tcPr>
          <w:p>
            <w:pPr/>
            <w:r>
              <w:t xml:space="preserve">O(log N) push, O(1) top</w:t>
            </w:r>
          </w:p>
        </w:tc>
      </w:tr>
      <w:tr>
        <w:tc>
          <w:tcPr>
            <w:tcW w:w="2340" w:type="dxa"/>
          </w:tcPr>
          <w:p>
            <w:pPr/>
            <w:r>
              <w:t xml:space="preserve">Soil N-P-K calculator</w:t>
            </w:r>
          </w:p>
        </w:tc>
        <w:tc>
          <w:tcPr>
            <w:tcW w:w="2340" w:type="dxa"/>
          </w:tcPr>
          <w:p>
            <w:pPr/>
            <w:r>
              <w:t xml:space="preserve">Multi-dimensional lookup array</w:t>
            </w:r>
          </w:p>
        </w:tc>
        <w:tc>
          <w:tcPr>
            <w:tcW w:w="2340" w:type="dxa"/>
          </w:tcPr>
          <w:p>
            <w:pPr/>
            <w:r>
              <w:t xml:space="preserve">Computes Urea and DAP dosage per acre for a chosen crop</w:t>
            </w:r>
          </w:p>
        </w:tc>
        <w:tc>
          <w:tcPr>
            <w:tcW w:w="2340" w:type="dxa"/>
          </w:tcPr>
          <w:p>
            <w:pPr/>
            <w:r>
              <w:t xml:space="preserve">O(1) direct indexing</w:t>
            </w:r>
          </w:p>
        </w:tc>
      </w:tr>
      <w:tr>
        <w:tc>
          <w:tcPr>
            <w:tcW w:w="2340" w:type="dxa"/>
          </w:tcPr>
          <w:p>
            <w:pPr/>
            <w:r>
              <w:t xml:space="preserve">Mandi price ranking</w:t>
            </w:r>
          </w:p>
        </w:tc>
        <w:tc>
          <w:tcPr>
            <w:tcW w:w="2340" w:type="dxa"/>
          </w:tcPr>
          <w:p>
            <w:pPr/>
            <w:r>
              <w:t xml:space="preserve">Merge sort</w:t>
            </w:r>
          </w:p>
        </w:tc>
        <w:tc>
          <w:tcPr>
            <w:tcW w:w="2340" w:type="dxa"/>
          </w:tcPr>
          <w:p>
            <w:pPr/>
            <w:r>
              <w:t xml:space="preserve">Sorts market prices in ascending or descending order</w:t>
            </w:r>
          </w:p>
        </w:tc>
        <w:tc>
          <w:tcPr>
            <w:tcW w:w="2340" w:type="dxa"/>
          </w:tcPr>
          <w:p>
            <w:pPr/>
            <w:r>
              <w:t xml:space="preserve">O(N log N) worst case</w:t>
            </w:r>
          </w:p>
        </w:tc>
      </w:tr>
      <w:tr>
        <w:tc>
          <w:tcPr>
            <w:tcW w:w="2340" w:type="dxa"/>
          </w:tcPr>
          <w:p>
            <w:pPr/>
            <w:r>
              <w:t xml:space="preserve">Crop search</w:t>
            </w:r>
          </w:p>
        </w:tc>
        <w:tc>
          <w:tcPr>
            <w:tcW w:w="2340" w:type="dxa"/>
          </w:tcPr>
          <w:p>
            <w:pPr/>
            <w:r>
              <w:t xml:space="preserve">Binary search</w:t>
            </w:r>
          </w:p>
        </w:tc>
        <w:tc>
          <w:tcPr>
            <w:tcW w:w="2340" w:type="dxa"/>
          </w:tcPr>
          <w:p>
            <w:pPr/>
            <w:r>
              <w:t xml:space="preserve">Matches crops in the sorted master database</w:t>
            </w:r>
          </w:p>
        </w:tc>
        <w:tc>
          <w:tcPr>
            <w:tcW w:w="2340" w:type="dxa"/>
          </w:tcPr>
          <w:p>
            <w:pPr/>
            <w:r>
              <w:t xml:space="preserve">O(log N)</w:t>
            </w:r>
          </w:p>
        </w:tc>
      </w:tr>
      <w:tr>
        <w:tc>
          <w:tcPr>
            <w:tcW w:w="2340" w:type="dxa"/>
          </w:tcPr>
          <w:p>
            <w:pPr/>
            <w:r>
              <w:t xml:space="preserve">Three-way advisory index</w:t>
            </w:r>
          </w:p>
        </w:tc>
        <w:tc>
          <w:tcPr>
            <w:tcW w:w="2340" w:type="dxa"/>
          </w:tcPr>
          <w:p>
            <w:pPr/>
            <w:r>
              <w:t xml:space="preserve">Hash map</w:t>
            </w:r>
          </w:p>
        </w:tc>
        <w:tc>
          <w:tcPr>
            <w:tcW w:w="2340" w:type="dxa"/>
          </w:tcPr>
          <w:p>
            <w:pPr/>
            <w:r>
              <w:t xml:space="preserve">Instant soil-to-crop and season-to-crop lookups</w:t>
            </w:r>
          </w:p>
        </w:tc>
        <w:tc>
          <w:tcPr>
            <w:tcW w:w="2340" w:type="dxa"/>
          </w:tcPr>
          <w:p>
            <w:pPr/>
            <w:r>
              <w:t xml:space="preserve">O(1) average</w:t>
            </w:r>
          </w:p>
        </w:tc>
      </w:tr>
      <w:tr>
        <w:tc>
          <w:tcPr>
            <w:tcW w:w="2340" w:type="dxa"/>
          </w:tcPr>
          <w:p>
            <w:pPr/>
            <w:r>
              <w:t xml:space="preserve">Financial ledger tracker</w:t>
            </w:r>
          </w:p>
        </w:tc>
        <w:tc>
          <w:tcPr>
            <w:tcW w:w="2340" w:type="dxa"/>
          </w:tcPr>
          <w:p>
            <w:pPr/>
            <w:r>
              <w:t xml:space="preserve">Singly linked list</w:t>
            </w:r>
          </w:p>
        </w:tc>
        <w:tc>
          <w:tcPr>
            <w:tcW w:w="2340" w:type="dxa"/>
          </w:tcPr>
          <w:p>
            <w:pPr/>
            <w:r>
              <w:t xml:space="preserve">Keeps transactions in order without array-shift cost</w:t>
            </w:r>
          </w:p>
        </w:tc>
        <w:tc>
          <w:tcPr>
            <w:tcW w:w="2340" w:type="dxa"/>
          </w:tcPr>
          <w:p>
            <w:pPr/>
            <w:r>
              <w:t xml:space="preserve">O(N) traversal</w:t>
            </w:r>
          </w:p>
        </w:tc>
      </w:tr>
      <w:tr>
        <w:tc>
          <w:tcPr>
            <w:tcW w:w="2340" w:type="dxa"/>
          </w:tcPr>
          <w:p>
            <w:pPr/>
            <w:r>
              <w:t xml:space="preserve">Budget tool calculator</w:t>
            </w:r>
          </w:p>
        </w:tc>
        <w:tc>
          <w:tcPr>
            <w:tcW w:w="2340" w:type="dxa"/>
          </w:tcPr>
          <w:p>
            <w:pPr/>
            <w:r>
              <w:t xml:space="preserve">Greedy selection with sorting</w:t>
            </w:r>
          </w:p>
        </w:tc>
        <w:tc>
          <w:tcPr>
            <w:tcW w:w="2340" w:type="dxa"/>
          </w:tcPr>
          <w:p>
            <w:pPr/>
            <w:r>
              <w:t xml:space="preserve">Picks farming equipment that fits the farmer's budget</w:t>
            </w:r>
          </w:p>
        </w:tc>
        <w:tc>
          <w:tcPr>
            <w:tcW w:w="2340" w:type="dxa"/>
          </w:tcPr>
          <w:p>
            <w:pPr/>
            <w:r>
              <w:t xml:space="preserve">O(N log N)</w:t>
            </w:r>
          </w:p>
        </w:tc>
      </w:tr>
    </w:tbl>
    <w:p>
      <w:pPr>
        <w:pStyle w:val="Heading2"/>
      </w:pPr>
      <w:r>
        <w:t xml:space="preserve">4. Key Functional Features</w:t>
      </w:r>
    </w:p>
    <w:p>
      <w:pPr>
        <w:pStyle w:val="Heading3"/>
      </w:pPr>
      <w:r>
        <w:t xml:space="preserve">4.1 Voice-enabled AI assistant</w:t>
      </w:r>
    </w:p>
    <w:p>
      <w:pPr/>
      <w:r>
        <w:t xml:space="preserve">Built for non-literate farmers, the assistant works in three steps.</w:t>
      </w:r>
    </w:p>
    <w:p>
      <w:pPr>
        <w:pStyle w:val="ListParagraph"/>
        <w:numPr>
          <w:ilvl w:val="0"/>
          <w:numId w:val="2"/>
        </w:numPr>
      </w:pPr>
      <w:r>
        <w:t xml:space="preserve">Speech to text turns spoken Hindi, Chhattisgarhi or English into a prompt.</w:t>
      </w:r>
    </w:p>
    <w:p>
      <w:pPr>
        <w:pStyle w:val="ListParagraph"/>
        <w:numPr>
          <w:ilvl w:val="0"/>
          <w:numId w:val="2"/>
        </w:numPr>
      </w:pPr>
      <w:r>
        <w:t xml:space="preserve">Context injection adds the farmer's location (for example Bhilai, Chhattisgarh) to the system prompt before it goes to the Groq API.</w:t>
      </w:r>
    </w:p>
    <w:p>
      <w:pPr>
        <w:pStyle w:val="ListParagraph"/>
        <w:numPr>
          <w:ilvl w:val="0"/>
          <w:numId w:val="2"/>
        </w:numPr>
      </w:pPr>
      <w:r>
        <w:t xml:space="preserve">Text to speech reads each answer aloud through a "Listen (Awaaz)" button, using a client-side audio queue.</w:t>
      </w:r>
    </w:p>
    <w:p>
      <w:pPr>
        <w:pStyle w:val="Heading3"/>
      </w:pPr>
      <w:r>
        <w:t xml:space="preserve">4.2 Graph-based crop rotation</w:t>
      </w:r>
    </w:p>
    <w:p>
      <w:pPr/>
      <w:r>
        <w:t xml:space="preserve">Crops are nodes in an adjacency-list graph, and each edge carries a soil-health benefit. For example, Rice leads to Chickpea (Chana) with 95% nitrogen restoration, and Chickpea leads to Wheat at 98%.</w:t>
      </w:r>
    </w:p>
    <w:p>
      <w:pPr>
        <w:pStyle w:val="Heading3"/>
      </w:pPr>
      <w:r>
        <w:t xml:space="preserve">4.3 Min-heap task planner</w:t>
      </w:r>
    </w:p>
    <w:p>
      <w:pPr/>
      <w:r>
        <w:t xml:space="preserve">Tasks are pushed into a binary min-heap keyed by days until due. The task with the fewest days left comes out first, so urgent work such as watering or pest control always sits at the top of the dashboard.</w:t>
      </w:r>
    </w:p>
    <w:p>
      <w:pPr>
        <w:pStyle w:val="Heading3"/>
      </w:pPr>
      <w:r>
        <w:t xml:space="preserve">4.4 Fertilizer and N-P-K dosage calculator</w:t>
      </w:r>
    </w:p>
    <w:p>
      <w:pPr/>
      <w:r>
        <w:t xml:space="preserve">Dosage for a land area A in acres is the pre-indexed baseline rate R multiplied by A.</w:t>
      </w:r>
    </w:p>
    <w:p>
      <w:pPr>
        <w:pStyle w:val="Code"/>
      </w:pPr>
      <w:bookmarkStart w:id="2" w:name="bongo_lang_latex_2"/>
      <w:bookmarkEnd w:id="2"/>
      <w:r>
        <w:t xml:space="preserve">D_{urea} = R_{urea} \times A, \qquad D_{dap} = R_{dap} \times A</w:t>
      </w:r>
    </w:p>
    <w:p>
      <w:pPr>
        <w:pStyle w:val="Heading2"/>
      </w:pPr>
      <w:r>
        <w:t xml:space="preserve">5. User Interface Design Compliance</w:t>
      </w:r>
    </w:p>
    <w:p>
      <w:pPr/>
      <w:r>
        <w:t xml:space="preserve">The UI uses crisp borders, flat colours and no neon gradients so it stays legible in direct sunlight.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w:t>
            </w:r>
          </w:p>
        </w:tc>
        <w:tc>
          <w:tcPr>
            <w:tcW w:w="3120" w:type="dxa"/>
            <w:shd w:val="clear" w:color="auto" w:fill="F2F2F2"/>
          </w:tcPr>
          <w:p>
            <w:pPr/>
            <w:r>
              <w:t xml:space="preserve">Value</w:t>
            </w:r>
          </w:p>
        </w:tc>
        <w:tc>
          <w:tcPr>
            <w:tcW w:w="3120" w:type="dxa"/>
            <w:shd w:val="clear" w:color="auto" w:fill="F2F2F2"/>
          </w:tcPr>
          <w:p>
            <w:pPr/>
            <w:r>
              <w:t xml:space="preserve">Used for</w:t>
            </w:r>
          </w:p>
        </w:tc>
      </w:tr>
      <w:tr>
        <w:tc>
          <w:tcPr>
            <w:tcW w:w="3120" w:type="dxa"/>
          </w:tcPr>
          <w:p>
            <w:pPr/>
            <w:r>
              <w:t xml:space="preserve">Primary (Forest Green)</w:t>
            </w:r>
          </w:p>
        </w:tc>
        <w:tc>
          <w:tcPr>
            <w:tcW w:w="3120" w:type="dxa"/>
          </w:tcPr>
          <w:p>
            <w:pPr/>
            <w:r>
              <w:t xml:space="preserve">#1E5631</w:t>
            </w:r>
          </w:p>
        </w:tc>
        <w:tc>
          <w:tcPr>
            <w:tcW w:w="3120" w:type="dxa"/>
          </w:tcPr>
          <w:p>
            <w:pPr/>
            <w:r>
              <w:t xml:space="preserve">Navbar, primary action buttons, headings</w:t>
            </w:r>
          </w:p>
        </w:tc>
      </w:tr>
      <w:tr>
        <w:tc>
          <w:tcPr>
            <w:tcW w:w="3120" w:type="dxa"/>
          </w:tcPr>
          <w:p>
            <w:pPr/>
            <w:r>
              <w:t xml:space="preserve">Secondary (Marigold Gold)</w:t>
            </w:r>
          </w:p>
        </w:tc>
        <w:tc>
          <w:tcPr>
            <w:tcW w:w="3120" w:type="dxa"/>
          </w:tcPr>
          <w:p>
            <w:pPr/>
            <w:r>
              <w:t xml:space="preserve">#EAA81B</w:t>
            </w:r>
          </w:p>
        </w:tc>
        <w:tc>
          <w:tcPr>
            <w:tcW w:w="3120" w:type="dxa"/>
          </w:tcPr>
          <w:p>
            <w:pPr/>
            <w:r>
              <w:t xml:space="preserve">Accent buttons, priority highlights</w:t>
            </w:r>
          </w:p>
        </w:tc>
      </w:tr>
      <w:tr>
        <w:tc>
          <w:tcPr>
            <w:tcW w:w="3120" w:type="dxa"/>
          </w:tcPr>
          <w:p>
            <w:pPr/>
            <w:r>
              <w:t xml:space="preserve">Background</w:t>
            </w:r>
          </w:p>
        </w:tc>
        <w:tc>
          <w:tcPr>
            <w:tcW w:w="3120" w:type="dxa"/>
          </w:tcPr>
          <w:p>
            <w:pPr/>
            <w:r>
              <w:t xml:space="preserve">#F7FAFC</w:t>
            </w:r>
          </w:p>
        </w:tc>
        <w:tc>
          <w:tcPr>
            <w:tcW w:w="3120" w:type="dxa"/>
          </w:tcPr>
          <w:p>
            <w:pPr/>
            <w:r>
              <w:t xml:space="preserve">Sunlight-readable off-white</w:t>
            </w:r>
          </w:p>
        </w:tc>
      </w:tr>
      <w:tr>
        <w:tc>
          <w:tcPr>
            <w:tcW w:w="3120" w:type="dxa"/>
          </w:tcPr>
          <w:p>
            <w:pPr/>
            <w:r>
              <w:t xml:space="preserve">Success</w:t>
            </w:r>
          </w:p>
        </w:tc>
        <w:tc>
          <w:tcPr>
            <w:tcW w:w="3120" w:type="dxa"/>
          </w:tcPr>
          <w:p>
            <w:pPr/>
            <w:r>
              <w:t xml:space="preserve">#276749</w:t>
            </w:r>
          </w:p>
        </w:tc>
        <w:tc>
          <w:tcPr>
            <w:tcW w:w="3120" w:type="dxa"/>
          </w:tcPr>
          <w:p>
            <w:pPr/>
            <w:r>
              <w:t xml:space="preserve">Green status indicator</w:t>
            </w:r>
          </w:p>
        </w:tc>
      </w:tr>
      <w:tr>
        <w:tc>
          <w:tcPr>
            <w:tcW w:w="3120" w:type="dxa"/>
          </w:tcPr>
          <w:p>
            <w:pPr/>
            <w:r>
              <w:t xml:space="preserve">Warning</w:t>
            </w:r>
          </w:p>
        </w:tc>
        <w:tc>
          <w:tcPr>
            <w:tcW w:w="3120" w:type="dxa"/>
          </w:tcPr>
          <w:p>
            <w:pPr/>
            <w:r>
              <w:t xml:space="preserve">#975A16</w:t>
            </w:r>
          </w:p>
        </w:tc>
        <w:tc>
          <w:tcPr>
            <w:tcW w:w="3120" w:type="dxa"/>
          </w:tcPr>
          <w:p>
            <w:pPr/>
            <w:r>
              <w:t xml:space="preserve">Yellow status indicator</w:t>
            </w:r>
          </w:p>
        </w:tc>
      </w:tr>
      <w:tr>
        <w:tc>
          <w:tcPr>
            <w:tcW w:w="3120" w:type="dxa"/>
          </w:tcPr>
          <w:p>
            <w:pPr/>
            <w:r>
              <w:t xml:space="preserve">Urgent</w:t>
            </w:r>
          </w:p>
        </w:tc>
        <w:tc>
          <w:tcPr>
            <w:tcW w:w="3120" w:type="dxa"/>
          </w:tcPr>
          <w:p>
            <w:pPr/>
            <w:r>
              <w:t xml:space="preserve">#9B2C2C</w:t>
            </w:r>
          </w:p>
        </w:tc>
        <w:tc>
          <w:tcPr>
            <w:tcW w:w="3120" w:type="dxa"/>
          </w:tcPr>
          <w:p>
            <w:pPr/>
            <w:r>
              <w:t xml:space="preserve">Red status indicator</w:t>
            </w:r>
          </w:p>
        </w:tc>
      </w:tr>
      <w:tr>
        <w:tc>
          <w:tcPr>
            <w:tcW w:w="3120" w:type="dxa"/>
          </w:tcPr>
          <w:p>
            <w:pPr/>
            <w:r>
              <w:t xml:space="preserve">Corner radius</w:t>
            </w:r>
          </w:p>
        </w:tc>
        <w:tc>
          <w:tcPr>
            <w:tcW w:w="3120" w:type="dxa"/>
          </w:tcPr>
          <w:p>
            <w:pPr/>
            <w:r>
              <w:t xml:space="preserve">6px (</w:t>
            </w:r>
            <w:r>
              <w:rPr>
                <w:rStyle w:val="CodeChar"/>
              </w:rPr>
              <w:t xml:space="preserve">--radius-subtle</w:t>
            </w:r>
            <w:r>
              <w:t xml:space="preserve">)</w:t>
            </w:r>
          </w:p>
        </w:tc>
        <w:tc>
          <w:tcPr>
            <w:tcW w:w="3120" w:type="dxa"/>
          </w:tcPr>
          <w:p>
            <w:pPr/>
            <w:r>
              <w:t xml:space="preserve">Buttons, cards and inputs</w:t>
            </w:r>
          </w:p>
        </w:tc>
      </w:tr>
    </w:tbl>
    <w:p>
      <w:pPr>
        <w:pStyle w:val="Heading2"/>
      </w:pPr>
      <w:r>
        <w:t xml:space="preserve">6. Verification and System Health</w:t>
      </w:r>
    </w:p>
    <w:p>
      <w:pPr/>
      <w:r>
        <w:t xml:space="preserve">Automated integration tests cover the environment, database connectivity, CSS variable compliance and algorithm output.</w:t>
      </w:r>
    </w:p>
    <w:p>
      <w:pPr>
        <w:pStyle w:val="ListParagraph"/>
        <w:numPr>
          <w:ilvl w:val="0"/>
          <w:numId w:val="3"/>
        </w:numPr>
      </w:pPr>
      <w:r>
        <w:t xml:space="preserve">Dynamic array push and pop operations verified.</w:t>
      </w:r>
    </w:p>
    <w:p>
      <w:pPr>
        <w:pStyle w:val="ListParagraph"/>
        <w:numPr>
          <w:ilvl w:val="0"/>
          <w:numId w:val="3"/>
        </w:numPr>
      </w:pPr>
      <w:r>
        <w:t xml:space="preserve">Min-heap ordering and priority extraction confirmed.</w:t>
      </w:r>
    </w:p>
    <w:p>
      <w:pPr>
        <w:pStyle w:val="ListParagraph"/>
        <w:numPr>
          <w:ilvl w:val="0"/>
          <w:numId w:val="3"/>
        </w:numPr>
      </w:pPr>
      <w:r>
        <w:t xml:space="preserve">DAG successor retrieval verified.</w:t>
      </w:r>
    </w:p>
    <w:p>
      <w:pPr>
        <w:pStyle w:val="ListParagraph"/>
        <w:numPr>
          <w:ilvl w:val="0"/>
          <w:numId w:val="3"/>
        </w:numPr>
      </w:pPr>
      <w:r>
        <w:t xml:space="preserve">Multi-dimensional array lookup math (O(1)) validated.</w:t>
      </w:r>
    </w:p>
    <w:p>
      <w:pPr>
        <w:pStyle w:val="ListParagraph"/>
        <w:numPr>
          <w:ilvl w:val="0"/>
          <w:numId w:val="3"/>
        </w:numPr>
      </w:pPr>
      <w:r>
        <w:t xml:space="preserve">Live API ping to the Groq endpoint confirmed active.</w:t>
      </w:r>
    </w:p>
    <w:p>
      <w:pPr>
        <w:pStyle w:val="Heading2"/>
      </w:pPr>
      <w:r>
        <w:t xml:space="preserve">7. License</w:t>
      </w:r>
    </w:p>
    <w:p>
      <w:pPr/>
      <w:r>
        <w:t xml:space="preserve">AgroAI is released under the MIT License by the AgroAI Development Team.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AgroAI Project Report</dc:title>
  <dc:description>Claude Docs node/13522e04-e291@8 docx-w6</dc:description>
  <cp:revision>8</cp:revision>
</cp:coreProperties>
</file>