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Технические характеристики системы АгроСкан-М</w:t>
      </w:r>
    </w:p>
    <w:p>
      <w:r>
        <w:t>Система состоит из датчиков почвы АС-1, шлюза LoRaWAN и веб-платформы. Уровень готовности технологии — TRL 7: система прошла опытную эксплуатацию в реальных условиях.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Дальность связи</w:t>
            </w:r>
          </w:p>
        </w:tc>
        <w:tc>
          <w:tcPr>
            <w:tcW w:type="dxa" w:w="4320"/>
          </w:tcPr>
          <w:p>
            <w:r>
              <w:t>до 10 км</w:t>
            </w:r>
          </w:p>
        </w:tc>
      </w:tr>
      <w:tr>
        <w:tc>
          <w:tcPr>
            <w:tcW w:type="dxa" w:w="4320"/>
          </w:tcPr>
          <w:p>
            <w:r>
              <w:t>Срок работы от батареи</w:t>
            </w:r>
          </w:p>
        </w:tc>
        <w:tc>
          <w:tcPr>
            <w:tcW w:type="dxa" w:w="4320"/>
          </w:tcPr>
          <w:p>
            <w:r>
              <w:t>3 года</w:t>
            </w:r>
          </w:p>
        </w:tc>
      </w:tr>
      <w:tr>
        <w:tc>
          <w:tcPr>
            <w:tcW w:type="dxa" w:w="4320"/>
          </w:tcPr>
          <w:p>
            <w:r>
              <w:t>Диапазон измерения влажности</w:t>
            </w:r>
          </w:p>
        </w:tc>
        <w:tc>
          <w:tcPr>
            <w:tcW w:type="dxa" w:w="4320"/>
          </w:tcPr>
          <w:p>
            <w:r>
              <w:t>0–100 %</w:t>
            </w:r>
          </w:p>
        </w:tc>
      </w:tr>
      <w:tr>
        <w:tc>
          <w:tcPr>
            <w:tcW w:type="dxa" w:w="4320"/>
          </w:tcPr>
          <w:p>
            <w:r>
              <w:t>Погрешность измерения влажности</w:t>
            </w:r>
          </w:p>
        </w:tc>
        <w:tc>
          <w:tcPr>
            <w:tcW w:type="dxa" w:w="4320"/>
          </w:tcPr>
          <w:p>
            <w:r>
              <w:t>±2 %</w:t>
            </w:r>
          </w:p>
        </w:tc>
      </w:tr>
      <w:tr>
        <w:tc>
          <w:tcPr>
            <w:tcW w:type="dxa" w:w="4320"/>
          </w:tcPr>
          <w:p>
            <w:r>
              <w:t>Рабочая температура</w:t>
            </w:r>
          </w:p>
        </w:tc>
        <w:tc>
          <w:tcPr>
            <w:tcW w:type="dxa" w:w="4320"/>
          </w:tcPr>
          <w:p>
            <w:r>
              <w:t>от −30 до +60 °C</w:t>
            </w:r>
          </w:p>
        </w:tc>
      </w:tr>
      <w:tr>
        <w:tc>
          <w:tcPr>
            <w:tcW w:type="dxa" w:w="4320"/>
          </w:tcPr>
          <w:p>
            <w:r>
              <w:t>Степень защиты</w:t>
            </w:r>
          </w:p>
        </w:tc>
        <w:tc>
          <w:tcPr>
            <w:tcW w:type="dxa" w:w="4320"/>
          </w:tcPr>
          <w:p>
            <w:r>
              <w:t>IP68</w:t>
            </w:r>
          </w:p>
        </w:tc>
      </w:tr>
      <w:tr>
        <w:tc>
          <w:tcPr>
            <w:tcW w:type="dxa" w:w="4320"/>
          </w:tcPr>
          <w:p>
            <w:r>
              <w:t>Глубина установки</w:t>
            </w:r>
          </w:p>
        </w:tc>
        <w:tc>
          <w:tcPr>
            <w:tcW w:type="dxa" w:w="4320"/>
          </w:tcPr>
          <w:p>
            <w:r>
              <w:t>10–60 см</w:t>
            </w:r>
          </w:p>
        </w:tc>
      </w:tr>
    </w:tbl>
    <w:p>
      <w:pPr>
        <w:pStyle w:val="Heading2"/>
      </w:pPr>
      <w:r>
        <w:t>Требования к внедрению</w:t>
      </w:r>
    </w:p>
    <w:p>
      <w:r>
        <w:t>Для работы нужен один шлюз на каждые 500 га и доступ шлюза в интернет (GSM или Ethernet). Монтаж датчиков на 100 га занимает 2 рабочих дня; ввод в эксплуатацию — до 2 недель.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