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3.png" ContentType="image/png"/>
  <Override PartName="/word/media/rId47.png" ContentType="image/png"/>
  <Override PartName="/word/media/rId59.png" ContentType="image/png"/>
  <Override PartName="/word/media/rId64.png" ContentType="image/png"/>
  <Override PartName="/word/media/rId54.png" ContentType="image/png"/>
  <Override PartName="/word/media/rId73.png" ContentType="image/png"/>
  <Override PartName="/word/media/rId78.png" ContentType="image/png"/>
  <Override PartName="/word/media/rId84.png" ContentType="image/png"/>
  <Override PartName="/word/media/rId90.png" ContentType="image/png"/>
  <Override PartName="/word/media/rId103.png" ContentType="image/png"/>
  <Override PartName="/word/media/rId97.png" ContentType="image/png"/>
  <Override PartName="/word/media/rId111.png" ContentType="image/png"/>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Kriging Disease Case Counts Across Singapore</w:t>
      </w:r>
    </w:p>
    <w:p>
      <w:pPr>
        <w:pStyle w:val="Subtitle"/>
      </w:pPr>
      <w:r>
        <w:t xml:space="preserve">SPH5105 Individual Assessment 2</w:t>
      </w:r>
    </w:p>
    <w:p>
      <w:pPr>
        <w:pStyle w:val="Author"/>
      </w:pPr>
      <w:r>
        <w:t xml:space="preserve">Ansel Lim</w:t>
      </w:r>
    </w:p>
    <w:p>
      <w:pPr>
        <w:pStyle w:val="Date"/>
      </w:pPr>
      <w:r>
        <w:t xml:space="preserve">9 October 2026</w:t>
      </w:r>
    </w:p>
    <w:bookmarkStart w:id="20" w:name="abstract"/>
    <w:p>
      <w:pPr>
        <w:pStyle w:val="Heading1"/>
      </w:pPr>
      <w:r>
        <w:t xml:space="preserve">Abstract</w:t>
      </w:r>
    </w:p>
    <w:p>
      <w:pPr>
        <w:pStyle w:val="FirstParagraph"/>
      </w:pPr>
      <w:r>
        <w:t xml:space="preserve">Thirty sites in central Singapore reported disease case counts (0 to 6; 56 in total) and the percentage of surrounding green cover. Of 180 variogram settings searched, 5 gave stable fits. With 3 km lag bins (the narrowest with at least 30 pairs per bin) and a 10 km cutoff, a spherical model (nugget 1.47, partial sill 1.09 cases</w:t>
      </w:r>
      <w:r>
        <w:rPr>
          <w:vertAlign w:val="superscript"/>
        </w:rPr>
        <w:t xml:space="preserve">2</w:t>
      </w:r>
      <w:r>
        <w:t xml:space="preserve">, range 7.1 km) reduced leave-one-out RMSE from 1.75 (pure nugget) to 1.40 cases, with a z-score SD near one (0.97).</w:t>
      </w:r>
    </w:p>
    <w:p>
      <w:pPr>
        <w:pStyle w:val="BodyText"/>
      </w:pPr>
      <w:r>
        <w:t xml:space="preserve">Ordinary kriging on 1,017 nominal 1 km</w:t>
      </w:r>
      <w:r>
        <w:rPr>
          <w:vertAlign w:val="superscript"/>
        </w:rPr>
        <w:t xml:space="preserve">2</w:t>
      </w:r>
      <w:r>
        <w:t xml:space="preserve"> </w:t>
      </w:r>
      <w:r>
        <w:t xml:space="preserve">land squares identified one contiguous top-quartile zone of 55.7 km</w:t>
      </w:r>
      <w:r>
        <w:rPr>
          <w:vertAlign w:val="superscript"/>
        </w:rPr>
        <w:t xml:space="preserve">2</w:t>
      </w:r>
      <w:r>
        <w:t xml:space="preserve"> </w:t>
      </w:r>
      <w:r>
        <w:t xml:space="preserve">from Marina Bay to Hougang, with 1.9 times the predicted intensity of the rest of the sampled area. Its absolute density depends on the unknown area each count represents: 2.6 cases per km</w:t>
      </w:r>
      <w:r>
        <w:rPr>
          <w:vertAlign w:val="superscript"/>
        </w:rPr>
        <w:t xml:space="preserve">2</w:t>
      </w:r>
      <w:r>
        <w:t xml:space="preserve"> </w:t>
      </w:r>
      <w:r>
        <w:t xml:space="preserve">for a 1 km</w:t>
      </w:r>
      <w:r>
        <w:rPr>
          <w:vertAlign w:val="superscript"/>
        </w:rPr>
        <w:t xml:space="preserve">2</w:t>
      </w:r>
      <w:r>
        <w:t xml:space="preserve"> </w:t>
      </w:r>
      <w:r>
        <w:t xml:space="preserve">catchment, 0.4 for a 6.4 km</w:t>
      </w:r>
      <w:r>
        <w:rPr>
          <w:vertAlign w:val="superscript"/>
        </w:rPr>
        <w:t xml:space="preserve">2</w:t>
      </w:r>
      <w:r>
        <w:t xml:space="preserve"> </w:t>
      </w:r>
      <w:r>
        <w:t xml:space="preserve">catchment (sampled land per site). Each 10 percentage points of green cover was associated with 27% fewer expected cases (count ratio 0.73, 95% CI 0.59 to 0.89), and positive residual spatial autocorrelation was not detected after adjustment for green space. Braddell Heights and Kampong Glam Community Clubs, both inside the zone and within 300 m of an MRT exit, are proposed as intervention centers; the choice did not change under alternative variogram models. Most of the island is unsampled, and without population denominators the results describe counts, not risk per person.</w:t>
      </w:r>
    </w:p>
    <w:bookmarkEnd w:id="20"/>
    <w:bookmarkStart w:id="21" w:name="sec-intro"/>
    <w:p>
      <w:pPr>
        <w:pStyle w:val="Heading1"/>
      </w:pPr>
      <w:r>
        <w:t xml:space="preserve">1. Introduction</w:t>
      </w:r>
    </w:p>
    <w:p>
      <w:pPr>
        <w:pStyle w:val="FirstParagraph"/>
      </w:pPr>
      <w:r>
        <w:t xml:space="preserve">Kriging predicts a spatially continuous quantity at unsampled locations from nearby observations, weighting each observation according to a model of how similarity between locations declines with distance</w:t>
      </w:r>
      <w:r>
        <w:t xml:space="preserve"> </w:t>
      </w:r>
      <w:r>
        <w:t xml:space="preserve">(Matheron 1963; Cressie 1993)</w:t>
      </w:r>
      <w:r>
        <w:t xml:space="preserve">. This report applies it to counts of an unnamed illness recorded at 30 sites in Singapore, together with the percentage of green cover around each site. The aims were (i) to estimate and justify a model of the spatial dependence of the counts; (ii) to map a continuous risk surface on a 1 km grid and delineate high-risk zones; (iii) to assess whether green cover is associated with the counts and accounts for their spatial pattern; and (iv) to quantify outbreak size in the high-risk zones and propose two accessible temporary intervention centers.</w:t>
      </w:r>
      <w:r>
        <w:t xml:space="preserve"> </w:t>
      </w:r>
      <w:hyperlink w:anchor="sec-methods">
        <w:r>
          <w:rPr>
            <w:rStyle w:val="Hyperlink"/>
          </w:rPr>
          <w:t xml:space="preserve">Section 2</w:t>
        </w:r>
      </w:hyperlink>
      <w:r>
        <w:t xml:space="preserve"> </w:t>
      </w:r>
      <w:r>
        <w:t xml:space="preserve">describes the methods,</w:t>
      </w:r>
      <w:r>
        <w:t xml:space="preserve"> </w:t>
      </w:r>
      <w:hyperlink w:anchor="sec-data">
        <w:r>
          <w:rPr>
            <w:rStyle w:val="Hyperlink"/>
          </w:rPr>
          <w:t xml:space="preserve">Section 3</w:t>
        </w:r>
      </w:hyperlink>
      <w:r>
        <w:t xml:space="preserve"> </w:t>
      </w:r>
      <w:r>
        <w:t xml:space="preserve">to</w:t>
      </w:r>
      <w:r>
        <w:t xml:space="preserve"> </w:t>
      </w:r>
      <w:hyperlink w:anchor="sec-outbreak">
        <w:r>
          <w:rPr>
            <w:rStyle w:val="Hyperlink"/>
          </w:rPr>
          <w:t xml:space="preserve">Section 7</w:t>
        </w:r>
      </w:hyperlink>
      <w:r>
        <w:t xml:space="preserve"> </w:t>
      </w:r>
      <w:r>
        <w:t xml:space="preserve">report the results in the order of these aims, and</w:t>
      </w:r>
      <w:r>
        <w:t xml:space="preserve"> </w:t>
      </w:r>
      <w:hyperlink w:anchor="sec-discussion">
        <w:r>
          <w:rPr>
            <w:rStyle w:val="Hyperlink"/>
          </w:rPr>
          <w:t xml:space="preserve">Section 8</w:t>
        </w:r>
      </w:hyperlink>
      <w:r>
        <w:t xml:space="preserve"> </w:t>
      </w:r>
      <w:r>
        <w:t xml:space="preserve">discusses their limitations.</w:t>
      </w:r>
    </w:p>
    <w:bookmarkEnd w:id="21"/>
    <w:bookmarkStart w:id="39" w:name="sec-methods"/>
    <w:p>
      <w:pPr>
        <w:pStyle w:val="Heading1"/>
      </w:pPr>
      <w:r>
        <w:t xml:space="preserve">2. Methods</w:t>
      </w:r>
    </w:p>
    <w:bookmarkStart w:id="22" w:name="sec-m-data"/>
    <w:p>
      <w:pPr>
        <w:pStyle w:val="Heading2"/>
      </w:pPr>
      <w:r>
        <w:t xml:space="preserve">2.1 Data and preprocessing</w:t>
      </w:r>
    </w:p>
    <w:p>
      <w:pPr>
        <w:pStyle w:val="FirstParagraph"/>
      </w:pPr>
      <w:r>
        <w:t xml:space="preserve">Each of the 30 sites has an identifier, WGS84 latitude and longitude, projected coordinates (</w:t>
      </w:r>
      <w:r>
        <w:rPr>
          <w:rStyle w:val="VerbatimChar"/>
        </w:rPr>
        <w:t xml:space="preserve">x</w:t>
      </w:r>
      <w:r>
        <w:t xml:space="preserve">,</w:t>
      </w:r>
      <w:r>
        <w:t xml:space="preserve"> </w:t>
      </w:r>
      <w:r>
        <w:rPr>
          <w:rStyle w:val="VerbatimChar"/>
        </w:rPr>
        <w:t xml:space="preserve">y</w:t>
      </w:r>
      <w:r>
        <w:t xml:space="preserve">) in meters, the percentage of green cover around the site and a count of cases. The table was transcribed to CSV, checked cell by cell against the source document, and converted to a simple features point object</w:t>
      </w:r>
      <w:r>
        <w:t xml:space="preserve"> </w:t>
      </w:r>
      <w:r>
        <w:t xml:space="preserve">(Pebesma 2018)</w:t>
      </w:r>
      <w:r>
        <w:t xml:space="preserve"> </w:t>
      </w:r>
      <w:r>
        <w:t xml:space="preserve">in the SVY21 / Singapore TM projected coordinate reference system (EPSG:3414):</w:t>
      </w:r>
    </w:p>
    <w:p>
      <w:pPr>
        <w:pStyle w:val="SourceCode"/>
      </w:pPr>
      <w:r>
        <w:rPr>
          <w:rStyle w:val="NormalTok"/>
        </w:rPr>
        <w:t xml:space="preserve">sites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"../data/raw/assignment2.csv"</w:t>
      </w:r>
      <w:r>
        <w:rPr>
          <w:rStyle w:val="NormalTok"/>
        </w:rPr>
        <w:t xml:space="preserve">)</w:t>
      </w:r>
      <w:r>
        <w:br/>
      </w:r>
      <w:r>
        <w:rPr>
          <w:rStyle w:val="NormalTok"/>
        </w:rPr>
        <w:t xml:space="preserve">obs </w:t>
      </w:r>
      <w:r>
        <w:rPr>
          <w:rStyle w:val="OtherTok"/>
        </w:rPr>
        <w:t xml:space="preserve">&lt;-</w:t>
      </w:r>
      <w:r>
        <w:rPr>
          <w:rStyle w:val="NormalTok"/>
        </w:rPr>
        <w:t xml:space="preserve"> sf</w:t>
      </w:r>
      <w:r>
        <w:rPr>
          <w:rStyle w:val="SpecialCharTok"/>
        </w:rPr>
        <w:t xml:space="preserve">::</w:t>
      </w:r>
      <w:r>
        <w:rPr>
          <w:rStyle w:val="FunctionTok"/>
        </w:rPr>
        <w:t xml:space="preserve">st_as_sf</w:t>
      </w:r>
      <w:r>
        <w:rPr>
          <w:rStyle w:val="NormalTok"/>
        </w:rPr>
        <w:t xml:space="preserve">(sites, </w:t>
      </w:r>
      <w:r>
        <w:rPr>
          <w:rStyle w:val="AttributeTok"/>
        </w:rPr>
        <w:t xml:space="preserve">coords =</w:t>
      </w:r>
      <w:r>
        <w:rPr>
          <w:rStyle w:val="NormalTok"/>
        </w:rPr>
        <w:t xml:space="preserve"> </w:t>
      </w:r>
      <w:r>
        <w:rPr>
          <w:rStyle w:val="FunctionTok"/>
        </w:rPr>
        <w:t xml:space="preserve">c</w:t>
      </w:r>
      <w:r>
        <w:rPr>
          <w:rStyle w:val="NormalTok"/>
        </w:rPr>
        <w:t xml:space="preserve">(</w:t>
      </w:r>
      <w:r>
        <w:rPr>
          <w:rStyle w:val="StringTok"/>
        </w:rPr>
        <w:t xml:space="preserve">"x"</w:t>
      </w:r>
      <w:r>
        <w:rPr>
          <w:rStyle w:val="NormalTok"/>
        </w:rPr>
        <w:t xml:space="preserve">, </w:t>
      </w:r>
      <w:r>
        <w:rPr>
          <w:rStyle w:val="StringTok"/>
        </w:rPr>
        <w:t xml:space="preserve">"y"</w:t>
      </w:r>
      <w:r>
        <w:rPr>
          <w:rStyle w:val="NormalTok"/>
        </w:rPr>
        <w:t xml:space="preserve">), </w:t>
      </w:r>
      <w:r>
        <w:rPr>
          <w:rStyle w:val="AttributeTok"/>
        </w:rPr>
        <w:t xml:space="preserve">crs =</w:t>
      </w:r>
      <w:r>
        <w:rPr>
          <w:rStyle w:val="NormalTok"/>
        </w:rPr>
        <w:t xml:space="preserve"> </w:t>
      </w:r>
      <w:r>
        <w:rPr>
          <w:rStyle w:val="DecValTok"/>
        </w:rPr>
        <w:t xml:space="preserve">3414</w:t>
      </w:r>
      <w:r>
        <w:rPr>
          <w:rStyle w:val="NormalTok"/>
        </w:rPr>
        <w:t xml:space="preserve">, </w:t>
      </w:r>
      <w:r>
        <w:rPr>
          <w:rStyle w:val="AttributeTok"/>
        </w:rPr>
        <w:t xml:space="preserve">remove =</w:t>
      </w:r>
      <w:r>
        <w:rPr>
          <w:rStyle w:val="NormalTok"/>
        </w:rPr>
        <w:t xml:space="preserve"> </w:t>
      </w:r>
      <w:r>
        <w:rPr>
          <w:rStyle w:val="ConstantTok"/>
        </w:rPr>
        <w:t xml:space="preserve">FALSE</w:t>
      </w:r>
      <w:r>
        <w:rPr>
          <w:rStyle w:val="NormalTok"/>
        </w:rPr>
        <w:t xml:space="preserve">)</w:t>
      </w:r>
    </w:p>
    <w:p>
      <w:pPr>
        <w:pStyle w:val="FirstParagraph"/>
      </w:pPr>
      <w:r>
        <w:t xml:space="preserve">Geostatistical methods depend on distances between locations, and a degree of longitude is not a fixed distance, so all distance-based steps used the projected coordinates in meters. To confirm that both coordinate sets describe the same points, the latitudes and longitudes were reprojected to EPSG:3414 and compared with</w:t>
      </w:r>
      <w:r>
        <w:t xml:space="preserve"> </w:t>
      </w:r>
      <w:r>
        <w:rPr>
          <w:rStyle w:val="VerbatimChar"/>
        </w:rPr>
        <w:t xml:space="preserve">x</w:t>
      </w:r>
      <w:r>
        <w:t xml:space="preserve"> </w:t>
      </w:r>
      <w:r>
        <w:t xml:space="preserve">and</w:t>
      </w:r>
      <w:r>
        <w:t xml:space="preserve"> </w:t>
      </w:r>
      <w:r>
        <w:rPr>
          <w:rStyle w:val="VerbatimChar"/>
        </w:rPr>
        <w:t xml:space="preserve">y</w:t>
      </w:r>
      <w:r>
        <w:t xml:space="preserve">.</w:t>
      </w:r>
    </w:p>
    <w:p>
      <w:pPr>
        <w:pStyle w:val="BodyText"/>
      </w:pPr>
      <w:r>
        <w:t xml:space="preserve">Three external layers were obtained from data.gov.sg and projected to EPSG:3414: the Urban Redevelopment Authority Master Plan 2019 subzone boundary without sea, dissolved into a land outline</w:t>
      </w:r>
      <w:r>
        <w:t xml:space="preserve"> </w:t>
      </w:r>
      <w:r>
        <w:t xml:space="preserve">(Urban Redevelopment Authority 2019)</w:t>
      </w:r>
      <w:r>
        <w:t xml:space="preserve">; People’s Association community clubs</w:t>
      </w:r>
      <w:r>
        <w:t xml:space="preserve"> </w:t>
      </w:r>
      <w:r>
        <w:t xml:space="preserve">(People’s Association 2024)</w:t>
      </w:r>
      <w:r>
        <w:t xml:space="preserve">; and Land Transport Authority MRT station exits</w:t>
      </w:r>
      <w:r>
        <w:t xml:space="preserve"> </w:t>
      </w:r>
      <w:r>
        <w:t xml:space="preserve">(Land Transport Authority 2026)</w:t>
      </w:r>
      <w:r>
        <w:t xml:space="preserve">. The prediction grid consisted of 1 km × 1 km squares aligned to whole kilometers of the SVY21 grid and clipped to the land outline. Each square was represented by its center, or by a point inside its land portion where the center fell in the sea, and its land area was kept for area-based calculations. Squares overlapping the convex hull of the sites (the smallest convex polygon that contains them) formed the sampled area; predictions outside it are extrapolations.</w:t>
      </w:r>
    </w:p>
    <w:bookmarkEnd w:id="22"/>
    <w:bookmarkStart w:id="23" w:name="sec-m-vario"/>
    <w:p>
      <w:pPr>
        <w:pStyle w:val="Heading2"/>
      </w:pPr>
      <w:r>
        <w:t xml:space="preserve">2.2 The empirical variogram</w:t>
      </w:r>
    </w:p>
    <w:p>
      <w:pPr>
        <w:pStyle w:val="FirstParagraph"/>
      </w:pPr>
      <w:r>
        <w:t xml:space="preserve">Kriging requires a model of spatial dependence, that is, of how much more alike two counts are when their sites are close together than when they are far apart. The variogram expresses this as a function of the separation distance, or lag,</w:t>
      </w:r>
      <w:r>
        <w:t xml:space="preserve"> </w:t>
      </w:r>
      <w:r>
        <w:rPr>
          <w:i/>
          <w:iCs/>
        </w:rPr>
        <w:t xml:space="preserve">h</w:t>
      </w:r>
      <w:r>
        <w:t xml:space="preserve">. For a single pair of sites, the semivariance is half the squared difference between their counts. If nearby sites have similar counts, semivariance is small at short lags and increases with lag until sites are far enough apart to be unrelated, where it levels off at the variance of the process</w:t>
      </w:r>
      <w:r>
        <w:t xml:space="preserve"> </w:t>
      </w:r>
      <w:r>
        <w:t xml:space="preserve">(Matheron 1963; Oliver and Webster 2014)</w:t>
      </w:r>
      <w:r>
        <w:t xml:space="preserve">.</w:t>
      </w:r>
    </w:p>
    <w:p>
      <w:pPr>
        <w:pStyle w:val="BodyText"/>
      </w:pPr>
      <w:r>
        <w:t xml:space="preserve">Irregularly spaced sites are rarely separated by exactly the same distance, so pairs are grouped into distance intervals called lag bins. The empirical variogram is the mean semivariance in each bin</w:t>
      </w:r>
      <w:r>
        <w:t xml:space="preserve"> </w:t>
      </w:r>
      <w:r>
        <w:t xml:space="preserve">(Matheron 1963)</w:t>
      </w:r>
      <w:r>
        <w:t xml:space="preserve">:</w:t>
      </w:r>
    </w:p>
    <w:p>
      <w:pPr>
        <w:pStyle w:val="BodyText"/>
      </w:pPr>
      <m:oMathPara>
        <m:oMathParaPr>
          <m:jc m:val="center"/>
        </m:oMathParaPr>
        <m:oMath>
          <m:acc>
            <m:accPr>
              <m:chr m:val="̂"/>
            </m:accPr>
            <m:e>
              <m:r>
                <m:t>γ</m:t>
              </m:r>
            </m:e>
          </m:acc>
          <m:d>
            <m:dPr>
              <m:begChr m:val="("/>
              <m:sepChr m:val=""/>
              <m:endChr m:val=")"/>
              <m:grow/>
            </m:dPr>
            <m:e>
              <m:r>
                <m:t>h</m:t>
              </m:r>
            </m:e>
          </m:d>
          <m:r>
            <m:rPr>
              <m:sty m:val="p"/>
            </m:rPr>
            <m:t>=</m:t>
          </m:r>
          <m:f>
            <m:fPr>
              <m:type m:val="bar"/>
            </m:fPr>
            <m:num>
              <m:r>
                <m:t>1</m:t>
              </m:r>
            </m:num>
            <m:den>
              <m:r>
                <m:t>2</m:t>
              </m:r>
              <m:r>
                <m:t>N</m:t>
              </m:r>
              <m:d>
                <m:dPr>
                  <m:begChr m:val="("/>
                  <m:sepChr m:val=""/>
                  <m:endChr m:val=")"/>
                  <m:grow/>
                </m:dPr>
                <m:e>
                  <m:r>
                    <m:t>h</m:t>
                  </m:r>
                </m:e>
              </m:d>
            </m:den>
          </m:f>
          <m:nary>
            <m:naryPr>
              <m:chr m:val="∑"/>
              <m:limLoc m:val="undOvr"/>
              <m:subHide m:val="off"/>
              <m:supHide m:val="on"/>
            </m:naryPr>
            <m:sub>
              <m:d>
                <m:dPr>
                  <m:begChr m:val="("/>
                  <m:sepChr m:val=""/>
                  <m:endChr m:val=")"/>
                  <m:grow/>
                </m:dPr>
                <m:e>
                  <m:r>
                    <m:t>i</m:t>
                  </m:r>
                  <m:r>
                    <m:rPr>
                      <m:sty m:val="p"/>
                    </m:rPr>
                    <m:t>,</m:t>
                  </m:r>
                  <m:r>
                    <m:t>j</m:t>
                  </m:r>
                </m:e>
              </m:d>
              <m:r>
                <m:rPr>
                  <m:sty m:val="p"/>
                </m:rPr>
                <m:t>∈</m:t>
              </m:r>
              <m:sSub>
                <m:e>
                  <m:r>
                    <m:t>P</m:t>
                  </m:r>
                </m:e>
                <m:sub>
                  <m:r>
                    <m:t>h</m:t>
                  </m:r>
                </m:sub>
              </m:sSub>
            </m:sub>
            <m:sup>
              <m:r>
                <m:t>​</m:t>
              </m:r>
            </m:sup>
            <m:e>
              <m:sSup>
                <m:e>
                  <m:d>
                    <m:dPr>
                      <m:begChr m:val="("/>
                      <m:sepChr m:val=""/>
                      <m:endChr m:val=")"/>
                      <m:grow/>
                    </m:dPr>
                    <m:e>
                      <m:r>
                        <m:t>z</m:t>
                      </m:r>
                      <m:d>
                        <m:dPr>
                          <m:begChr m:val="("/>
                          <m:sepChr m:val=""/>
                          <m:endChr m:val=")"/>
                          <m:grow/>
                        </m:dPr>
                        <m:e>
                          <m:sSub>
                            <m:e>
                              <m:r>
                                <m:t>s</m:t>
                              </m:r>
                            </m:e>
                            <m:sub>
                              <m:r>
                                <m:t>i</m:t>
                              </m:r>
                            </m:sub>
                          </m:sSub>
                        </m:e>
                      </m:d>
                      <m:r>
                        <m:rPr>
                          <m:sty m:val="p"/>
                        </m:rPr>
                        <m:t>−</m:t>
                      </m:r>
                      <m:r>
                        <m:t>z</m:t>
                      </m:r>
                      <m:d>
                        <m:dPr>
                          <m:begChr m:val="("/>
                          <m:sepChr m:val=""/>
                          <m:endChr m:val=")"/>
                          <m:grow/>
                        </m:dPr>
                        <m:e>
                          <m:sSub>
                            <m:e>
                              <m:r>
                                <m:t>s</m:t>
                              </m:r>
                            </m:e>
                            <m:sub>
                              <m:r>
                                <m:t>j</m:t>
                              </m:r>
                            </m:sub>
                          </m:sSub>
                        </m:e>
                      </m:d>
                    </m:e>
                  </m:d>
                </m:e>
                <m:sup>
                  <m:r>
                    <m:t>2</m:t>
                  </m:r>
                </m:sup>
              </m:sSup>
            </m:e>
          </m:nary>
          <m:r>
            <m:rPr>
              <m:sty m:val="p"/>
            </m:rPr>
            <m:t>,</m:t>
          </m:r>
        </m:oMath>
      </m:oMathPara>
    </w:p>
    <w:p>
      <w:pPr>
        <w:pStyle w:val="FirstParagraph"/>
      </w:pPr>
      <w:r>
        <w:t xml:space="preserve">where</w:t>
      </w:r>
      <w:r>
        <w:t xml:space="preserve"> </w:t>
      </w:r>
      <m:oMath>
        <m:sSub>
          <m:e>
            <m:r>
              <m:t>P</m:t>
            </m:r>
          </m:e>
          <m:sub>
            <m:r>
              <m:t>h</m:t>
            </m:r>
          </m:sub>
        </m:sSub>
      </m:oMath>
      <w:r>
        <w:t xml:space="preserve"> </w:t>
      </w:r>
      <w:r>
        <w:t xml:space="preserve">contains the unordered pairs</w:t>
      </w:r>
      <w:r>
        <w:t xml:space="preserve"> </w:t>
      </w:r>
      <m:oMath>
        <m:d>
          <m:dPr>
            <m:begChr m:val="("/>
            <m:sepChr m:val=""/>
            <m:endChr m:val=")"/>
            <m:grow/>
          </m:dPr>
          <m:e>
            <m:r>
              <m:t>i</m:t>
            </m:r>
            <m:r>
              <m:rPr>
                <m:sty m:val="p"/>
              </m:rPr>
              <m:t>,</m:t>
            </m:r>
            <m:r>
              <m:t>j</m:t>
            </m:r>
          </m:e>
        </m:d>
      </m:oMath>
      <w:r>
        <w:t xml:space="preserve">, with</w:t>
      </w:r>
      <w:r>
        <w:t xml:space="preserve"> </w:t>
      </w:r>
      <m:oMath>
        <m:r>
          <m:t>i</m:t>
        </m:r>
        <m:r>
          <m:rPr>
            <m:sty m:val="p"/>
          </m:rPr>
          <m:t>&lt;</m:t>
        </m:r>
        <m:r>
          <m:t>j</m:t>
        </m:r>
      </m:oMath>
      <w:r>
        <w:t xml:space="preserve">, whose Euclidean separation</w:t>
      </w:r>
      <w:r>
        <w:t xml:space="preserve"> </w:t>
      </w:r>
      <m:oMath>
        <m:r>
          <m:rPr>
            <m:sty m:val="p"/>
          </m:rPr>
          <m:t>∥</m:t>
        </m:r>
        <m:sSub>
          <m:e>
            <m:r>
              <m:t>s</m:t>
            </m:r>
          </m:e>
          <m:sub>
            <m:r>
              <m:t>i</m:t>
            </m:r>
          </m:sub>
        </m:sSub>
        <m:r>
          <m:rPr>
            <m:sty m:val="p"/>
          </m:rPr>
          <m:t>−</m:t>
        </m:r>
        <m:sSub>
          <m:e>
            <m:r>
              <m:t>s</m:t>
            </m:r>
          </m:e>
          <m:sub>
            <m:r>
              <m:t>j</m:t>
            </m:r>
          </m:sub>
        </m:sSub>
        <m:r>
          <m:rPr>
            <m:sty m:val="p"/>
          </m:rPr>
          <m:t>∥</m:t>
        </m:r>
      </m:oMath>
      <w:r>
        <w:t xml:space="preserve"> </w:t>
      </w:r>
      <w:r>
        <w:t xml:space="preserve">falls in the bin around lag</w:t>
      </w:r>
      <w:r>
        <w:t xml:space="preserve"> </w:t>
      </w:r>
      <w:r>
        <w:rPr>
          <w:i/>
          <w:iCs/>
        </w:rPr>
        <w:t xml:space="preserve">h</w:t>
      </w:r>
      <w:r>
        <w:t xml:space="preserve">,</w:t>
      </w:r>
      <w:r>
        <w:t xml:space="preserve"> </w:t>
      </w:r>
      <m:oMath>
        <m:r>
          <m:t>N</m:t>
        </m:r>
        <m:d>
          <m:dPr>
            <m:begChr m:val="("/>
            <m:sepChr m:val=""/>
            <m:endChr m:val=")"/>
            <m:grow/>
          </m:dPr>
          <m:e>
            <m:r>
              <m:t>h</m:t>
            </m:r>
          </m:e>
        </m:d>
        <m:r>
          <m:rPr>
            <m:sty m:val="p"/>
          </m:rPr>
          <m:t>=</m:t>
        </m:r>
        <m:d>
          <m:dPr>
            <m:begChr m:val="|"/>
            <m:sepChr m:val=""/>
            <m:endChr m:val="|"/>
            <m:grow/>
          </m:dPr>
          <m:e>
            <m:sSub>
              <m:e>
                <m:r>
                  <m:t>P</m:t>
                </m:r>
              </m:e>
              <m:sub>
                <m:r>
                  <m:t>h</m:t>
                </m:r>
              </m:sub>
            </m:sSub>
          </m:e>
        </m:d>
      </m:oMath>
      <w:r>
        <w:t xml:space="preserve">, and</w:t>
      </w:r>
      <w:r>
        <w:t xml:space="preserve"> </w:t>
      </w:r>
      <m:oMath>
        <m:r>
          <m:t>z</m:t>
        </m:r>
        <m:d>
          <m:dPr>
            <m:begChr m:val="("/>
            <m:sepChr m:val=""/>
            <m:endChr m:val=")"/>
            <m:grow/>
          </m:dPr>
          <m:e>
            <m:sSub>
              <m:e>
                <m:r>
                  <m:t>s</m:t>
                </m:r>
              </m:e>
              <m:sub>
                <m:r>
                  <m:t>i</m:t>
                </m:r>
              </m:sub>
            </m:sSub>
          </m:e>
        </m:d>
      </m:oMath>
      <w:r>
        <w:t xml:space="preserve"> </w:t>
      </w:r>
      <w:r>
        <w:t xml:space="preserve">is the count at site</w:t>
      </w:r>
      <w:r>
        <w:t xml:space="preserve"> </w:t>
      </w:r>
      <m:oMath>
        <m:sSub>
          <m:e>
            <m:r>
              <m:t>s</m:t>
            </m:r>
          </m:e>
          <m:sub>
            <m:r>
              <m:t>i</m:t>
            </m:r>
          </m:sub>
        </m:sSub>
      </m:oMath>
      <w:r>
        <w:t xml:space="preserve">. Semivariance has units of cases</w:t>
      </w:r>
      <w:r>
        <w:rPr>
          <w:vertAlign w:val="superscript"/>
        </w:rPr>
        <w:t xml:space="preserve">2</w:t>
      </w:r>
      <w:r>
        <w:t xml:space="preserve">. Two analyst choices define the bins. The bin width sets how finely distance is resolved: narrow bins show the behavior at short lags, which has the most influence on kriging, but each mean rests on few pairs and is noisy, whereas wide bins are stable but blur short-range structure. The cutoff is the largest lag included. Long lags are represented by few pairs, mostly between sites at opposite edges of the study area, and estimate the variogram poorly. Journel and Huijbregts</w:t>
      </w:r>
      <w:r>
        <w:t xml:space="preserve"> </w:t>
      </w:r>
      <w:r>
        <w:t xml:space="preserve">(1978, 194)</w:t>
      </w:r>
      <w:r>
        <w:t xml:space="preserve">, as quoted by</w:t>
      </w:r>
      <w:r>
        <w:t xml:space="preserve"> </w:t>
      </w:r>
      <w:r>
        <w:t xml:space="preserve">Cressie (1985)</w:t>
      </w:r>
      <w:r>
        <w:t xml:space="preserve">, recommend using only lags with more than 30 pairs and only up to about half the largest lag. Following</w:t>
      </w:r>
      <w:r>
        <w:t xml:space="preserve"> </w:t>
      </w:r>
      <w:r>
        <w:t xml:space="preserve">Dickens (2026b)</w:t>
      </w:r>
      <w:r>
        <w:t xml:space="preserve">, the rule was applied by choosing the narrowest bin width for which every bin up to the cutoff holds at least 30 pairs. It is a heuristic that trades resolution at short lags against noise in bins with few pairs. Empirical variograms were computed with</w:t>
      </w:r>
      <w:r>
        <w:t xml:space="preserve"> </w:t>
      </w:r>
      <w:r>
        <w:rPr>
          <w:rStyle w:val="VerbatimChar"/>
        </w:rPr>
        <w:t xml:space="preserve">gstat::variogram</w:t>
      </w:r>
      <w:r>
        <w:t xml:space="preserve"> </w:t>
      </w:r>
      <w:r>
        <w:t xml:space="preserve">for bin widths of 1, 1.5, 2, 2.5 and 3 km and cutoffs of 8, 9, 10 and 11 km.</w:t>
      </w:r>
    </w:p>
    <w:bookmarkEnd w:id="23"/>
    <w:bookmarkStart w:id="29" w:name="sec-m-models"/>
    <w:p>
      <w:pPr>
        <w:pStyle w:val="Heading2"/>
      </w:pPr>
      <w:r>
        <w:t xml:space="preserve">2.3 Variogram models and their parameters</w:t>
      </w:r>
    </w:p>
    <w:p>
      <w:pPr>
        <w:pStyle w:val="FirstParagraph"/>
      </w:pPr>
      <w:r>
        <w:t xml:space="preserve">The empirical variogram is known only at the bin lags, whereas kriging needs the semivariance at every distance, between each site and the prediction location and between every pair of sites. A continuous model is therefore fitted to the empirical points. Only certain functions are valid, because the model must guarantee a non-negative kriging variance</w:t>
      </w:r>
      <w:r>
        <w:t xml:space="preserve"> </w:t>
      </w:r>
      <w:r>
        <w:t xml:space="preserve">(Cressie 1993)</w:t>
      </w:r>
      <w:r>
        <w:t xml:space="preserve">. Each model used here has three parameters (</w:t>
      </w:r>
      <w:hyperlink w:anchor="fig-models">
        <w:r>
          <w:rPr>
            <w:rStyle w:val="Hyperlink"/>
          </w:rPr>
          <w:t xml:space="preserve">Figure 1</w:t>
        </w:r>
      </w:hyperlink>
      <w:r>
        <w:t xml:space="preserve">). The nugget (</w:t>
      </w:r>
      <m:oMath>
        <m:sSub>
          <m:e>
            <m:r>
              <m:t>c</m:t>
            </m:r>
          </m:e>
          <m:sub>
            <m:r>
              <m:t>0</m:t>
            </m:r>
          </m:sub>
        </m:sSub>
      </m:oMath>
      <w:r>
        <w:t xml:space="preserve">) is the semivariance just above zero lag; it represents measurement error and variation over distances shorter than the closest spacing of sites. Because the semivariance at exactly zero lag is zero by definition, the nugget appears as a jump at the origin. The sill (</w:t>
      </w:r>
      <m:oMath>
        <m:sSub>
          <m:e>
            <m:r>
              <m:t>c</m:t>
            </m:r>
          </m:e>
          <m:sub>
            <m:r>
              <m:t>0</m:t>
            </m:r>
          </m:sub>
        </m:sSub>
        <m:r>
          <m:rPr>
            <m:sty m:val="p"/>
          </m:rPr>
          <m:t>+</m:t>
        </m:r>
        <m:sSub>
          <m:e>
            <m:r>
              <m:t>c</m:t>
            </m:r>
          </m:e>
          <m:sub>
            <m:r>
              <m:t>1</m:t>
            </m:r>
          </m:sub>
        </m:sSub>
      </m:oMath>
      <w:r>
        <w:t xml:space="preserve">) is the plateau reached by sites that are unrelated, equal to the variance of the process, and the partial sill (</w:t>
      </w:r>
      <m:oMath>
        <m:sSub>
          <m:e>
            <m:r>
              <m:t>c</m:t>
            </m:r>
          </m:e>
          <m:sub>
            <m:r>
              <m:t>1</m:t>
            </m:r>
          </m:sub>
        </m:sSub>
      </m:oMath>
      <w:r>
        <w:t xml:space="preserve">) is the spatially structured part of that variance. The range is the lag at which the sill is reached, beyond which counts are uncorrelated; for models that approach the sill asymptotically, the practical range is the lag at which about 95% of the partial sill is reached. The nugget-to-sill ratio summarizes the strength of spatial dependence, conventionally classed as strong below 0.25, moderate from 0.25 to 0.75 and weak above 0.75</w:t>
      </w:r>
      <w:r>
        <w:t xml:space="preserve"> </w:t>
      </w:r>
      <w:r>
        <w:t xml:space="preserve">(Cambardella et al. 1994)</w:t>
      </w:r>
      <w:r>
        <w:t xml:space="preserve">.</w:t>
      </w:r>
    </w:p>
    <w:tbl>
      <w:tblPr>
        <w:tblStyle w:val="Table"/>
        <w:tblW w:type="pct" w:w="5000"/>
        <w:tblLayout w:type="fixed"/>
        <w:tblLook w:firstRow="0" w:lastRow="0" w:firstColumn="0" w:lastColumn="0" w:noHBand="0" w:noVBand="0" w:val="0000"/>
      </w:tblPr>
      <w:tblGrid>
        <w:gridCol w:w="7920"/>
      </w:tblGrid>
      <w:tr>
        <w:tc>
          <w:tcPr/>
          <w:bookmarkStart w:id="27" w:name="fig-models"/>
          <w:p>
            <w:pPr>
              <w:pStyle w:val="Compact"/>
              <w:jc w:val="center"/>
            </w:pPr>
            <w:r>
              <w:drawing>
                <wp:inline>
                  <wp:extent cx="4693920" cy="2310852"/>
                  <wp:effectExtent b="0" l="0" r="0" t="0"/>
                  <wp:docPr descr="" title="" id="25" name="Picture"/>
                  <a:graphic>
                    <a:graphicData uri="http://schemas.openxmlformats.org/drawingml/2006/picture">
                      <pic:pic>
                        <pic:nvPicPr>
                          <pic:cNvPr descr="report_files/figure-docx/fig-models-1.png" id="26" name="Picture"/>
                          <pic:cNvPicPr>
                            <a:picLocks noChangeArrowheads="1" noChangeAspect="1"/>
                          </pic:cNvPicPr>
                        </pic:nvPicPr>
                        <pic:blipFill>
                          <a:blip r:embed="rId24"/>
                          <a:stretch>
                            <a:fillRect/>
                          </a:stretch>
                        </pic:blipFill>
                        <pic:spPr bwMode="auto">
                          <a:xfrm>
                            <a:off x="0" y="0"/>
                            <a:ext cx="4693920" cy="2310852"/>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The three variogram model families, drawn with the nugget, partial sill and practical range of the selected model (</w:t>
            </w:r>
            <w:hyperlink w:anchor="sec-parameters">
              <w:r>
                <w:rPr>
                  <w:rStyle w:val="Hyperlink"/>
                </w:rPr>
                <w:t xml:space="preserve">Section 4.4</w:t>
              </w:r>
            </w:hyperlink>
            <w:r>
              <w:t xml:space="preserve">). The open circle marks</w:t>
            </w:r>
            <w:r>
              <w:t xml:space="preserve"> </w:t>
            </w:r>
            <m:oMath>
              <m:r>
                <m:t>γ</m:t>
              </m:r>
              <m:d>
                <m:dPr>
                  <m:begChr m:val="("/>
                  <m:sepChr m:val=""/>
                  <m:endChr m:val=")"/>
                  <m:grow/>
                </m:dPr>
                <m:e>
                  <m:r>
                    <m:t>0</m:t>
                  </m:r>
                </m:e>
              </m:d>
              <m:r>
                <m:rPr>
                  <m:sty m:val="p"/>
                </m:rPr>
                <m:t>=</m:t>
              </m:r>
              <m:r>
                <m:t>0</m:t>
              </m:r>
            </m:oMath>
            <w:r>
              <w:t xml:space="preserve">; the nugget is the jump just above zero lag.</w:t>
            </w:r>
          </w:p>
          <w:bookmarkEnd w:id="27"/>
        </w:tc>
      </w:tr>
    </w:tbl>
    <w:tbl>
      <w:tblPr>
        <w:tblStyle w:val="Table"/>
        <w:tblW w:type="pct" w:w="5000"/>
        <w:tblLayout w:type="fixed"/>
        <w:tblLook w:firstRow="0" w:lastRow="0" w:firstColumn="0" w:lastColumn="0" w:noHBand="0" w:noVBand="0" w:val="0000"/>
      </w:tblPr>
      <w:tblGrid>
        <w:gridCol w:w="7920"/>
      </w:tblGrid>
      <w:tr>
        <w:tc>
          <w:tcPr/>
          <w:bookmarkStart w:id="28" w:name="tbl-models"/>
          <w:p>
            <w:pPr>
              <w:jc w:val="center"/>
            </w:pPr>
            <w:pPr>
              <w:jc w:val="start"/>
              <w:spacing w:before="200"/>
              <w:pStyle w:val="ImageCaption"/>
            </w:pPr>
            <w:r>
              <w:t xml:space="preserve">Table 1: Variogram model families.</w:t>
            </w:r>
            <w:r>
              <w:t xml:space="preserve"> </w:t>
            </w:r>
            <m:oMath>
              <m:sSub>
                <m:e>
                  <m:r>
                    <m:t>c</m:t>
                  </m:r>
                </m:e>
                <m:sub>
                  <m:r>
                    <m:t>0</m:t>
                  </m:r>
                </m:sub>
              </m:sSub>
            </m:oMath>
            <w:r>
              <w:t xml:space="preserve">: nugget;</w:t>
            </w:r>
            <w:r>
              <w:t xml:space="preserve"> </w:t>
            </w:r>
            <m:oMath>
              <m:sSub>
                <m:e>
                  <m:r>
                    <m:t>c</m:t>
                  </m:r>
                </m:e>
                <m:sub>
                  <m:r>
                    <m:t>1</m:t>
                  </m:r>
                </m:sub>
              </m:sSub>
            </m:oMath>
            <w:r>
              <w:t xml:space="preserve">: partial sill;</w:t>
            </w:r>
            <w:r>
              <w:t xml:space="preserve"> </w:t>
            </w:r>
            <m:oMath>
              <m:r>
                <m:t>a</m:t>
              </m:r>
            </m:oMath>
            <w:r>
              <w:t xml:space="preserve">: range parameter as defined in gstat.</w:t>
            </w:r>
          </w:p>
          <w:tbl>
            <w:tblPr>
              <w:tblStyle w:val="Table"/>
              <w:tblW w:type="pct" w:w="5000"/>
              <w:tblLayout w:type="fixed"/>
              <w:tblLook w:firstRow="1" w:lastRow="0" w:firstColumn="0" w:lastColumn="0" w:noHBand="0" w:noVBand="0" w:val="0020"/>
            </w:tblPr>
            <w:tblGrid>
              <w:gridCol w:w="1029"/>
              <w:gridCol w:w="3405"/>
              <w:gridCol w:w="1108"/>
              <w:gridCol w:w="1029"/>
              <w:gridCol w:w="1346"/>
            </w:tblGrid>
            <w:tr>
              <w:trPr>
                <w:tblHeader w:val="on"/>
              </w:trPr>
              <w:tc>
                <w:tcPr/>
                <w:p>
                  <w:pPr>
                    <w:pStyle w:val="Compact"/>
                    <w:jc w:val="left"/>
                    <w:jc w:val="center"/>
                  </w:pPr>
                  <w:r>
                    <w:t xml:space="preserve">Model</w:t>
                  </w:r>
                </w:p>
              </w:tc>
              <w:tc>
                <w:tcPr/>
                <w:p>
                  <w:pPr>
                    <w:pStyle w:val="Compact"/>
                    <w:jc w:val="left"/>
                    <w:jc w:val="center"/>
                  </w:pPr>
                  <m:oMath>
                    <m:r>
                      <m:t>γ</m:t>
                    </m:r>
                    <m:d>
                      <m:dPr>
                        <m:begChr m:val="("/>
                        <m:sepChr m:val=""/>
                        <m:endChr m:val=")"/>
                        <m:grow/>
                      </m:dPr>
                      <m:e>
                        <m:r>
                          <m:t>h</m:t>
                        </m:r>
                      </m:e>
                    </m:d>
                  </m:oMath>
                  <w:r>
                    <w:t xml:space="preserve"> </w:t>
                  </w:r>
                  <w:r>
                    <w:t xml:space="preserve">for</w:t>
                  </w:r>
                  <w:r>
                    <w:t xml:space="preserve"> </w:t>
                  </w:r>
                  <m:oMath>
                    <m:r>
                      <m:t>h</m:t>
                    </m:r>
                    <m:r>
                      <m:rPr>
                        <m:sty m:val="p"/>
                      </m:rPr>
                      <m:t>&gt;</m:t>
                    </m:r>
                    <m:r>
                      <m:t>0</m:t>
                    </m:r>
                  </m:oMath>
                </w:p>
              </w:tc>
              <w:tc>
                <w:tcPr/>
                <w:p>
                  <w:pPr>
                    <w:pStyle w:val="Compact"/>
                    <w:jc w:val="left"/>
                    <w:jc w:val="center"/>
                  </w:pPr>
                  <w:r>
                    <w:t xml:space="preserve">Near the origin</w:t>
                  </w:r>
                </w:p>
              </w:tc>
              <w:tc>
                <w:tcPr/>
                <w:p>
                  <w:pPr>
                    <w:pStyle w:val="Compact"/>
                    <w:jc w:val="left"/>
                    <w:jc w:val="center"/>
                  </w:pPr>
                  <w:r>
                    <w:t xml:space="preserve">Practical range</w:t>
                  </w:r>
                </w:p>
              </w:tc>
              <w:tc>
                <w:tcPr/>
                <w:p>
                  <w:pPr>
                    <w:pStyle w:val="Compact"/>
                    <w:jc w:val="left"/>
                    <w:jc w:val="center"/>
                  </w:pPr>
                  <w:r>
                    <w:t xml:space="preserve">Implied surface</w:t>
                  </w:r>
                </w:p>
              </w:tc>
            </w:tr>
            <w:tr>
              <w:tc>
                <w:tcPr/>
                <w:p>
                  <w:pPr>
                    <w:pStyle w:val="Compact"/>
                    <w:jc w:val="left"/>
                    <w:jc w:val="center"/>
                  </w:pPr>
                  <w:r>
                    <w:t xml:space="preserve">Spherical</w:t>
                  </w:r>
                </w:p>
              </w:tc>
              <w:tc>
                <w:tcPr/>
                <w:p>
                  <w:pPr>
                    <w:pStyle w:val="Compact"/>
                    <w:jc w:val="left"/>
                    <w:jc w:val="center"/>
                  </w:pPr>
                  <m:oMath>
                    <m:sSub>
                      <m:e>
                        <m:r>
                          <m:t>c</m:t>
                        </m:r>
                      </m:e>
                      <m:sub>
                        <m:r>
                          <m:t>0</m:t>
                        </m:r>
                      </m:sub>
                    </m:sSub>
                    <m:r>
                      <m:rPr>
                        <m:sty m:val="p"/>
                      </m:rPr>
                      <m:t>+</m:t>
                    </m:r>
                    <m:sSub>
                      <m:e>
                        <m:r>
                          <m:t>c</m:t>
                        </m:r>
                      </m:e>
                      <m:sub>
                        <m:r>
                          <m:t>1</m:t>
                        </m:r>
                      </m:sub>
                    </m:sSub>
                    <m:d>
                      <m:dPr>
                        <m:begChr m:val="["/>
                        <m:sepChr m:val=""/>
                        <m:endChr m:val="]"/>
                        <m:grow/>
                      </m:dPr>
                      <m:e>
                        <m:f>
                          <m:fPr>
                            <m:type m:val="lin"/>
                          </m:fPr>
                          <m:num>
                            <m:r>
                              <m:t>3</m:t>
                            </m:r>
                          </m:num>
                          <m:den>
                            <m:r>
                              <m:t>2</m:t>
                            </m:r>
                          </m:den>
                        </m:f>
                        <m:f>
                          <m:fPr>
                            <m:type m:val="lin"/>
                          </m:fPr>
                          <m:num>
                            <m:r>
                              <m:t>h</m:t>
                            </m:r>
                          </m:num>
                          <m:den>
                            <m:r>
                              <m:t>a</m:t>
                            </m:r>
                          </m:den>
                        </m:f>
                        <m:r>
                          <m:rPr>
                            <m:sty m:val="p"/>
                          </m:rPr>
                          <m:t>−</m:t>
                        </m:r>
                        <m:f>
                          <m:fPr>
                            <m:type m:val="lin"/>
                          </m:fPr>
                          <m:num>
                            <m:r>
                              <m:t>1</m:t>
                            </m:r>
                          </m:num>
                          <m:den>
                            <m:r>
                              <m:t>2</m:t>
                            </m:r>
                          </m:den>
                        </m:f>
                        <m:sSup>
                          <m:e>
                            <m:d>
                              <m:dPr>
                                <m:begChr m:val="("/>
                                <m:sepChr m:val=""/>
                                <m:endChr m:val=")"/>
                                <m:grow/>
                              </m:dPr>
                              <m:e>
                                <m:f>
                                  <m:fPr>
                                    <m:type m:val="lin"/>
                                  </m:fPr>
                                  <m:num>
                                    <m:r>
                                      <m:t>h</m:t>
                                    </m:r>
                                  </m:num>
                                  <m:den>
                                    <m:r>
                                      <m:t>a</m:t>
                                    </m:r>
                                  </m:den>
                                </m:f>
                              </m:e>
                            </m:d>
                          </m:e>
                          <m:sup>
                            <m:r>
                              <m:t>3</m:t>
                            </m:r>
                          </m:sup>
                        </m:sSup>
                      </m:e>
                    </m:d>
                  </m:oMath>
                  <w:r>
                    <w:t xml:space="preserve"> </w:t>
                  </w:r>
                  <w:r>
                    <w:t xml:space="preserve">for</w:t>
                  </w:r>
                  <w:r>
                    <w:t xml:space="preserve"> </w:t>
                  </w:r>
                  <m:oMath>
                    <m:r>
                      <m:t>h</m:t>
                    </m:r>
                    <m:r>
                      <m:rPr>
                        <m:sty m:val="p"/>
                      </m:rPr>
                      <m:t>≤</m:t>
                    </m:r>
                    <m:r>
                      <m:t>a</m:t>
                    </m:r>
                  </m:oMath>
                  <w:r>
                    <w:t xml:space="preserve">;</w:t>
                  </w:r>
                  <w:r>
                    <w:t xml:space="preserve"> </w:t>
                  </w:r>
                  <m:oMath>
                    <m:sSub>
                      <m:e>
                        <m:r>
                          <m:t>c</m:t>
                        </m:r>
                      </m:e>
                      <m:sub>
                        <m:r>
                          <m:t>0</m:t>
                        </m:r>
                      </m:sub>
                    </m:sSub>
                    <m:r>
                      <m:rPr>
                        <m:sty m:val="p"/>
                      </m:rPr>
                      <m:t>+</m:t>
                    </m:r>
                    <m:sSub>
                      <m:e>
                        <m:r>
                          <m:t>c</m:t>
                        </m:r>
                      </m:e>
                      <m:sub>
                        <m:r>
                          <m:t>1</m:t>
                        </m:r>
                      </m:sub>
                    </m:sSub>
                  </m:oMath>
                  <w:r>
                    <w:t xml:space="preserve"> </w:t>
                  </w:r>
                  <w:r>
                    <w:t xml:space="preserve">for</w:t>
                  </w:r>
                  <w:r>
                    <w:t xml:space="preserve"> </w:t>
                  </w:r>
                  <m:oMath>
                    <m:r>
                      <m:t>h</m:t>
                    </m:r>
                    <m:r>
                      <m:rPr>
                        <m:sty m:val="p"/>
                      </m:rPr>
                      <m:t>&gt;</m:t>
                    </m:r>
                    <m:r>
                      <m:t>a</m:t>
                    </m:r>
                  </m:oMath>
                </w:p>
              </w:tc>
              <w:tc>
                <w:tcPr/>
                <w:p>
                  <w:pPr>
                    <w:pStyle w:val="Compact"/>
                    <w:jc w:val="left"/>
                    <w:jc w:val="center"/>
                  </w:pPr>
                  <w:r>
                    <w:t xml:space="preserve">Linear</w:t>
                  </w:r>
                </w:p>
              </w:tc>
              <w:tc>
                <w:tcPr/>
                <w:p>
                  <w:pPr>
                    <w:pStyle w:val="Compact"/>
                    <w:jc w:val="left"/>
                    <w:jc w:val="center"/>
                  </w:pPr>
                  <m:oMath>
                    <m:r>
                      <m:t>a</m:t>
                    </m:r>
                  </m:oMath>
                </w:p>
              </w:tc>
              <w:tc>
                <w:tcPr/>
                <w:p>
                  <w:pPr>
                    <w:pStyle w:val="Compact"/>
                    <w:jc w:val="left"/>
                    <w:jc w:val="center"/>
                  </w:pPr>
                  <w:r>
                    <w:t xml:space="preserve">Patches of finite size</w:t>
                  </w:r>
                </w:p>
              </w:tc>
            </w:tr>
            <w:tr>
              <w:tc>
                <w:tcPr/>
                <w:p>
                  <w:pPr>
                    <w:pStyle w:val="Compact"/>
                    <w:jc w:val="left"/>
                    <w:jc w:val="center"/>
                  </w:pPr>
                  <w:r>
                    <w:t xml:space="preserve">Exponential</w:t>
                  </w:r>
                </w:p>
              </w:tc>
              <w:tc>
                <w:tcPr/>
                <w:p>
                  <w:pPr>
                    <w:pStyle w:val="Compact"/>
                    <w:jc w:val="left"/>
                    <w:jc w:val="center"/>
                  </w:pPr>
                  <m:oMath>
                    <m:sSub>
                      <m:e>
                        <m:r>
                          <m:t>c</m:t>
                        </m:r>
                      </m:e>
                      <m:sub>
                        <m:r>
                          <m:t>0</m:t>
                        </m:r>
                      </m:sub>
                    </m:sSub>
                    <m:r>
                      <m:rPr>
                        <m:sty m:val="p"/>
                      </m:rPr>
                      <m:t>+</m:t>
                    </m:r>
                    <m:sSub>
                      <m:e>
                        <m:r>
                          <m:t>c</m:t>
                        </m:r>
                      </m:e>
                      <m:sub>
                        <m:r>
                          <m:t>1</m:t>
                        </m:r>
                      </m:sub>
                    </m:sSub>
                    <m:d>
                      <m:dPr>
                        <m:begChr m:val="["/>
                        <m:sepChr m:val=""/>
                        <m:endChr m:val="]"/>
                        <m:grow/>
                      </m:dPr>
                      <m:e>
                        <m:r>
                          <m:t>1</m:t>
                        </m:r>
                        <m:r>
                          <m:rPr>
                            <m:sty m:val="p"/>
                          </m:rPr>
                          <m:t>−</m:t>
                        </m:r>
                        <m:sSup>
                          <m:e>
                            <m:r>
                              <m:t>e</m:t>
                            </m:r>
                          </m:e>
                          <m:sup>
                            <m:r>
                              <m:rPr>
                                <m:sty m:val="p"/>
                              </m:rPr>
                              <m:t>−</m:t>
                            </m:r>
                            <m:r>
                              <m:t>h</m:t>
                            </m:r>
                            <m:r>
                              <m:rPr>
                                <m:sty m:val="p"/>
                              </m:rPr>
                              <m:t>/</m:t>
                            </m:r>
                            <m:r>
                              <m:t>a</m:t>
                            </m:r>
                          </m:sup>
                        </m:sSup>
                      </m:e>
                    </m:d>
                  </m:oMath>
                </w:p>
              </w:tc>
              <w:tc>
                <w:tcPr/>
                <w:p>
                  <w:pPr>
                    <w:pStyle w:val="Compact"/>
                    <w:jc w:val="left"/>
                    <w:jc w:val="center"/>
                  </w:pPr>
                  <w:r>
                    <w:t xml:space="preserve">Linear, steeper</w:t>
                  </w:r>
                </w:p>
              </w:tc>
              <w:tc>
                <w:tcPr/>
                <w:p>
                  <w:pPr>
                    <w:pStyle w:val="Compact"/>
                    <w:jc w:val="left"/>
                    <w:jc w:val="center"/>
                  </w:pPr>
                  <m:oMath>
                    <m:r>
                      <m:rPr>
                        <m:sty m:val="p"/>
                      </m:rPr>
                      <m:t>≈</m:t>
                    </m:r>
                    <m:r>
                      <m:t>3</m:t>
                    </m:r>
                    <m:r>
                      <m:t>a</m:t>
                    </m:r>
                  </m:oMath>
                </w:p>
              </w:tc>
              <w:tc>
                <w:tcPr/>
                <w:p>
                  <w:pPr>
                    <w:pStyle w:val="Compact"/>
                    <w:jc w:val="left"/>
                    <w:jc w:val="center"/>
                  </w:pPr>
                  <w:r>
                    <w:t xml:space="preserve">Irregular (rough)</w:t>
                  </w:r>
                </w:p>
              </w:tc>
            </w:tr>
            <w:tr>
              <w:tc>
                <w:tcPr/>
                <w:p>
                  <w:pPr>
                    <w:pStyle w:val="Compact"/>
                    <w:jc w:val="left"/>
                    <w:jc w:val="center"/>
                  </w:pPr>
                  <w:r>
                    <w:t xml:space="preserve">Gaussian</w:t>
                  </w:r>
                </w:p>
              </w:tc>
              <w:tc>
                <w:tcPr/>
                <w:p>
                  <w:pPr>
                    <w:pStyle w:val="Compact"/>
                    <w:jc w:val="left"/>
                    <w:jc w:val="center"/>
                  </w:pPr>
                  <m:oMath>
                    <m:sSub>
                      <m:e>
                        <m:r>
                          <m:t>c</m:t>
                        </m:r>
                      </m:e>
                      <m:sub>
                        <m:r>
                          <m:t>0</m:t>
                        </m:r>
                      </m:sub>
                    </m:sSub>
                    <m:r>
                      <m:rPr>
                        <m:sty m:val="p"/>
                      </m:rPr>
                      <m:t>+</m:t>
                    </m:r>
                    <m:sSub>
                      <m:e>
                        <m:r>
                          <m:t>c</m:t>
                        </m:r>
                      </m:e>
                      <m:sub>
                        <m:r>
                          <m:t>1</m:t>
                        </m:r>
                      </m:sub>
                    </m:sSub>
                    <m:d>
                      <m:dPr>
                        <m:begChr m:val="["/>
                        <m:sepChr m:val=""/>
                        <m:endChr m:val="]"/>
                        <m:grow/>
                      </m:dPr>
                      <m:e>
                        <m:r>
                          <m:t>1</m:t>
                        </m:r>
                        <m:r>
                          <m:rPr>
                            <m:sty m:val="p"/>
                          </m:rPr>
                          <m:t>−</m:t>
                        </m:r>
                        <m:sSup>
                          <m:e>
                            <m:r>
                              <m:t>e</m:t>
                            </m:r>
                          </m:e>
                          <m:sup>
                            <m:r>
                              <m:rPr>
                                <m:sty m:val="p"/>
                              </m:rPr>
                              <m:t>−</m:t>
                            </m:r>
                            <m:sSup>
                              <m:e>
                                <m:d>
                                  <m:dPr>
                                    <m:begChr m:val="("/>
                                    <m:sepChr m:val=""/>
                                    <m:endChr m:val=")"/>
                                    <m:grow/>
                                  </m:dPr>
                                  <m:e>
                                    <m:r>
                                      <m:t>h</m:t>
                                    </m:r>
                                    <m:r>
                                      <m:rPr>
                                        <m:sty m:val="p"/>
                                      </m:rPr>
                                      <m:t>/</m:t>
                                    </m:r>
                                    <m:r>
                                      <m:t>a</m:t>
                                    </m:r>
                                  </m:e>
                                </m:d>
                              </m:e>
                              <m:sup>
                                <m:r>
                                  <m:t>2</m:t>
                                </m:r>
                              </m:sup>
                            </m:sSup>
                          </m:sup>
                        </m:sSup>
                      </m:e>
                    </m:d>
                  </m:oMath>
                </w:p>
              </w:tc>
              <w:tc>
                <w:tcPr/>
                <w:p>
                  <w:pPr>
                    <w:pStyle w:val="Compact"/>
                    <w:jc w:val="left"/>
                    <w:jc w:val="center"/>
                  </w:pPr>
                  <w:r>
                    <w:t xml:space="preserve">Parabolic</w:t>
                  </w:r>
                </w:p>
              </w:tc>
              <w:tc>
                <w:tcPr/>
                <w:p>
                  <w:pPr>
                    <w:pStyle w:val="Compact"/>
                    <w:jc w:val="left"/>
                    <w:jc w:val="center"/>
                  </w:pPr>
                  <m:oMath>
                    <m:r>
                      <m:rPr>
                        <m:sty m:val="p"/>
                      </m:rPr>
                      <m:t>≈</m:t>
                    </m:r>
                    <m:rad>
                      <m:radPr>
                        <m:degHide m:val="on"/>
                      </m:radPr>
                      <m:deg/>
                      <m:e>
                        <m:r>
                          <m:t>3</m:t>
                        </m:r>
                      </m:e>
                    </m:rad>
                    <m:r>
                      <m:t> </m:t>
                    </m:r>
                    <m:r>
                      <m:t>a</m:t>
                    </m:r>
                  </m:oMath>
                </w:p>
              </w:tc>
              <w:tc>
                <w:tcPr/>
                <w:p>
                  <w:pPr>
                    <w:pStyle w:val="Compact"/>
                    <w:jc w:val="left"/>
                    <w:jc w:val="center"/>
                  </w:pPr>
                  <w:r>
                    <w:t xml:space="preserve">Very smooth</w:t>
                  </w:r>
                </w:p>
              </w:tc>
            </w:tr>
          </w:tbl>
          <w:bookmarkEnd w:id="28"/>
          <w:p/>
        </w:tc>
      </w:tr>
    </w:tbl>
    <w:p>
      <w:pPr>
        <w:pStyle w:val="BodyText"/>
      </w:pPr>
      <w:r>
        <w:t xml:space="preserve">The three families differ in how quickly similarity is lost with distance (</w:t>
      </w:r>
      <w:hyperlink w:anchor="tbl-models">
        <w:r>
          <w:rPr>
            <w:rStyle w:val="Hyperlink"/>
          </w:rPr>
          <w:t xml:space="preserve">Table 1</w:t>
        </w:r>
      </w:hyperlink>
      <w:r>
        <w:t xml:space="preserve">,</w:t>
      </w:r>
      <w:r>
        <w:t xml:space="preserve"> </w:t>
      </w:r>
      <w:hyperlink w:anchor="fig-models">
        <w:r>
          <w:rPr>
            <w:rStyle w:val="Hyperlink"/>
          </w:rPr>
          <w:t xml:space="preserve">Figure 1</w:t>
        </w:r>
      </w:hyperlink>
      <w:r>
        <w:t xml:space="preserve">). The spherical model rises almost linearly and reaches the sill exactly at the range, so sites farther apart than that have zero modeled covariance; it suits processes organized in patches of a characteristic size. For the same practical range, the exponential model rises twice as steeply at the origin and then approaches the sill only gradually, so similarity is lost quickly at short distances but never vanishes completely; it suits processes that vary irregularly from place to place. The Gaussian model is flat near the origin and then rises steeply, which implies a very smooth spatially structured component; a nugget still allows abrupt local variation. It suits smoothly varying quantities such as elevation and can make the kriging equations numerically unstable without a nugget</w:t>
      </w:r>
      <w:r>
        <w:t xml:space="preserve"> </w:t>
      </w:r>
      <w:r>
        <w:t xml:space="preserve">(Oliver and Webster 2014; Dickens 2026b)</w:t>
      </w:r>
      <w:r>
        <w:t xml:space="preserve">. In gstat the range parameter equals the practical range only for the spherical model, so practical ranges are reported throughout.</w:t>
      </w:r>
    </w:p>
    <w:bookmarkEnd w:id="29"/>
    <w:bookmarkStart w:id="30" w:name="sec-m-fit"/>
    <w:p>
      <w:pPr>
        <w:pStyle w:val="Heading2"/>
      </w:pPr>
      <w:r>
        <w:t xml:space="preserve">2.4 Model fitting and convergence</w:t>
      </w:r>
    </w:p>
    <w:p>
      <w:pPr>
        <w:pStyle w:val="FirstParagraph"/>
      </w:pPr>
      <w:r>
        <w:t xml:space="preserve">Models were fitted with</w:t>
      </w:r>
      <w:r>
        <w:t xml:space="preserve"> </w:t>
      </w:r>
      <w:r>
        <w:rPr>
          <w:rStyle w:val="VerbatimChar"/>
        </w:rPr>
        <w:t xml:space="preserve">gstat::fit.variogram</w:t>
      </w:r>
      <w:r>
        <w:t xml:space="preserve"> </w:t>
      </w:r>
      <w:r>
        <w:t xml:space="preserve">(Pebesma 2004; Gräler et al. 2016)</w:t>
      </w:r>
      <w:r>
        <w:t xml:space="preserve">, which minimizes the weighted sum of squared differences between the empirical and model semivariances,</w:t>
      </w:r>
      <w:r>
        <w:t xml:space="preserve"> </w:t>
      </w:r>
      <m:oMath>
        <m:nary>
          <m:naryPr>
            <m:chr m:val="∑"/>
            <m:limLoc m:val="undOvr"/>
            <m:subHide m:val="off"/>
            <m:supHide m:val="on"/>
          </m:naryPr>
          <m:sub>
            <m:r>
              <m:t>j</m:t>
            </m:r>
          </m:sub>
          <m:sup>
            <m:r>
              <m:t>​</m:t>
            </m:r>
          </m:sup>
          <m:e>
            <m:sSub>
              <m:e>
                <m:r>
                  <m:t>w</m:t>
                </m:r>
              </m:e>
              <m:sub>
                <m:r>
                  <m:t>j</m:t>
                </m:r>
              </m:sub>
            </m:sSub>
          </m:e>
        </m:nary>
        <m:sSup>
          <m:e>
            <m:d>
              <m:dPr>
                <m:begChr m:val="("/>
                <m:sepChr m:val=""/>
                <m:endChr m:val=")"/>
                <m:grow/>
              </m:dPr>
              <m:e>
                <m:acc>
                  <m:accPr>
                    <m:chr m:val="̂"/>
                  </m:accPr>
                  <m:e>
                    <m:r>
                      <m:t>γ</m:t>
                    </m:r>
                  </m:e>
                </m:acc>
                <m:d>
                  <m:dPr>
                    <m:begChr m:val="("/>
                    <m:sepChr m:val=""/>
                    <m:endChr m:val=")"/>
                    <m:grow/>
                  </m:dPr>
                  <m:e>
                    <m:sSub>
                      <m:e>
                        <m:r>
                          <m:t>h</m:t>
                        </m:r>
                      </m:e>
                      <m:sub>
                        <m:r>
                          <m:t>j</m:t>
                        </m:r>
                      </m:sub>
                    </m:sSub>
                  </m:e>
                </m:d>
                <m:r>
                  <m:rPr>
                    <m:sty m:val="p"/>
                  </m:rPr>
                  <m:t>−</m:t>
                </m:r>
                <m:r>
                  <m:t>γ</m:t>
                </m:r>
                <m:d>
                  <m:dPr>
                    <m:begChr m:val="("/>
                    <m:sepChr m:val=""/>
                    <m:endChr m:val=")"/>
                    <m:grow/>
                  </m:dPr>
                  <m:e>
                    <m:sSub>
                      <m:e>
                        <m:r>
                          <m:t>h</m:t>
                        </m:r>
                      </m:e>
                      <m:sub>
                        <m:r>
                          <m:t>j</m:t>
                        </m:r>
                      </m:sub>
                    </m:sSub>
                    <m:r>
                      <m:rPr>
                        <m:sty m:val="p"/>
                      </m:rPr>
                      <m:t>;</m:t>
                    </m:r>
                    <m:r>
                      <m:t>θ</m:t>
                    </m:r>
                  </m:e>
                </m:d>
              </m:e>
            </m:d>
          </m:e>
          <m:sup>
            <m:r>
              <m:t>2</m:t>
            </m:r>
          </m:sup>
        </m:sSup>
      </m:oMath>
      <w:r>
        <w:t xml:space="preserve">, over the parameters</w:t>
      </w:r>
      <w:r>
        <w:t xml:space="preserve"> </w:t>
      </w:r>
      <m:oMath>
        <m:r>
          <m:t>θ</m:t>
        </m:r>
        <m:r>
          <m:rPr>
            <m:sty m:val="p"/>
          </m:rPr>
          <m:t>=</m:t>
        </m:r>
        <m:d>
          <m:dPr>
            <m:begChr m:val="("/>
            <m:sepChr m:val=""/>
            <m:endChr m:val=")"/>
            <m:grow/>
          </m:dPr>
          <m:e>
            <m:sSub>
              <m:e>
                <m:r>
                  <m:t>c</m:t>
                </m:r>
              </m:e>
              <m:sub>
                <m:r>
                  <m:t>0</m:t>
                </m:r>
              </m:sub>
            </m:sSub>
            <m:r>
              <m:rPr>
                <m:sty m:val="p"/>
              </m:rPr>
              <m:t>,</m:t>
            </m:r>
            <m:sSub>
              <m:e>
                <m:r>
                  <m:t>c</m:t>
                </m:r>
              </m:e>
              <m:sub>
                <m:r>
                  <m:t>1</m:t>
                </m:r>
              </m:sub>
            </m:sSub>
            <m:r>
              <m:rPr>
                <m:sty m:val="p"/>
              </m:rPr>
              <m:t>,</m:t>
            </m:r>
            <m:r>
              <m:t>a</m:t>
            </m:r>
          </m:e>
        </m:d>
      </m:oMath>
      <w:r>
        <w:t xml:space="preserve">. Because the models are nonlinear in the range, the fit is computed iteratively from user-supplied starting values, stopping when the relative change in the weighted residual sum of squares falls below a tolerance. In gstat 2.1-6, weights are held fixed during a fit; method 2 uses the starting variogram to compute its model-dependent weights. Three weighting schemes were compared:</w:t>
      </w:r>
      <w:r>
        <w:t xml:space="preserve"> </w:t>
      </w:r>
      <m:oMath>
        <m:sSub>
          <m:e>
            <m:r>
              <m:t>w</m:t>
            </m:r>
          </m:e>
          <m:sub>
            <m:r>
              <m:t>j</m:t>
            </m:r>
          </m:sub>
        </m:sSub>
        <m:r>
          <m:rPr>
            <m:sty m:val="p"/>
          </m:rPr>
          <m:t>=</m:t>
        </m:r>
        <m:sSub>
          <m:e>
            <m:r>
              <m:t>N</m:t>
            </m:r>
          </m:e>
          <m:sub>
            <m:r>
              <m:t>j</m:t>
            </m:r>
          </m:sub>
        </m:sSub>
      </m:oMath>
      <w:r>
        <w:t xml:space="preserve">, which trusts bins with more pairs (gstat method 1);</w:t>
      </w:r>
      <w:r>
        <w:t xml:space="preserve"> </w:t>
      </w:r>
      <m:oMath>
        <m:sSub>
          <m:e>
            <m:r>
              <m:t>w</m:t>
            </m:r>
          </m:e>
          <m:sub>
            <m:r>
              <m:t>j</m:t>
            </m:r>
          </m:sub>
        </m:sSub>
        <m:r>
          <m:rPr>
            <m:sty m:val="p"/>
          </m:rPr>
          <m:t>=</m:t>
        </m:r>
        <m:sSub>
          <m:e>
            <m:r>
              <m:t>N</m:t>
            </m:r>
          </m:e>
          <m:sub>
            <m:r>
              <m:t>j</m:t>
            </m:r>
          </m:sub>
        </m:sSub>
        <m:r>
          <m:rPr>
            <m:sty m:val="p"/>
          </m:rPr>
          <m:t>/</m:t>
        </m:r>
        <m:sSub>
          <m:e>
            <m:r>
              <m:t>γ</m:t>
            </m:r>
          </m:e>
          <m:sub>
            <m:r>
              <m:rPr>
                <m:sty m:val="p"/>
              </m:rPr>
              <m:t>s</m:t>
            </m:r>
            <m:r>
              <m:rPr>
                <m:sty m:val="p"/>
              </m:rPr>
              <m:t>t</m:t>
            </m:r>
            <m:r>
              <m:rPr>
                <m:sty m:val="p"/>
              </m:rPr>
              <m:t>a</m:t>
            </m:r>
            <m:r>
              <m:rPr>
                <m:sty m:val="p"/>
              </m:rPr>
              <m:t>r</m:t>
            </m:r>
            <m:r>
              <m:rPr>
                <m:sty m:val="p"/>
              </m:rPr>
              <m:t>t</m:t>
            </m:r>
          </m:sub>
        </m:sSub>
        <m:sSup>
          <m:e>
            <m:d>
              <m:dPr>
                <m:begChr m:val="("/>
                <m:sepChr m:val=""/>
                <m:endChr m:val=")"/>
                <m:grow/>
              </m:dPr>
              <m:e>
                <m:sSub>
                  <m:e>
                    <m:r>
                      <m:t>h</m:t>
                    </m:r>
                  </m:e>
                  <m:sub>
                    <m:r>
                      <m:t>j</m:t>
                    </m:r>
                  </m:sub>
                </m:sSub>
              </m:e>
            </m:d>
          </m:e>
          <m:sup>
            <m:r>
              <m:t>2</m:t>
            </m:r>
          </m:sup>
        </m:sSup>
      </m:oMath>
      <w:r>
        <w:t xml:space="preserve">, which down-weights bins with high starting-model semivariance (gstat method 2)</w:t>
      </w:r>
      <w:r>
        <w:t xml:space="preserve"> </w:t>
      </w:r>
      <w:r>
        <w:t xml:space="preserve">(Cressie 1985)</w:t>
      </w:r>
      <w:r>
        <w:t xml:space="preserve">; and</w:t>
      </w:r>
      <w:r>
        <w:t xml:space="preserve"> </w:t>
      </w:r>
      <m:oMath>
        <m:sSub>
          <m:e>
            <m:r>
              <m:t>w</m:t>
            </m:r>
          </m:e>
          <m:sub>
            <m:r>
              <m:t>j</m:t>
            </m:r>
          </m:sub>
        </m:sSub>
        <m:r>
          <m:rPr>
            <m:sty m:val="p"/>
          </m:rPr>
          <m:t>=</m:t>
        </m:r>
        <m:sSub>
          <m:e>
            <m:r>
              <m:t>N</m:t>
            </m:r>
          </m:e>
          <m:sub>
            <m:r>
              <m:t>j</m:t>
            </m:r>
          </m:sub>
        </m:sSub>
        <m:r>
          <m:rPr>
            <m:sty m:val="p"/>
          </m:rPr>
          <m:t>/</m:t>
        </m:r>
        <m:sSubSup>
          <m:e>
            <m:r>
              <m:t>h</m:t>
            </m:r>
          </m:e>
          <m:sub>
            <m:r>
              <m:t>j</m:t>
            </m:r>
          </m:sub>
          <m:sup>
            <m:r>
              <m:t>2</m:t>
            </m:r>
          </m:sup>
        </m:sSubSup>
      </m:oMath>
      <w:r>
        <w:t xml:space="preserve">, which emphasizes short lags, where the kriging weights are largest (method 7, the gstat default)</w:t>
      </w:r>
      <w:r>
        <w:t xml:space="preserve"> </w:t>
      </w:r>
      <w:r>
        <w:t xml:space="preserve">(Pebesma and Gräler 2026)</w:t>
      </w:r>
      <w:r>
        <w:t xml:space="preserve">.</w:t>
      </w:r>
    </w:p>
    <w:p>
      <w:pPr>
        <w:pStyle w:val="BodyText"/>
      </w:pPr>
      <w:r>
        <w:t xml:space="preserve">An iterative fit is reported as converged when its stopping criterion is met; this alone does not establish a global minimum. It can fail in two ways. It may reach the iteration limit without settling, which gstat reports with a warning (</w:t>
      </w:r>
      <w:r>
        <w:t xml:space="preserve">“No convergence after 200 iterations”</w:t>
      </w:r>
      <w:r>
        <w:t xml:space="preserve">), or the parameters may not be separable from one another, for example when a spherical range falls below the first lag: every modeled bin is at the sill, so the nugget and partial sill cannot be separated and the range is unidentified, which gstat flags as a singular fit. In both cases gstat still returns parameter values, so the absence of an error does not imply a valid fit. With few bins, a fit can also converge to different solutions from different starting values. Each combination of bin width, cutoff, model family and weighting (180 settings) was therefore fitted from four starting values: one read from the empirical variogram (nugget 1.5 and partial sill 1.5 cases</w:t>
      </w:r>
      <w:r>
        <w:rPr>
          <w:vertAlign w:val="superscript"/>
        </w:rPr>
        <w:t xml:space="preserve">2</w:t>
      </w:r>
      <w:r>
        <w:t xml:space="preserve">, practical range 6 km) and three deliberately poor ones (practical range 0.6 km, practical range 60 km, and a nugget close to the full sill). A setting was classed as stable if (i) the sensible start converged without a warning or a singular fit; (ii) at least two starts converged and agreed within 1%; (iii) the parameters were plausible, with a positive partial sill, a practical range no longer than the cutoff (beyond which no bin carries information) and a sill at most twice the sample variance; and (iv) there were more bins than parameters.</w:t>
      </w:r>
    </w:p>
    <w:bookmarkEnd w:id="30"/>
    <w:bookmarkStart w:id="31" w:name="sec-m-cv"/>
    <w:p>
      <w:pPr>
        <w:pStyle w:val="Heading2"/>
      </w:pPr>
      <w:r>
        <w:t xml:space="preserve">2.5 Model selection by cross-validation</w:t>
      </w:r>
    </w:p>
    <w:p>
      <w:pPr>
        <w:pStyle w:val="FirstParagraph"/>
      </w:pPr>
      <w:r>
        <w:t xml:space="preserve">Stable fits were compared by leave-one-out cross-validation with</w:t>
      </w:r>
      <w:r>
        <w:t xml:space="preserve"> </w:t>
      </w:r>
      <w:r>
        <w:rPr>
          <w:rStyle w:val="VerbatimChar"/>
        </w:rPr>
        <w:t xml:space="preserve">gstat::krige.cv</w:t>
      </w:r>
      <w:r>
        <w:t xml:space="preserve">. Each site is removed in turn and its count is predicted by ordinary kriging from the other 29 sites, using the variogram fitted to all 30. From the observed counts</w:t>
      </w:r>
      <w:r>
        <w:t xml:space="preserve"> </w:t>
      </w:r>
      <m:oMath>
        <m:sSub>
          <m:e>
            <m:r>
              <m:t>z</m:t>
            </m:r>
          </m:e>
          <m:sub>
            <m:r>
              <m:t>i</m:t>
            </m:r>
          </m:sub>
        </m:sSub>
      </m:oMath>
      <w:r>
        <w:t xml:space="preserve">, the cross-validated predictions</w:t>
      </w:r>
      <w:r>
        <w:t xml:space="preserve"> </w:t>
      </w:r>
      <m:oMath>
        <m:sSub>
          <m:e>
            <m:acc>
              <m:accPr>
                <m:chr m:val="̂"/>
              </m:accPr>
              <m:e>
                <m:r>
                  <m:t>z</m:t>
                </m:r>
              </m:e>
            </m:acc>
          </m:e>
          <m:sub>
            <m:r>
              <m:rPr>
                <m:sty m:val="p"/>
              </m:rPr>
              <m:t>−</m:t>
            </m:r>
            <m:r>
              <m:t>i</m:t>
            </m:r>
          </m:sub>
        </m:sSub>
      </m:oMath>
      <w:r>
        <w:t xml:space="preserve"> </w:t>
      </w:r>
      <w:r>
        <w:t xml:space="preserve">and their kriging standard deviations</w:t>
      </w:r>
      <w:r>
        <w:t xml:space="preserve"> </w:t>
      </w:r>
      <m:oMath>
        <m:sSub>
          <m:e>
            <m:acc>
              <m:accPr>
                <m:chr m:val="̂"/>
              </m:accPr>
              <m:e>
                <m:r>
                  <m:t>σ</m:t>
                </m:r>
              </m:e>
            </m:acc>
          </m:e>
          <m:sub>
            <m:r>
              <m:rPr>
                <m:sty m:val="p"/>
              </m:rPr>
              <m:t>−</m:t>
            </m:r>
            <m:r>
              <m:t>i</m:t>
            </m:r>
          </m:sub>
        </m:sSub>
      </m:oMath>
      <w:r>
        <w:t xml:space="preserve">,</w:t>
      </w:r>
    </w:p>
    <w:p>
      <w:pPr>
        <w:pStyle w:val="BodyText"/>
      </w:pPr>
      <m:oMathPara>
        <m:oMathParaPr>
          <m:jc m:val="center"/>
        </m:oMathParaPr>
        <m:oMath>
          <m:r>
            <m:rPr>
              <m:nor/>
              <m:sty m:val="p"/>
            </m:rPr>
            <m:t>RMSE</m:t>
          </m:r>
          <m:r>
            <m:rPr>
              <m:sty m:val="p"/>
            </m:rPr>
            <m:t>=</m:t>
          </m:r>
          <m:rad>
            <m:radPr>
              <m:degHide m:val="on"/>
            </m:radPr>
            <m:deg/>
            <m:e>
              <m:f>
                <m:fPr>
                  <m:type m:val="bar"/>
                </m:fPr>
                <m:num>
                  <m:r>
                    <m:t>1</m:t>
                  </m:r>
                </m:num>
                <m:den>
                  <m:r>
                    <m:t>n</m:t>
                  </m:r>
                </m:den>
              </m:f>
              <m:nary>
                <m:naryPr>
                  <m:chr m:val="∑"/>
                  <m:limLoc m:val="undOvr"/>
                  <m:subHide m:val="off"/>
                  <m:supHide m:val="off"/>
                </m:naryPr>
                <m:sub>
                  <m:r>
                    <m:t>i</m:t>
                  </m:r>
                  <m:r>
                    <m:rPr>
                      <m:sty m:val="p"/>
                    </m:rPr>
                    <m:t>=</m:t>
                  </m:r>
                  <m:r>
                    <m:t>1</m:t>
                  </m:r>
                </m:sub>
                <m:sup>
                  <m:r>
                    <m:t>n</m:t>
                  </m:r>
                </m:sup>
                <m:e>
                  <m:sSup>
                    <m:e>
                      <m:d>
                        <m:dPr>
                          <m:begChr m:val="("/>
                          <m:sepChr m:val=""/>
                          <m:endChr m:val=")"/>
                          <m:grow/>
                        </m:dPr>
                        <m:e>
                          <m:sSub>
                            <m:e>
                              <m:r>
                                <m:t>z</m:t>
                              </m:r>
                            </m:e>
                            <m:sub>
                              <m:r>
                                <m:t>i</m:t>
                              </m:r>
                            </m:sub>
                          </m:sSub>
                          <m:r>
                            <m:rPr>
                              <m:sty m:val="p"/>
                            </m:rPr>
                            <m:t>−</m:t>
                          </m:r>
                          <m:sSub>
                            <m:e>
                              <m:acc>
                                <m:accPr>
                                  <m:chr m:val="̂"/>
                                </m:accPr>
                                <m:e>
                                  <m:r>
                                    <m:t>z</m:t>
                                  </m:r>
                                </m:e>
                              </m:acc>
                            </m:e>
                            <m:sub>
                              <m:r>
                                <m:rPr>
                                  <m:sty m:val="p"/>
                                </m:rPr>
                                <m:t>−</m:t>
                              </m:r>
                              <m:r>
                                <m:t>i</m:t>
                              </m:r>
                            </m:sub>
                          </m:sSub>
                        </m:e>
                      </m:d>
                    </m:e>
                    <m:sup>
                      <m:r>
                        <m:t>2</m:t>
                      </m:r>
                    </m:sup>
                  </m:sSup>
                </m:e>
              </m:nary>
            </m:e>
          </m:rad>
          <m:r>
            <m:rPr>
              <m:sty m:val="p"/>
            </m:rPr>
            <m:t>,</m:t>
          </m:r>
          <m:r>
            <m:t>  </m:t>
          </m:r>
          <m:r>
            <m:rPr>
              <m:nor/>
              <m:sty m:val="p"/>
            </m:rPr>
            <m:t>MAE</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d>
                <m:dPr>
                  <m:begChr m:val="|"/>
                  <m:sepChr m:val=""/>
                  <m:endChr m:val="|"/>
                  <m:grow/>
                </m:dPr>
                <m:e>
                  <m:sSub>
                    <m:e>
                      <m:r>
                        <m:t>z</m:t>
                      </m:r>
                    </m:e>
                    <m:sub>
                      <m:r>
                        <m:t>i</m:t>
                      </m:r>
                    </m:sub>
                  </m:sSub>
                  <m:r>
                    <m:rPr>
                      <m:sty m:val="p"/>
                    </m:rPr>
                    <m:t>−</m:t>
                  </m:r>
                  <m:sSub>
                    <m:e>
                      <m:acc>
                        <m:accPr>
                          <m:chr m:val="̂"/>
                        </m:accPr>
                        <m:e>
                          <m:r>
                            <m:t>z</m:t>
                          </m:r>
                        </m:e>
                      </m:acc>
                    </m:e>
                    <m:sub>
                      <m:r>
                        <m:rPr>
                          <m:sty m:val="p"/>
                        </m:rPr>
                        <m:t>−</m:t>
                      </m:r>
                      <m:r>
                        <m:t>i</m:t>
                      </m:r>
                    </m:sub>
                  </m:sSub>
                </m:e>
              </m:d>
            </m:e>
          </m:nary>
          <m:r>
            <m:rPr>
              <m:sty m:val="p"/>
            </m:rPr>
            <m:t>,</m:t>
          </m:r>
          <m:r>
            <m:t>  </m:t>
          </m:r>
          <m:sSub>
            <m:e>
              <m:r>
                <m:t>r</m:t>
              </m:r>
            </m:e>
            <m:sub>
              <m:r>
                <m:t>i</m:t>
              </m:r>
            </m:sub>
          </m:sSub>
          <m:r>
            <m:rPr>
              <m:sty m:val="p"/>
            </m:rPr>
            <m:t>=</m:t>
          </m:r>
          <m:f>
            <m:fPr>
              <m:type m:val="bar"/>
            </m:fPr>
            <m:num>
              <m:sSub>
                <m:e>
                  <m:r>
                    <m:t>z</m:t>
                  </m:r>
                </m:e>
                <m:sub>
                  <m:r>
                    <m:t>i</m:t>
                  </m:r>
                </m:sub>
              </m:sSub>
              <m:r>
                <m:rPr>
                  <m:sty m:val="p"/>
                </m:rPr>
                <m:t>−</m:t>
              </m:r>
              <m:sSub>
                <m:e>
                  <m:acc>
                    <m:accPr>
                      <m:chr m:val="̂"/>
                    </m:accPr>
                    <m:e>
                      <m:r>
                        <m:t>z</m:t>
                      </m:r>
                    </m:e>
                  </m:acc>
                </m:e>
                <m:sub>
                  <m:r>
                    <m:rPr>
                      <m:sty m:val="p"/>
                    </m:rPr>
                    <m:t>−</m:t>
                  </m:r>
                  <m:r>
                    <m:t>i</m:t>
                  </m:r>
                </m:sub>
              </m:sSub>
            </m:num>
            <m:den>
              <m:sSub>
                <m:e>
                  <m:acc>
                    <m:accPr>
                      <m:chr m:val="̂"/>
                    </m:accPr>
                    <m:e>
                      <m:r>
                        <m:t>σ</m:t>
                      </m:r>
                    </m:e>
                  </m:acc>
                </m:e>
                <m:sub>
                  <m:r>
                    <m:rPr>
                      <m:sty m:val="p"/>
                    </m:rPr>
                    <m:t>−</m:t>
                  </m:r>
                  <m:r>
                    <m:t>i</m:t>
                  </m:r>
                </m:sub>
              </m:sSub>
            </m:den>
          </m:f>
          <m:r>
            <m:rPr>
              <m:sty m:val="p"/>
            </m:rPr>
            <m:t>.</m:t>
          </m:r>
        </m:oMath>
      </m:oMathPara>
    </w:p>
    <w:p>
      <w:pPr>
        <w:pStyle w:val="FirstParagraph"/>
      </w:pPr>
      <w:r>
        <w:t xml:space="preserve">The root mean squared error (RMSE) and mean absolute error (MAE) measure accuracy in cases; RMSE gives more weight to large errors. The standardized errors (z-scores)</w:t>
      </w:r>
      <w:r>
        <w:t xml:space="preserve"> </w:t>
      </w:r>
      <m:oMath>
        <m:sSub>
          <m:e>
            <m:r>
              <m:t>r</m:t>
            </m:r>
          </m:e>
          <m:sub>
            <m:r>
              <m:t>i</m:t>
            </m:r>
          </m:sub>
        </m:sSub>
      </m:oMath>
      <w:r>
        <w:t xml:space="preserve"> </w:t>
      </w:r>
      <w:r>
        <w:t xml:space="preserve">test whether the kriging variance describes the actual errors. If it does, they have a mean near 0 and a standard deviation near 1; an SD above 1 indicates that the uncertainty is understated, and below 1 that it is overstated</w:t>
      </w:r>
      <w:r>
        <w:t xml:space="preserve"> </w:t>
      </w:r>
      <w:r>
        <w:t xml:space="preserve">(Oliver and Webster 2014)</w:t>
      </w:r>
      <w:r>
        <w:t xml:space="preserve">. The comparator was a pure-nugget model, which assumes no spatial correlation and therefore predicts every site by the mean of the others; a spatial model is worthwhile only if it predicts better than this control</w:t>
      </w:r>
      <w:r>
        <w:t xml:space="preserve"> </w:t>
      </w:r>
      <w:r>
        <w:t xml:space="preserve">(Dickens 2026b)</w:t>
      </w:r>
      <w:r>
        <w:t xml:space="preserve">. The selection rule, fixed before any mapping, was the lowest RMSE among stable fits whose bins all hold at least 30 pairs, provided the z-score SD lay between 0.8 and 1.2 and the RMSE was below that of the control. Moran’s I (</w:t>
      </w:r>
      <w:hyperlink w:anchor="sec-m-green">
        <w:r>
          <w:rPr>
            <w:rStyle w:val="Hyperlink"/>
          </w:rPr>
          <w:t xml:space="preserve">Section 2.8</w:t>
        </w:r>
      </w:hyperlink>
      <w:r>
        <w:t xml:space="preserve">) of the cross-validation errors tested for remaining positive spatial autocorrelation. The variogram was not refitted within each fold, and these same errors were used to select the setting. The reported accuracy may therefore be optimistic and does not validate the full model-selection procedure.</w:t>
      </w:r>
    </w:p>
    <w:bookmarkEnd w:id="31"/>
    <w:bookmarkStart w:id="34" w:name="sec-m-kriging"/>
    <w:p>
      <w:pPr>
        <w:pStyle w:val="Heading2"/>
      </w:pPr>
      <w:r>
        <w:t xml:space="preserve">2.6 Kriging</w:t>
      </w:r>
    </w:p>
    <w:p>
      <w:pPr>
        <w:pStyle w:val="FirstParagraph"/>
      </w:pPr>
      <w:r>
        <w:t xml:space="preserve">Kriging predicts the count at an unsampled location</w:t>
      </w:r>
      <w:r>
        <w:t xml:space="preserve"> </w:t>
      </w:r>
      <m:oMath>
        <m:sSub>
          <m:e>
            <m:r>
              <m:t>s</m:t>
            </m:r>
          </m:e>
          <m:sub>
            <m:r>
              <m:t>0</m:t>
            </m:r>
          </m:sub>
        </m:sSub>
      </m:oMath>
      <w:r>
        <w:t xml:space="preserve"> </w:t>
      </w:r>
      <w:r>
        <w:t xml:space="preserve">as a weighted average of the observations,</w:t>
      </w:r>
      <w:r>
        <w:t xml:space="preserve"> </w:t>
      </w:r>
      <m:oMath>
        <m:acc>
          <m:accPr>
            <m:chr m:val="̂"/>
          </m:accPr>
          <m:e>
            <m:r>
              <m:t>z</m:t>
            </m:r>
          </m:e>
        </m:acc>
        <m:d>
          <m:dPr>
            <m:begChr m:val="("/>
            <m:sepChr m:val=""/>
            <m:endChr m:val=")"/>
            <m:grow/>
          </m:dPr>
          <m:e>
            <m:sSub>
              <m:e>
                <m:r>
                  <m:t>s</m:t>
                </m:r>
              </m:e>
              <m:sub>
                <m:r>
                  <m:t>0</m:t>
                </m:r>
              </m:sub>
            </m:sSub>
          </m:e>
        </m:d>
        <m:r>
          <m:rPr>
            <m:sty m:val="p"/>
          </m:rPr>
          <m:t>=</m:t>
        </m:r>
        <m:nary>
          <m:naryPr>
            <m:chr m:val="∑"/>
            <m:limLoc m:val="undOvr"/>
            <m:subHide m:val="off"/>
            <m:supHide m:val="on"/>
          </m:naryPr>
          <m:sub>
            <m:r>
              <m:t>i</m:t>
            </m:r>
          </m:sub>
          <m:sup>
            <m:r>
              <m:t>​</m:t>
            </m:r>
          </m:sup>
          <m:e>
            <m:sSub>
              <m:e>
                <m:r>
                  <m:t>λ</m:t>
                </m:r>
              </m:e>
              <m:sub>
                <m:r>
                  <m:t>i</m:t>
                </m:r>
              </m:sub>
            </m:sSub>
          </m:e>
        </m:nary>
        <m:r>
          <m:t>z</m:t>
        </m:r>
        <m:d>
          <m:dPr>
            <m:begChr m:val="("/>
            <m:sepChr m:val=""/>
            <m:endChr m:val=")"/>
            <m:grow/>
          </m:dPr>
          <m:e>
            <m:sSub>
              <m:e>
                <m:r>
                  <m:t>s</m:t>
                </m:r>
              </m:e>
              <m:sub>
                <m:r>
                  <m:t>i</m:t>
                </m:r>
              </m:sub>
            </m:sSub>
          </m:e>
        </m:d>
      </m:oMath>
      <w:r>
        <w:t xml:space="preserve">, with weights chosen to minimize the expected squared prediction error (the kriging variance) subject to unbiasedness; it is therefore the best linear unbiased predictor given the variogram</w:t>
      </w:r>
      <w:r>
        <w:t xml:space="preserve"> </w:t>
      </w:r>
      <w:r>
        <w:t xml:space="preserve">(Cressie 1993)</w:t>
      </w:r>
      <w:r>
        <w:t xml:space="preserve">. For ordinary kriging the weights solve</w:t>
      </w:r>
    </w:p>
    <w:p>
      <w:pPr>
        <w:pStyle w:val="BodyText"/>
      </w:pPr>
      <m:oMathPara>
        <m:oMathParaPr>
          <m:jc m:val="center"/>
        </m:oMathParaPr>
        <m:oMath>
          <m:m>
            <m:mPr>
              <m:baseJc m:val="center"/>
              <m:plcHide m:val="on"/>
              <m:mcs>
                <m:mc>
                  <m:mcPr>
                    <m:mcJc m:val="right"/>
                    <m:count m:val="1"/>
                  </m:mcPr>
                </m:mc>
                <m:mc>
                  <m:mcPr>
                    <m:mcJc m:val="left"/>
                    <m:count m:val="1"/>
                  </m:mcPr>
                </m:mc>
              </m:mcs>
            </m:mPr>
            <m:mr>
              <m:e>
                <m:nary>
                  <m:naryPr>
                    <m:chr m:val="∑"/>
                    <m:limLoc m:val="undOvr"/>
                    <m:subHide m:val="off"/>
                    <m:supHide m:val="off"/>
                  </m:naryPr>
                  <m:sub>
                    <m:r>
                      <m:t>j</m:t>
                    </m:r>
                    <m:r>
                      <m:rPr>
                        <m:sty m:val="p"/>
                      </m:rPr>
                      <m:t>=</m:t>
                    </m:r>
                    <m:r>
                      <m:t>1</m:t>
                    </m:r>
                  </m:sub>
                  <m:sup>
                    <m:r>
                      <m:t>n</m:t>
                    </m:r>
                  </m:sup>
                  <m:e>
                    <m:sSub>
                      <m:e>
                        <m:r>
                          <m:t>λ</m:t>
                        </m:r>
                      </m:e>
                      <m:sub>
                        <m:r>
                          <m:t>j</m:t>
                        </m:r>
                      </m:sub>
                    </m:sSub>
                  </m:e>
                </m:nary>
                <m:r>
                  <m:t>γ</m:t>
                </m:r>
                <m:d>
                  <m:dPr>
                    <m:begChr m:val="("/>
                    <m:sepChr m:val=""/>
                    <m:endChr m:val=")"/>
                    <m:grow/>
                  </m:dPr>
                  <m:e>
                    <m:sSub>
                      <m:e>
                        <m:r>
                          <m:t>h</m:t>
                        </m:r>
                      </m:e>
                      <m:sub>
                        <m:r>
                          <m:t>i</m:t>
                        </m:r>
                        <m:r>
                          <m:t>j</m:t>
                        </m:r>
                      </m:sub>
                    </m:sSub>
                  </m:e>
                </m:d>
                <m:r>
                  <m:rPr>
                    <m:sty m:val="p"/>
                  </m:rPr>
                  <m:t>+</m:t>
                </m:r>
                <m:r>
                  <m:t>ψ</m:t>
                </m:r>
              </m:e>
              <m:e>
                <m:r>
                  <m:rPr>
                    <m:sty m:val="p"/>
                  </m:rPr>
                  <m:t>=</m:t>
                </m:r>
                <m:r>
                  <m:t>γ</m:t>
                </m:r>
                <m:d>
                  <m:dPr>
                    <m:begChr m:val="("/>
                    <m:sepChr m:val=""/>
                    <m:endChr m:val=")"/>
                    <m:grow/>
                  </m:dPr>
                  <m:e>
                    <m:sSub>
                      <m:e>
                        <m:r>
                          <m:t>h</m:t>
                        </m:r>
                      </m:e>
                      <m:sub>
                        <m:r>
                          <m:t>i</m:t>
                        </m:r>
                        <m:r>
                          <m:t>0</m:t>
                        </m:r>
                      </m:sub>
                    </m:sSub>
                  </m:e>
                </m:d>
                <m:r>
                  <m:t> </m:t>
                </m:r>
                <m:d>
                  <m:dPr>
                    <m:begChr m:val="("/>
                    <m:sepChr m:val=""/>
                    <m:endChr m:val=")"/>
                    <m:grow/>
                  </m:dPr>
                  <m:e>
                    <m:r>
                      <m:t>i</m:t>
                    </m:r>
                    <m:r>
                      <m:rPr>
                        <m:sty m:val="p"/>
                      </m:rPr>
                      <m:t>=</m:t>
                    </m:r>
                    <m:r>
                      <m:t>1</m:t>
                    </m:r>
                    <m:r>
                      <m:rPr>
                        <m:sty m:val="p"/>
                      </m:rPr>
                      <m:t>,</m:t>
                    </m:r>
                    <m:r>
                      <m:rPr>
                        <m:sty m:val="p"/>
                      </m:rPr>
                      <m:t>…</m:t>
                    </m:r>
                    <m:r>
                      <m:rPr>
                        <m:sty m:val="p"/>
                      </m:rPr>
                      <m:t>,</m:t>
                    </m:r>
                    <m:r>
                      <m:t>n</m:t>
                    </m:r>
                  </m:e>
                </m:d>
                <m:r>
                  <m:rPr>
                    <m:sty m:val="p"/>
                  </m:rPr>
                  <m:t>,</m:t>
                </m:r>
              </m:e>
            </m:mr>
            <m:mr>
              <m:e>
                <m:nary>
                  <m:naryPr>
                    <m:chr m:val="∑"/>
                    <m:limLoc m:val="undOvr"/>
                    <m:subHide m:val="off"/>
                    <m:supHide m:val="off"/>
                  </m:naryPr>
                  <m:sub>
                    <m:r>
                      <m:t>j</m:t>
                    </m:r>
                    <m:r>
                      <m:rPr>
                        <m:sty m:val="p"/>
                      </m:rPr>
                      <m:t>=</m:t>
                    </m:r>
                    <m:r>
                      <m:t>1</m:t>
                    </m:r>
                  </m:sub>
                  <m:sup>
                    <m:r>
                      <m:t>n</m:t>
                    </m:r>
                  </m:sup>
                  <m:e>
                    <m:sSub>
                      <m:e>
                        <m:r>
                          <m:t>λ</m:t>
                        </m:r>
                      </m:e>
                      <m:sub>
                        <m:r>
                          <m:t>j</m:t>
                        </m:r>
                      </m:sub>
                    </m:sSub>
                  </m:e>
                </m:nary>
              </m:e>
              <m:e>
                <m:r>
                  <m:rPr>
                    <m:sty m:val="p"/>
                  </m:rPr>
                  <m:t>=</m:t>
                </m:r>
                <m:r>
                  <m:t>1</m:t>
                </m:r>
                <m:r>
                  <m:rPr>
                    <m:sty m:val="p"/>
                  </m:rPr>
                  <m:t>,</m:t>
                </m:r>
              </m:e>
            </m:mr>
            <m:mr>
              <m:e>
                <m:sSup>
                  <m:e>
                    <m:r>
                      <m:t>σ</m:t>
                    </m:r>
                  </m:e>
                  <m:sup>
                    <m:r>
                      <m:t>2</m:t>
                    </m:r>
                  </m:sup>
                </m:sSup>
                <m:d>
                  <m:dPr>
                    <m:begChr m:val="("/>
                    <m:sepChr m:val=""/>
                    <m:endChr m:val=")"/>
                    <m:grow/>
                  </m:dPr>
                  <m:e>
                    <m:sSub>
                      <m:e>
                        <m:r>
                          <m:t>s</m:t>
                        </m:r>
                      </m:e>
                      <m:sub>
                        <m:r>
                          <m:t>0</m:t>
                        </m:r>
                      </m:sub>
                    </m:sSub>
                  </m:e>
                </m:d>
              </m:e>
              <m:e>
                <m:r>
                  <m:rPr>
                    <m:sty m:val="p"/>
                  </m:rPr>
                  <m:t>=</m:t>
                </m:r>
                <m:nary>
                  <m:naryPr>
                    <m:chr m:val="∑"/>
                    <m:limLoc m:val="undOvr"/>
                    <m:subHide m:val="off"/>
                    <m:supHide m:val="off"/>
                  </m:naryPr>
                  <m:sub>
                    <m:r>
                      <m:t>i</m:t>
                    </m:r>
                    <m:r>
                      <m:rPr>
                        <m:sty m:val="p"/>
                      </m:rPr>
                      <m:t>=</m:t>
                    </m:r>
                    <m:r>
                      <m:t>1</m:t>
                    </m:r>
                  </m:sub>
                  <m:sup>
                    <m:r>
                      <m:t>n</m:t>
                    </m:r>
                  </m:sup>
                  <m:e>
                    <m:sSub>
                      <m:e>
                        <m:r>
                          <m:t>λ</m:t>
                        </m:r>
                      </m:e>
                      <m:sub>
                        <m:r>
                          <m:t>i</m:t>
                        </m:r>
                      </m:sub>
                    </m:sSub>
                  </m:e>
                </m:nary>
                <m:r>
                  <m:t>γ</m:t>
                </m:r>
                <m:d>
                  <m:dPr>
                    <m:begChr m:val="("/>
                    <m:sepChr m:val=""/>
                    <m:endChr m:val=")"/>
                    <m:grow/>
                  </m:dPr>
                  <m:e>
                    <m:sSub>
                      <m:e>
                        <m:r>
                          <m:t>h</m:t>
                        </m:r>
                      </m:e>
                      <m:sub>
                        <m:r>
                          <m:t>i</m:t>
                        </m:r>
                        <m:r>
                          <m:t>0</m:t>
                        </m:r>
                      </m:sub>
                    </m:sSub>
                  </m:e>
                </m:d>
                <m:r>
                  <m:rPr>
                    <m:sty m:val="p"/>
                  </m:rPr>
                  <m:t>+</m:t>
                </m:r>
                <m:r>
                  <m:t>ψ</m:t>
                </m:r>
                <m:r>
                  <m:rPr>
                    <m:sty m:val="p"/>
                  </m:rPr>
                  <m:t>.</m:t>
                </m:r>
              </m:e>
            </m:mr>
          </m:m>
        </m:oMath>
      </m:oMathPara>
    </w:p>
    <w:p>
      <w:pPr>
        <w:pStyle w:val="FirstParagraph"/>
      </w:pPr>
      <w:r>
        <w:t xml:space="preserve">where</w:t>
      </w:r>
      <w:r>
        <w:t xml:space="preserve"> </w:t>
      </w:r>
      <m:oMath>
        <m:sSub>
          <m:e>
            <m:r>
              <m:t>h</m:t>
            </m:r>
          </m:e>
          <m:sub>
            <m:r>
              <m:t>i</m:t>
            </m:r>
            <m:r>
              <m:t>j</m:t>
            </m:r>
          </m:sub>
        </m:sSub>
        <m:r>
          <m:rPr>
            <m:sty m:val="p"/>
          </m:rPr>
          <m:t>=</m:t>
        </m:r>
        <m:r>
          <m:rPr>
            <m:sty m:val="p"/>
          </m:rPr>
          <m:t>∥</m:t>
        </m:r>
        <m:sSub>
          <m:e>
            <m:r>
              <m:t>s</m:t>
            </m:r>
          </m:e>
          <m:sub>
            <m:r>
              <m:t>i</m:t>
            </m:r>
          </m:sub>
        </m:sSub>
        <m:r>
          <m:rPr>
            <m:sty m:val="p"/>
          </m:rPr>
          <m:t>−</m:t>
        </m:r>
        <m:sSub>
          <m:e>
            <m:r>
              <m:t>s</m:t>
            </m:r>
          </m:e>
          <m:sub>
            <m:r>
              <m:t>j</m:t>
            </m:r>
          </m:sub>
        </m:sSub>
        <m:r>
          <m:rPr>
            <m:sty m:val="p"/>
          </m:rPr>
          <m:t>∥</m:t>
        </m:r>
      </m:oMath>
      <w:r>
        <w:t xml:space="preserve"> </w:t>
      </w:r>
      <w:r>
        <w:t xml:space="preserve">and</w:t>
      </w:r>
      <w:r>
        <w:t xml:space="preserve"> </w:t>
      </w:r>
      <m:oMath>
        <m:sSub>
          <m:e>
            <m:r>
              <m:t>h</m:t>
            </m:r>
          </m:e>
          <m:sub>
            <m:r>
              <m:t>i</m:t>
            </m:r>
            <m:r>
              <m:t>0</m:t>
            </m:r>
          </m:sub>
        </m:sSub>
        <m:r>
          <m:rPr>
            <m:sty m:val="p"/>
          </m:rPr>
          <m:t>=</m:t>
        </m:r>
        <m:r>
          <m:rPr>
            <m:sty m:val="p"/>
          </m:rPr>
          <m:t>∥</m:t>
        </m:r>
        <m:sSub>
          <m:e>
            <m:r>
              <m:t>s</m:t>
            </m:r>
          </m:e>
          <m:sub>
            <m:r>
              <m:t>i</m:t>
            </m:r>
          </m:sub>
        </m:sSub>
        <m:r>
          <m:rPr>
            <m:sty m:val="p"/>
          </m:rPr>
          <m:t>−</m:t>
        </m:r>
        <m:sSub>
          <m:e>
            <m:r>
              <m:t>s</m:t>
            </m:r>
          </m:e>
          <m:sub>
            <m:r>
              <m:t>0</m:t>
            </m:r>
          </m:sub>
        </m:sSub>
        <m:r>
          <m:rPr>
            <m:sty m:val="p"/>
          </m:rPr>
          <m:t>∥</m:t>
        </m:r>
      </m:oMath>
      <w:r>
        <w:t xml:space="preserve"> </w:t>
      </w:r>
      <w:r>
        <w:t xml:space="preserve">are Euclidean distances,</w:t>
      </w:r>
      <w:r>
        <w:t xml:space="preserve"> </w:t>
      </w:r>
      <m:oMath>
        <m:r>
          <m:t>ψ</m:t>
        </m:r>
      </m:oMath>
      <w:r>
        <w:t xml:space="preserve"> </w:t>
      </w:r>
      <w:r>
        <w:t xml:space="preserve">is a Lagrange multiplier and</w:t>
      </w:r>
      <w:r>
        <w:t xml:space="preserve"> </w:t>
      </w:r>
      <m:oMath>
        <m:sSup>
          <m:e>
            <m:r>
              <m:t>σ</m:t>
            </m:r>
          </m:e>
          <m:sup>
            <m:r>
              <m:t>2</m:t>
            </m:r>
          </m:sup>
        </m:sSup>
        <m:d>
          <m:dPr>
            <m:begChr m:val="("/>
            <m:sepChr m:val=""/>
            <m:endChr m:val=")"/>
            <m:grow/>
          </m:dPr>
          <m:e>
            <m:sSub>
              <m:e>
                <m:r>
                  <m:t>s</m:t>
                </m:r>
              </m:e>
              <m:sub>
                <m:r>
                  <m:t>0</m:t>
                </m:r>
              </m:sub>
            </m:sSub>
          </m:e>
        </m:d>
      </m:oMath>
      <w:r>
        <w:t xml:space="preserve"> </w:t>
      </w:r>
      <w:r>
        <w:t xml:space="preserve">is the kriging variance</w:t>
      </w:r>
      <w:r>
        <w:t xml:space="preserve"> </w:t>
      </w:r>
      <w:r>
        <w:t xml:space="preserve">(Oliver and Webster 2014)</w:t>
      </w:r>
      <w:r>
        <w:t xml:space="preserve">. The weights depend on the distances from</w:t>
      </w:r>
      <w:r>
        <w:t xml:space="preserve"> </w:t>
      </w:r>
      <m:oMath>
        <m:sSub>
          <m:e>
            <m:r>
              <m:t>s</m:t>
            </m:r>
          </m:e>
          <m:sub>
            <m:r>
              <m:t>0</m:t>
            </m:r>
          </m:sub>
        </m:sSub>
      </m:oMath>
      <w:r>
        <w:t xml:space="preserve"> </w:t>
      </w:r>
      <w:r>
        <w:t xml:space="preserve">to each site and on the distances among the sites. Nearby sites generally receive more weight, and clustered sites share weight because they carry overlapping information, which distinguishes kriging from inverse distance weighting. The kriging variance depends only on the variogram and the layout of the sites, not on the observed counts, and generally increases with distance from the sites. Weights can be negative and need not decrease strictly with distance. With a nugget, the prediction at a sampled site equals the observation, but the variance at any unsampled location is at least the nugget.</w:t>
      </w:r>
    </w:p>
    <w:p>
      <w:pPr>
        <w:pStyle w:val="BodyText"/>
      </w:pPr>
      <w:r>
        <w:t xml:space="preserve">Applied to this study, kriging turns the fitted variogram into a predicted count for every grid square in four steps. First, the fitted model converts each distance into a semivariance, both between every pair of the 30 sites (the left side of the system) and between each site and the square’s prediction point (the right side). Second, the system is solved for that square, giving 30 weights that sum to one. Third, the prediction is the weighted sum of the 30 observed counts, and the kriging variance follows from the same solution. Fourth, the calculation is repeated for each of the 1,017 squares; only the right side changes from one square to the next.</w:t>
      </w:r>
      <w:r>
        <w:t xml:space="preserve"> </w:t>
      </w:r>
      <w:hyperlink w:anchor="tbl-weights">
        <w:r>
          <w:rPr>
            <w:rStyle w:val="Hyperlink"/>
          </w:rPr>
          <w:t xml:space="preserve">Table 2</w:t>
        </w:r>
      </w:hyperlink>
      <w:r>
        <w:t xml:space="preserve"> </w:t>
      </w:r>
      <w:r>
        <w:t xml:space="preserve">shows the result for three squares, computed directly from the equations above; it reproduces the gstat output.</w:t>
      </w:r>
    </w:p>
    <w:tbl>
      <w:tblPr>
        <w:tblStyle w:val="Table"/>
        <w:tblW w:type="pct" w:w="5000"/>
        <w:tblLayout w:type="fixed"/>
        <w:tblLook w:firstRow="0" w:lastRow="0" w:firstColumn="0" w:lastColumn="0" w:noHBand="0" w:noVBand="0" w:val="0000"/>
      </w:tblPr>
      <w:tblGrid>
        <w:gridCol w:w="7920"/>
      </w:tblGrid>
      <w:tr>
        <w:tc>
          <w:tcPr/>
          <w:bookmarkStart w:id="32" w:name="tbl-weights"/>
          <w:p>
            <w:pPr>
              <w:jc w:val="center"/>
            </w:pPr>
            <w:pPr>
              <w:jc w:val="start"/>
              <w:spacing w:before="200"/>
              <w:pStyle w:val="ImageCaption"/>
            </w:pPr>
            <w:r>
              <w:t xml:space="preserve">Table 2: Ordinary kriging worked through for three grid squares with the selected spherical model: the five largest weights (site id, observed cases, weight), the prediction and the kriging variance. Weights over all 30 sites sum to one.</w:t>
            </w:r>
          </w:p>
          <w:tbl>
            <w:tblPr>
              <w:tblStyle w:val="Table"/>
              <w:tblW w:type="pct" w:w="5000"/>
              <w:tblLayout w:type="fixed"/>
              <w:tblLook w:firstRow="1" w:lastRow="0" w:firstColumn="0" w:lastColumn="0" w:noHBand="0" w:noVBand="0" w:val="0020"/>
            </w:tblPr>
            <w:tblGrid>
              <w:gridCol w:w="1821"/>
              <w:gridCol w:w="950"/>
              <w:gridCol w:w="3405"/>
              <w:gridCol w:w="871"/>
              <w:gridCol w:w="871"/>
            </w:tblGrid>
            <w:tr>
              <w:trPr>
                <w:tblHeader w:val="on"/>
              </w:trPr>
              <w:tc>
                <w:tcPr/>
                <w:p>
                  <w:pPr>
                    <w:pStyle w:val="Compact"/>
                    <w:jc w:val="left"/>
                    <w:jc w:val="center"/>
                  </w:pPr>
                  <w:r>
                    <w:t xml:space="preserve">Square</w:t>
                  </w:r>
                </w:p>
              </w:tc>
              <w:tc>
                <w:tcPr/>
                <w:p>
                  <w:pPr>
                    <w:pStyle w:val="Compact"/>
                    <w:jc w:val="right"/>
                    <w:jc w:val="center"/>
                  </w:pPr>
                  <w:r>
                    <w:t xml:space="preserve">Nearest (km)</w:t>
                  </w:r>
                </w:p>
              </w:tc>
              <w:tc>
                <w:tcPr/>
                <w:p>
                  <w:pPr>
                    <w:pStyle w:val="Compact"/>
                    <w:jc w:val="left"/>
                    <w:jc w:val="center"/>
                  </w:pPr>
                  <w:r>
                    <w:t xml:space="preserve">Five largest weights: site (cases): weight</w:t>
                  </w:r>
                </w:p>
              </w:tc>
              <w:tc>
                <w:tcPr/>
                <w:p>
                  <w:pPr>
                    <w:pStyle w:val="Compact"/>
                    <w:jc w:val="right"/>
                    <w:jc w:val="center"/>
                  </w:pPr>
                  <w:r>
                    <w:t xml:space="preserve">Predicted count</w:t>
                  </w:r>
                </w:p>
              </w:tc>
              <w:tc>
                <w:tcPr/>
                <w:p>
                  <w:pPr>
                    <w:pStyle w:val="Compact"/>
                    <w:jc w:val="right"/>
                    <w:jc w:val="center"/>
                  </w:pPr>
                  <w:r>
                    <w:t xml:space="preserve">Variance</w:t>
                  </w:r>
                </w:p>
              </w:tc>
            </w:tr>
            <w:tr>
              <w:tc>
                <w:tcPr/>
                <w:p>
                  <w:pPr>
                    <w:pStyle w:val="Compact"/>
                    <w:jc w:val="left"/>
                    <w:jc w:val="center"/>
                  </w:pPr>
                  <w:r>
                    <w:t xml:space="preserve">Marina East (highest prediction)</w:t>
                  </w:r>
                </w:p>
              </w:tc>
              <w:tc>
                <w:tcPr/>
                <w:p>
                  <w:pPr>
                    <w:pStyle w:val="Compact"/>
                    <w:jc w:val="right"/>
                    <w:jc w:val="center"/>
                  </w:pPr>
                  <w:r>
                    <w:t xml:space="preserve">0.5</w:t>
                  </w:r>
                </w:p>
              </w:tc>
              <w:tc>
                <w:tcPr/>
                <w:p>
                  <w:pPr>
                    <w:pStyle w:val="Compact"/>
                    <w:jc w:val="left"/>
                    <w:jc w:val="center"/>
                  </w:pPr>
                  <w:r>
                    <w:t xml:space="preserve">16 (6): 0.22; 12 (5): 0.17; 15 (5): 0.14; 14 (2): 0.12; 9 (4): 0.09</w:t>
                  </w:r>
                </w:p>
              </w:tc>
              <w:tc>
                <w:tcPr/>
                <w:p>
                  <w:pPr>
                    <w:pStyle w:val="Compact"/>
                    <w:jc w:val="right"/>
                    <w:jc w:val="center"/>
                  </w:pPr>
                  <w:r>
                    <w:t xml:space="preserve">3.96</w:t>
                  </w:r>
                </w:p>
              </w:tc>
              <w:tc>
                <w:tcPr/>
                <w:p>
                  <w:pPr>
                    <w:pStyle w:val="Compact"/>
                    <w:jc w:val="right"/>
                    <w:jc w:val="center"/>
                  </w:pPr>
                  <w:r>
                    <w:t xml:space="preserve">1.90</w:t>
                  </w:r>
                </w:p>
              </w:tc>
            </w:tr>
            <w:tr>
              <w:tc>
                <w:tcPr/>
                <w:p>
                  <w:pPr>
                    <w:pStyle w:val="Compact"/>
                    <w:jc w:val="left"/>
                    <w:jc w:val="center"/>
                  </w:pPr>
                  <w:r>
                    <w:t xml:space="preserve">Bukit Batok (lowest in sampled area)</w:t>
                  </w:r>
                </w:p>
              </w:tc>
              <w:tc>
                <w:tcPr/>
                <w:p>
                  <w:pPr>
                    <w:pStyle w:val="Compact"/>
                    <w:jc w:val="right"/>
                    <w:jc w:val="center"/>
                  </w:pPr>
                  <w:r>
                    <w:t xml:space="preserve">0.1</w:t>
                  </w:r>
                </w:p>
              </w:tc>
              <w:tc>
                <w:tcPr/>
                <w:p>
                  <w:pPr>
                    <w:pStyle w:val="Compact"/>
                    <w:jc w:val="left"/>
                    <w:jc w:val="center"/>
                  </w:pPr>
                  <w:r>
                    <w:t xml:space="preserve">6 (0): 0.29; 5 (0): 0.22; 7 (0): 0.10; 8 (1): 0.09; 25 (3): 0.05</w:t>
                  </w:r>
                </w:p>
              </w:tc>
              <w:tc>
                <w:tcPr/>
                <w:p>
                  <w:pPr>
                    <w:pStyle w:val="Compact"/>
                    <w:jc w:val="right"/>
                    <w:jc w:val="center"/>
                  </w:pPr>
                  <w:r>
                    <w:t xml:space="preserve">0.60</w:t>
                  </w:r>
                </w:p>
              </w:tc>
              <w:tc>
                <w:tcPr/>
                <w:p>
                  <w:pPr>
                    <w:pStyle w:val="Compact"/>
                    <w:jc w:val="right"/>
                    <w:jc w:val="center"/>
                  </w:pPr>
                  <w:r>
                    <w:t xml:space="preserve">1.92</w:t>
                  </w:r>
                </w:p>
              </w:tc>
            </w:tr>
            <w:tr>
              <w:tc>
                <w:tcPr/>
                <w:p>
                  <w:pPr>
                    <w:pStyle w:val="Compact"/>
                    <w:jc w:val="left"/>
                    <w:jc w:val="center"/>
                  </w:pPr>
                  <w:r>
                    <w:t xml:space="preserve">North-Eastern Islands (outside sampled area)</w:t>
                  </w:r>
                </w:p>
              </w:tc>
              <w:tc>
                <w:tcPr/>
                <w:p>
                  <w:pPr>
                    <w:pStyle w:val="Compact"/>
                    <w:jc w:val="right"/>
                    <w:jc w:val="center"/>
                  </w:pPr>
                  <w:r>
                    <w:t xml:space="preserve">19.8</w:t>
                  </w:r>
                </w:p>
              </w:tc>
              <w:tc>
                <w:tcPr/>
                <w:p>
                  <w:pPr>
                    <w:pStyle w:val="Compact"/>
                    <w:jc w:val="left"/>
                    <w:jc w:val="center"/>
                  </w:pPr>
                  <w:r>
                    <w:t xml:space="preserve">3 (0): 0.06; 26 (2): 0.05; 27 (2): 0.05; 21 (1): 0.05; 11 (0): 0.05</w:t>
                  </w:r>
                </w:p>
              </w:tc>
              <w:tc>
                <w:tcPr/>
                <w:p>
                  <w:pPr>
                    <w:pStyle w:val="Compact"/>
                    <w:jc w:val="right"/>
                    <w:jc w:val="center"/>
                  </w:pPr>
                  <w:r>
                    <w:t xml:space="preserve">1.64</w:t>
                  </w:r>
                </w:p>
              </w:tc>
              <w:tc>
                <w:tcPr/>
                <w:p>
                  <w:pPr>
                    <w:pStyle w:val="Compact"/>
                    <w:jc w:val="right"/>
                    <w:jc w:val="center"/>
                  </w:pPr>
                  <w:r>
                    <w:t xml:space="preserve">2.72</w:t>
                  </w:r>
                </w:p>
              </w:tc>
            </w:tr>
          </w:tbl>
          <w:bookmarkEnd w:id="32"/>
          <w:p/>
        </w:tc>
      </w:tr>
    </w:tbl>
    <w:p>
      <w:pPr>
        <w:pStyle w:val="BodyText"/>
      </w:pPr>
      <w:r>
        <w:t xml:space="preserve">At the Marina East square most of the weight falls on the high-count Marina Bay sites within a few kilometers, so the prediction is high. Around Bukit Batok the nearest sites reported few cases, so it is low. At the North-Eastern Islands, about 20 km from the nearest site, no site lies within the range; the weights are distributed across all sites and the prediction equals the estimated constant mean, with the largest variance. These weights account for correlation among the sites, so this mean differs from the unweighted sample mean. A kriged value is therefore the count expected at a hypothetical additional site at that point, recorded in the same way and over the same period as the observed counts. It is not the number of cases inside the square; converting it to cases per km</w:t>
      </w:r>
      <w:r>
        <w:rPr>
          <w:vertAlign w:val="superscript"/>
        </w:rPr>
        <w:t xml:space="preserve">2</w:t>
      </w:r>
      <w:r>
        <w:t xml:space="preserve"> </w:t>
      </w:r>
      <w:r>
        <w:t xml:space="preserve">requires an assumption about the area that each count represents (</w:t>
      </w:r>
      <w:hyperlink w:anchor="sec-m-zones">
        <w:r>
          <w:rPr>
            <w:rStyle w:val="Hyperlink"/>
          </w:rPr>
          <w:t xml:space="preserve">Section 2.7</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3" w:name="tbl-kriging-types"/>
          <w:p>
            <w:pPr>
              <w:jc w:val="center"/>
            </w:pPr>
            <w:pPr>
              <w:jc w:val="start"/>
              <w:spacing w:before="200"/>
              <w:pStyle w:val="ImageCaption"/>
            </w:pPr>
            <w:r>
              <w:t xml:space="preserve">Table 3: Kriging variants</w:t>
            </w:r>
            <w:r>
              <w:t xml:space="preserve"> </w:t>
            </w:r>
            <w:r>
              <w:t xml:space="preserve">(Goovaerts 1997; Dickens 2026b)</w:t>
            </w:r>
            <w:r>
              <w:t xml:space="preserve">.</w:t>
            </w:r>
          </w:p>
          <w:tbl>
            <w:tblPr>
              <w:tblStyle w:val="Table"/>
              <w:tblW w:type="pct" w:w="5000"/>
              <w:tblLayout w:type="fixed"/>
              <w:tblLook w:firstRow="1" w:lastRow="0" w:firstColumn="0" w:lastColumn="0" w:noHBand="0" w:noVBand="0" w:val="0020"/>
            </w:tblPr>
            <w:tblGrid>
              <w:gridCol w:w="1425"/>
              <w:gridCol w:w="2534"/>
              <w:gridCol w:w="2059"/>
              <w:gridCol w:w="1900"/>
            </w:tblGrid>
            <w:tr>
              <w:trPr>
                <w:tblHeader w:val="on"/>
              </w:trPr>
              <w:tc>
                <w:tcPr/>
                <w:p>
                  <w:pPr>
                    <w:pStyle w:val="Compact"/>
                    <w:jc w:val="left"/>
                    <w:jc w:val="center"/>
                  </w:pPr>
                  <w:r>
                    <w:t xml:space="preserve">Method</w:t>
                  </w:r>
                </w:p>
              </w:tc>
              <w:tc>
                <w:tcPr/>
                <w:p>
                  <w:pPr>
                    <w:pStyle w:val="Compact"/>
                    <w:jc w:val="left"/>
                    <w:jc w:val="center"/>
                  </w:pPr>
                  <w:r>
                    <w:t xml:space="preserve">Mean of the process</w:t>
                  </w:r>
                </w:p>
              </w:tc>
              <w:tc>
                <w:tcPr/>
                <w:p>
                  <w:pPr>
                    <w:pStyle w:val="Compact"/>
                    <w:jc w:val="left"/>
                    <w:jc w:val="center"/>
                  </w:pPr>
                  <w:r>
                    <w:t xml:space="preserve">Constraint on the weights</w:t>
                  </w:r>
                </w:p>
              </w:tc>
              <w:tc>
                <w:tcPr/>
                <w:p>
                  <w:pPr>
                    <w:pStyle w:val="Compact"/>
                    <w:jc w:val="left"/>
                    <w:jc w:val="center"/>
                  </w:pPr>
                  <w:r>
                    <w:t xml:space="preserve">Use in this report</w:t>
                  </w:r>
                </w:p>
              </w:tc>
            </w:tr>
            <w:tr>
              <w:tc>
                <w:tcPr/>
                <w:p>
                  <w:pPr>
                    <w:pStyle w:val="Compact"/>
                    <w:jc w:val="left"/>
                    <w:jc w:val="center"/>
                  </w:pPr>
                  <w:r>
                    <w:t xml:space="preserve">Simple kriging</w:t>
                  </w:r>
                </w:p>
              </w:tc>
              <w:tc>
                <w:tcPr/>
                <w:p>
                  <w:pPr>
                    <w:pStyle w:val="Compact"/>
                    <w:jc w:val="left"/>
                    <w:jc w:val="center"/>
                  </w:pPr>
                  <w:r>
                    <w:t xml:space="preserve">Constant and known</w:t>
                  </w:r>
                </w:p>
              </w:tc>
              <w:tc>
                <w:tcPr/>
                <w:p>
                  <w:pPr>
                    <w:pStyle w:val="Compact"/>
                    <w:jc w:val="left"/>
                    <w:jc w:val="center"/>
                  </w:pPr>
                  <w:r>
                    <w:t xml:space="preserve">None; remaining weight on the known mean</w:t>
                  </w:r>
                </w:p>
              </w:tc>
              <w:tc>
                <w:tcPr/>
                <w:p>
                  <w:pPr>
                    <w:pStyle w:val="Compact"/>
                    <w:jc w:val="left"/>
                    <w:jc w:val="center"/>
                  </w:pPr>
                  <w:r>
                    <w:t xml:space="preserve">Not used</w:t>
                  </w:r>
                </w:p>
              </w:tc>
            </w:tr>
            <w:tr>
              <w:tc>
                <w:tcPr/>
                <w:p>
                  <w:pPr>
                    <w:pStyle w:val="Compact"/>
                    <w:jc w:val="left"/>
                    <w:jc w:val="center"/>
                  </w:pPr>
                  <w:r>
                    <w:t xml:space="preserve">Ordinary kriging</w:t>
                  </w:r>
                </w:p>
              </w:tc>
              <w:tc>
                <w:tcPr/>
                <w:p>
                  <w:pPr>
                    <w:pStyle w:val="Compact"/>
                    <w:jc w:val="left"/>
                    <w:jc w:val="center"/>
                  </w:pPr>
                  <w:r>
                    <w:t xml:space="preserve">Constant but unknown</w:t>
                  </w:r>
                </w:p>
              </w:tc>
              <w:tc>
                <w:tcPr/>
                <w:p>
                  <w:pPr>
                    <w:pStyle w:val="Compact"/>
                    <w:jc w:val="left"/>
                    <w:jc w:val="center"/>
                  </w:pPr>
                  <w:r>
                    <w:t xml:space="preserve">Sum to one</w:t>
                  </w:r>
                </w:p>
              </w:tc>
              <w:tc>
                <w:tcPr/>
                <w:p>
                  <w:pPr>
                    <w:pStyle w:val="Compact"/>
                    <w:jc w:val="left"/>
                    <w:jc w:val="center"/>
                  </w:pPr>
                  <w:r>
                    <w:t xml:space="preserve">Primary analysis</w:t>
                  </w:r>
                </w:p>
              </w:tc>
            </w:tr>
            <w:tr>
              <w:tc>
                <w:tcPr/>
                <w:p>
                  <w:pPr>
                    <w:pStyle w:val="Compact"/>
                    <w:jc w:val="left"/>
                    <w:jc w:val="center"/>
                  </w:pPr>
                  <w:r>
                    <w:t xml:space="preserve">Universal kriging</w:t>
                  </w:r>
                </w:p>
              </w:tc>
              <w:tc>
                <w:tcPr/>
                <w:p>
                  <w:pPr>
                    <w:pStyle w:val="Compact"/>
                    <w:jc w:val="left"/>
                    <w:jc w:val="center"/>
                  </w:pPr>
                  <w:r>
                    <w:t xml:space="preserve">Trend in coordinates or covariates, known at every prediction location</w:t>
                  </w:r>
                </w:p>
              </w:tc>
              <w:tc>
                <w:tcPr/>
                <w:p>
                  <w:pPr>
                    <w:pStyle w:val="Compact"/>
                    <w:jc w:val="left"/>
                    <w:jc w:val="center"/>
                  </w:pPr>
                  <w:r>
                    <w:t xml:space="preserve">Reproduce the trend</w:t>
                  </w:r>
                </w:p>
              </w:tc>
              <w:tc>
                <w:tcPr/>
                <w:p>
                  <w:pPr>
                    <w:pStyle w:val="Compact"/>
                    <w:jc w:val="left"/>
                    <w:jc w:val="center"/>
                  </w:pPr>
                  <w:r>
                    <w:t xml:space="preserve">Sensitivity analysis (linear trend in</w:t>
                  </w:r>
                  <w:r>
                    <w:t xml:space="preserve"> </w:t>
                  </w:r>
                  <w:r>
                    <w:rPr>
                      <w:rStyle w:val="VerbatimChar"/>
                    </w:rPr>
                    <w:t xml:space="preserve">x</w:t>
                  </w:r>
                  <w:r>
                    <w:t xml:space="preserve"> </w:t>
                  </w:r>
                  <w:r>
                    <w:t xml:space="preserve">and</w:t>
                  </w:r>
                  <w:r>
                    <w:t xml:space="preserve"> </w:t>
                  </w:r>
                  <w:r>
                    <w:rPr>
                      <w:rStyle w:val="VerbatimChar"/>
                    </w:rPr>
                    <w:t xml:space="preserve">y</w:t>
                  </w:r>
                  <w:r>
                    <w:t xml:space="preserve">)</w:t>
                  </w:r>
                </w:p>
              </w:tc>
            </w:tr>
            <w:tr>
              <w:tc>
                <w:tcPr/>
                <w:p>
                  <w:pPr>
                    <w:pStyle w:val="Compact"/>
                    <w:jc w:val="left"/>
                    <w:jc w:val="center"/>
                  </w:pPr>
                  <w:r>
                    <w:t xml:space="preserve">Block kriging</w:t>
                  </w:r>
                </w:p>
              </w:tc>
              <w:tc>
                <w:tcPr/>
                <w:p>
                  <w:pPr>
                    <w:pStyle w:val="Compact"/>
                    <w:jc w:val="left"/>
                    <w:jc w:val="center"/>
                  </w:pPr>
                  <w:r>
                    <w:t xml:space="preserve">As ordinary kriging</w:t>
                  </w:r>
                </w:p>
              </w:tc>
              <w:tc>
                <w:tcPr/>
                <w:p>
                  <w:pPr>
                    <w:pStyle w:val="Compact"/>
                    <w:jc w:val="left"/>
                    <w:jc w:val="center"/>
                  </w:pPr>
                  <w:r>
                    <w:t xml:space="preserve">Sum to one; predicts the mean over an area</w:t>
                  </w:r>
                </w:p>
              </w:tc>
              <w:tc>
                <w:tcPr/>
                <w:p>
                  <w:pPr>
                    <w:pStyle w:val="Compact"/>
                    <w:jc w:val="left"/>
                    <w:jc w:val="center"/>
                  </w:pPr>
                  <w:r>
                    <w:t xml:space="preserve">Check of zone totals</w:t>
                  </w:r>
                </w:p>
              </w:tc>
            </w:tr>
          </w:tbl>
          <w:bookmarkEnd w:id="33"/>
          <w:p/>
        </w:tc>
      </w:tr>
    </w:tbl>
    <w:p>
      <w:pPr>
        <w:pStyle w:val="BodyText"/>
      </w:pPr>
      <w:r>
        <w:t xml:space="preserve">The variants differ in their assumptions about the mean of the process (</w:t>
      </w:r>
      <w:hyperlink w:anchor="tbl-kriging-types">
        <w:r>
          <w:rPr>
            <w:rStyle w:val="Hyperlink"/>
          </w:rPr>
          <w:t xml:space="preserve">Table 3</w:t>
        </w:r>
      </w:hyperlink>
      <w:r>
        <w:t xml:space="preserve">). Simple kriging assumes that the mean is known. Ordinary kriging assumes that it is constant but unknown and estimates it implicitly through the constraint that the weights sum to one. Universal kriging models the mean as a function of the coordinates or, as kriging with external drift, of a covariate, and estimates the variogram on the residuals from that trend; the trend variable must be known at every prediction location. Ordinary kriging with all 30 sites (formula</w:t>
      </w:r>
      <w:r>
        <w:t xml:space="preserve"> </w:t>
      </w:r>
      <w:r>
        <w:rPr>
          <w:rStyle w:val="VerbatimChar"/>
        </w:rPr>
        <w:t xml:space="preserve">cases ~ 1</w:t>
      </w:r>
      <w:r>
        <w:t xml:space="preserve">) was the primary method:</w:t>
      </w:r>
    </w:p>
    <w:p>
      <w:pPr>
        <w:pStyle w:val="SourceCode"/>
      </w:pPr>
      <w:r>
        <w:rPr>
          <w:rStyle w:val="NormalTok"/>
        </w:rPr>
        <w:t xml:space="preserve">v    </w:t>
      </w:r>
      <w:r>
        <w:rPr>
          <w:rStyle w:val="OtherTok"/>
        </w:rPr>
        <w:t xml:space="preserve">&lt;-</w:t>
      </w:r>
      <w:r>
        <w:rPr>
          <w:rStyle w:val="NormalTok"/>
        </w:rPr>
        <w:t xml:space="preserve"> gstat</w:t>
      </w:r>
      <w:r>
        <w:rPr>
          <w:rStyle w:val="SpecialCharTok"/>
        </w:rPr>
        <w:t xml:space="preserve">::</w:t>
      </w:r>
      <w:r>
        <w:rPr>
          <w:rStyle w:val="FunctionTok"/>
        </w:rPr>
        <w:t xml:space="preserve">variogram</w:t>
      </w:r>
      <w:r>
        <w:rPr>
          <w:rStyle w:val="NormalTok"/>
        </w:rPr>
        <w:t xml:space="preserve">(cases </w:t>
      </w:r>
      <w:r>
        <w:rPr>
          <w:rStyle w:val="SpecialCharTok"/>
        </w:rPr>
        <w:t xml:space="preserve">~</w:t>
      </w:r>
      <w:r>
        <w:rPr>
          <w:rStyle w:val="NormalTok"/>
        </w:rPr>
        <w:t xml:space="preserve"> </w:t>
      </w:r>
      <w:r>
        <w:rPr>
          <w:rStyle w:val="DecValTok"/>
        </w:rPr>
        <w:t xml:space="preserve">1</w:t>
      </w:r>
      <w:r>
        <w:rPr>
          <w:rStyle w:val="NormalTok"/>
        </w:rPr>
        <w:t xml:space="preserve">, obs, </w:t>
      </w:r>
      <w:r>
        <w:rPr>
          <w:rStyle w:val="AttributeTok"/>
        </w:rPr>
        <w:t xml:space="preserve">width =</w:t>
      </w:r>
      <w:r>
        <w:rPr>
          <w:rStyle w:val="NormalTok"/>
        </w:rPr>
        <w:t xml:space="preserve"> </w:t>
      </w:r>
      <w:r>
        <w:rPr>
          <w:rStyle w:val="DecValTok"/>
        </w:rPr>
        <w:t xml:space="preserve">3000</w:t>
      </w:r>
      <w:r>
        <w:rPr>
          <w:rStyle w:val="NormalTok"/>
        </w:rPr>
        <w:t xml:space="preserve">, </w:t>
      </w:r>
      <w:r>
        <w:rPr>
          <w:rStyle w:val="AttributeTok"/>
        </w:rPr>
        <w:t xml:space="preserve">cutoff =</w:t>
      </w:r>
      <w:r>
        <w:rPr>
          <w:rStyle w:val="NormalTok"/>
        </w:rPr>
        <w:t xml:space="preserve"> </w:t>
      </w:r>
      <w:r>
        <w:rPr>
          <w:rStyle w:val="DecValTok"/>
        </w:rPr>
        <w:t xml:space="preserve">10000</w:t>
      </w:r>
      <w:r>
        <w:rPr>
          <w:rStyle w:val="NormalTok"/>
        </w:rPr>
        <w:t xml:space="preserve">)</w:t>
      </w:r>
      <w:r>
        <w:br/>
      </w:r>
      <w:r>
        <w:rPr>
          <w:rStyle w:val="NormalTok"/>
        </w:rPr>
        <w:t xml:space="preserve">vfit </w:t>
      </w:r>
      <w:r>
        <w:rPr>
          <w:rStyle w:val="OtherTok"/>
        </w:rPr>
        <w:t xml:space="preserve">&lt;-</w:t>
      </w:r>
      <w:r>
        <w:rPr>
          <w:rStyle w:val="NormalTok"/>
        </w:rPr>
        <w:t xml:space="preserve"> gstat</w:t>
      </w:r>
      <w:r>
        <w:rPr>
          <w:rStyle w:val="SpecialCharTok"/>
        </w:rPr>
        <w:t xml:space="preserve">::</w:t>
      </w:r>
      <w:r>
        <w:rPr>
          <w:rStyle w:val="FunctionTok"/>
        </w:rPr>
        <w:t xml:space="preserve">fit.variogram</w:t>
      </w:r>
      <w:r>
        <w:rPr>
          <w:rStyle w:val="NormalTok"/>
        </w:rPr>
        <w:t xml:space="preserve">(v, gstat</w:t>
      </w:r>
      <w:r>
        <w:rPr>
          <w:rStyle w:val="SpecialCharTok"/>
        </w:rPr>
        <w:t xml:space="preserve">::</w:t>
      </w:r>
      <w:r>
        <w:rPr>
          <w:rStyle w:val="FunctionTok"/>
        </w:rPr>
        <w:t xml:space="preserve">vgm</w:t>
      </w:r>
      <w:r>
        <w:rPr>
          <w:rStyle w:val="NormalTok"/>
        </w:rPr>
        <w:t xml:space="preserve">(</w:t>
      </w:r>
      <w:r>
        <w:rPr>
          <w:rStyle w:val="AttributeTok"/>
        </w:rPr>
        <w:t xml:space="preserve">psill =</w:t>
      </w:r>
      <w:r>
        <w:rPr>
          <w:rStyle w:val="NormalTok"/>
        </w:rPr>
        <w:t xml:space="preserve"> </w:t>
      </w:r>
      <w:r>
        <w:rPr>
          <w:rStyle w:val="FloatTok"/>
        </w:rPr>
        <w:t xml:space="preserve">1.5</w:t>
      </w:r>
      <w:r>
        <w:rPr>
          <w:rStyle w:val="NormalTok"/>
        </w:rPr>
        <w:t xml:space="preserve">, </w:t>
      </w:r>
      <w:r>
        <w:rPr>
          <w:rStyle w:val="AttributeTok"/>
        </w:rPr>
        <w:t xml:space="preserve">model =</w:t>
      </w:r>
      <w:r>
        <w:rPr>
          <w:rStyle w:val="NormalTok"/>
        </w:rPr>
        <w:t xml:space="preserve"> </w:t>
      </w:r>
      <w:r>
        <w:rPr>
          <w:rStyle w:val="StringTok"/>
        </w:rPr>
        <w:t xml:space="preserve">"Sph"</w:t>
      </w:r>
      <w:r>
        <w:rPr>
          <w:rStyle w:val="NormalTok"/>
        </w:rPr>
        <w:t xml:space="preserve">, </w:t>
      </w:r>
      <w:r>
        <w:rPr>
          <w:rStyle w:val="AttributeTok"/>
        </w:rPr>
        <w:t xml:space="preserve">range =</w:t>
      </w:r>
      <w:r>
        <w:rPr>
          <w:rStyle w:val="NormalTok"/>
        </w:rPr>
        <w:t xml:space="preserve"> </w:t>
      </w:r>
      <w:r>
        <w:rPr>
          <w:rStyle w:val="DecValTok"/>
        </w:rPr>
        <w:t xml:space="preserve">6000</w:t>
      </w:r>
      <w:r>
        <w:rPr>
          <w:rStyle w:val="NormalTok"/>
        </w:rPr>
        <w:t xml:space="preserve">, </w:t>
      </w:r>
      <w:r>
        <w:rPr>
          <w:rStyle w:val="AttributeTok"/>
        </w:rPr>
        <w:t xml:space="preserve">nugget =</w:t>
      </w:r>
      <w:r>
        <w:rPr>
          <w:rStyle w:val="NormalTok"/>
        </w:rPr>
        <w:t xml:space="preserve"> </w:t>
      </w:r>
      <w:r>
        <w:rPr>
          <w:rStyle w:val="FloatTok"/>
        </w:rPr>
        <w:t xml:space="preserve">1.5</w:t>
      </w:r>
      <w:r>
        <w:rPr>
          <w:rStyle w:val="NormalTok"/>
        </w:rPr>
        <w:t xml:space="preserve">))</w:t>
      </w:r>
      <w:r>
        <w:br/>
      </w:r>
      <w:r>
        <w:rPr>
          <w:rStyle w:val="NormalTok"/>
        </w:rPr>
        <w:t xml:space="preserve">ok   </w:t>
      </w:r>
      <w:r>
        <w:rPr>
          <w:rStyle w:val="OtherTok"/>
        </w:rPr>
        <w:t xml:space="preserve">&lt;-</w:t>
      </w:r>
      <w:r>
        <w:rPr>
          <w:rStyle w:val="NormalTok"/>
        </w:rPr>
        <w:t xml:space="preserve"> gstat</w:t>
      </w:r>
      <w:r>
        <w:rPr>
          <w:rStyle w:val="SpecialCharTok"/>
        </w:rPr>
        <w:t xml:space="preserve">::</w:t>
      </w:r>
      <w:r>
        <w:rPr>
          <w:rStyle w:val="FunctionTok"/>
        </w:rPr>
        <w:t xml:space="preserve">krige</w:t>
      </w:r>
      <w:r>
        <w:rPr>
          <w:rStyle w:val="NormalTok"/>
        </w:rPr>
        <w:t xml:space="preserve">(cases </w:t>
      </w:r>
      <w:r>
        <w:rPr>
          <w:rStyle w:val="SpecialCharTok"/>
        </w:rPr>
        <w:t xml:space="preserve">~</w:t>
      </w:r>
      <w:r>
        <w:rPr>
          <w:rStyle w:val="NormalTok"/>
        </w:rPr>
        <w:t xml:space="preserve"> </w:t>
      </w:r>
      <w:r>
        <w:rPr>
          <w:rStyle w:val="DecValTok"/>
        </w:rPr>
        <w:t xml:space="preserve">1</w:t>
      </w:r>
      <w:r>
        <w:rPr>
          <w:rStyle w:val="NormalTok"/>
        </w:rPr>
        <w:t xml:space="preserve">, obs, </w:t>
      </w:r>
      <w:r>
        <w:rPr>
          <w:rStyle w:val="AttributeTok"/>
        </w:rPr>
        <w:t xml:space="preserve">newdata =</w:t>
      </w:r>
      <w:r>
        <w:rPr>
          <w:rStyle w:val="NormalTok"/>
        </w:rPr>
        <w:t xml:space="preserve"> cell_pts, </w:t>
      </w:r>
      <w:r>
        <w:rPr>
          <w:rStyle w:val="AttributeTok"/>
        </w:rPr>
        <w:t xml:space="preserve">model =</w:t>
      </w:r>
      <w:r>
        <w:rPr>
          <w:rStyle w:val="NormalTok"/>
        </w:rPr>
        <w:t xml:space="preserve"> vfit)</w:t>
      </w:r>
    </w:p>
    <w:p>
      <w:pPr>
        <w:pStyle w:val="FirstParagraph"/>
      </w:pPr>
      <w:r>
        <w:t xml:space="preserve">Kriging predictions refer to points. An average over a 1 km square (block support) has less variability than a point value because averaging reduces variation at short distances, including the nugget. Its prediction averages the conditional surface over the square and need not equal the prediction at its center. Block kriging was used to check zone totals. Because kriging minimizes the error at each location separately, it produces a surface smoother than the process it estimates: high values are underpredicted, low values overpredicted, and areas above a threshold understated</w:t>
      </w:r>
      <w:r>
        <w:t xml:space="preserve"> </w:t>
      </w:r>
      <w:r>
        <w:t xml:space="preserve">(Dickens 2026b)</w:t>
      </w:r>
      <w:r>
        <w:t xml:space="preserve">. To quantify this, 200 conditional simulations were drawn by sequential Gaussian simulation</w:t>
      </w:r>
      <w:r>
        <w:t xml:space="preserve"> </w:t>
      </w:r>
      <w:r>
        <w:t xml:space="preserve">(Goovaerts 1997)</w:t>
      </w:r>
      <w:r>
        <w:t xml:space="preserve">. The algorithm visits the prediction points in random order, kriges each from the data and the previously simulated points (here the 30 nearest), draws a value from a normal distribution with the kriging mean and variance, and adds it to the conditioning data. Each simulated surface honors the observations and reproduces the variogram, so the spread across simulations represents the variability that the kriged map smooths away. Each square was simulated at a 4 × 4 lattice of land points, together with its prediction point; their mean approximates the average over the square’s land portion. The main kriged map retains point support.</w:t>
      </w:r>
    </w:p>
    <w:bookmarkEnd w:id="34"/>
    <w:bookmarkStart w:id="35" w:name="sec-m-zones"/>
    <w:p>
      <w:pPr>
        <w:pStyle w:val="Heading2"/>
      </w:pPr>
      <w:r>
        <w:t xml:space="preserve">2.7 High-risk zones and outbreak size</w:t>
      </w:r>
    </w:p>
    <w:p>
      <w:pPr>
        <w:pStyle w:val="FirstParagraph"/>
      </w:pPr>
      <w:r>
        <w:t xml:space="preserve">High-risk squares were those in the sampled area with predictions at or above the 75th percentile (top 25%) of predictions in that area, and the core those at or above the 90th percentile (top 10%). Restricting the percentiles to the sampled area prevents extrapolated values from shifting the thresholds. The data do not state the catchment of each count, that is, the area whose cases the count records. Expressing outbreak size in cases per km</w:t>
      </w:r>
      <w:r>
        <w:rPr>
          <w:vertAlign w:val="superscript"/>
        </w:rPr>
        <w:t xml:space="preserve">2</w:t>
      </w:r>
      <w:r>
        <w:t xml:space="preserve"> </w:t>
      </w:r>
      <w:r>
        <w:t xml:space="preserve">therefore requires an assumption, and two illustrative scenarios were used. Under the first, each count reflects about 1 km</w:t>
      </w:r>
      <w:r>
        <w:rPr>
          <w:vertAlign w:val="superscript"/>
        </w:rPr>
        <w:t xml:space="preserve">2</w:t>
      </w:r>
      <w:r>
        <w:t xml:space="preserve"> </w:t>
      </w:r>
      <w:r>
        <w:t xml:space="preserve">around its site, the size of a grid square; each prediction is then an expected number of cases per km</w:t>
      </w:r>
      <w:r>
        <w:rPr>
          <w:vertAlign w:val="superscript"/>
        </w:rPr>
        <w:t xml:space="preserve">2</w:t>
      </w:r>
      <w:r>
        <w:t xml:space="preserve">, and the expected number of cases in a zone is the sum over its squares of prediction × land area. Under the second, the 30 sites share the sampled region equally. The land inside the convex hull of the sites covers 191.1 km</w:t>
      </w:r>
      <w:r>
        <w:rPr>
          <w:vertAlign w:val="superscript"/>
        </w:rPr>
        <w:t xml:space="preserve">2</w:t>
      </w:r>
      <w:r>
        <w:t xml:space="preserve">, or 6.4 km</w:t>
      </w:r>
      <w:r>
        <w:rPr>
          <w:vertAlign w:val="superscript"/>
        </w:rPr>
        <w:t xml:space="preserve">2</w:t>
      </w:r>
      <w:r>
        <w:t xml:space="preserve"> </w:t>
      </w:r>
      <w:r>
        <w:t xml:space="preserve">per site, so each count is spread over 6.4 km</w:t>
      </w:r>
      <w:r>
        <w:rPr>
          <w:vertAlign w:val="superscript"/>
        </w:rPr>
        <w:t xml:space="preserve">2</w:t>
      </w:r>
      <w:r>
        <w:t xml:space="preserve"> </w:t>
      </w:r>
      <w:r>
        <w:t xml:space="preserve">and all totals and densities are divided by 6.4. The true catchment is unknown and could be smaller or larger than either value. Because the assumption rescales every square by the same factor, it changes totals and densities but not the ranking of squares, the zones, relative intensities against the lower 75% of the sampled area, or the choice of centers.</w:t>
      </w:r>
    </w:p>
    <w:bookmarkEnd w:id="35"/>
    <w:bookmarkStart w:id="36" w:name="sec-m-green"/>
    <w:p>
      <w:pPr>
        <w:pStyle w:val="Heading2"/>
      </w:pPr>
      <w:r>
        <w:t xml:space="preserve">2.8 Association with green space</w:t>
      </w:r>
    </w:p>
    <w:p>
      <w:pPr>
        <w:pStyle w:val="FirstParagraph"/>
      </w:pPr>
      <w:r>
        <w:t xml:space="preserve">The association between green space and counts was estimated at the 30 sites, not on the kriged grid, whose values are smoothed functions of the same 30 counts. Spearman’s rank correlation gave a distribution-free summary. Counts were modeled by Poisson regression with a log link,</w:t>
      </w:r>
      <w:r>
        <w:t xml:space="preserve"> </w:t>
      </w:r>
      <m:oMath>
        <m:r>
          <m:rPr>
            <m:sty m:val="p"/>
          </m:rPr>
          <m:t>log</m:t>
        </m:r>
        <m:r>
          <m:t>E</m:t>
        </m:r>
        <m:d>
          <m:dPr>
            <m:begChr m:val="("/>
            <m:sepChr m:val=""/>
            <m:endChr m:val=")"/>
            <m:grow/>
          </m:dPr>
          <m:e>
            <m:sSub>
              <m:e>
                <m:r>
                  <m:t>Y</m:t>
                </m:r>
              </m:e>
              <m:sub>
                <m:r>
                  <m:t>i</m:t>
                </m:r>
              </m:sub>
            </m:sSub>
          </m:e>
        </m:d>
        <m:r>
          <m:rPr>
            <m:sty m:val="p"/>
          </m:rPr>
          <m:t>=</m:t>
        </m:r>
        <m:sSub>
          <m:e>
            <m:r>
              <m:t>β</m:t>
            </m:r>
          </m:e>
          <m:sub>
            <m:r>
              <m:t>0</m:t>
            </m:r>
          </m:sub>
        </m:sSub>
        <m:r>
          <m:rPr>
            <m:sty m:val="p"/>
          </m:rPr>
          <m:t>+</m:t>
        </m:r>
        <m:sSub>
          <m:e>
            <m:r>
              <m:t>β</m:t>
            </m:r>
          </m:e>
          <m:sub>
            <m:r>
              <m:t>1</m:t>
            </m:r>
          </m:sub>
        </m:sSub>
        <m:sSub>
          <m:e>
            <m:r>
              <m:t>x</m:t>
            </m:r>
          </m:e>
          <m:sub>
            <m:r>
              <m:t>i</m:t>
            </m:r>
          </m:sub>
        </m:sSub>
      </m:oMath>
      <w:r>
        <w:t xml:space="preserve">, with green cover</w:t>
      </w:r>
      <w:r>
        <w:t xml:space="preserve"> </w:t>
      </w:r>
      <m:oMath>
        <m:sSub>
          <m:e>
            <m:r>
              <m:t>x</m:t>
            </m:r>
          </m:e>
          <m:sub>
            <m:r>
              <m:t>i</m:t>
            </m:r>
          </m:sub>
        </m:sSub>
      </m:oMath>
      <w:r>
        <w:t xml:space="preserve"> </w:t>
      </w:r>
      <w:r>
        <w:t xml:space="preserve">per 10 percentage points, so that</w:t>
      </w:r>
      <w:r>
        <w:t xml:space="preserve"> </w:t>
      </w:r>
      <m:oMath>
        <m:sSup>
          <m:e>
            <m:r>
              <m:t>e</m:t>
            </m:r>
          </m:e>
          <m:sup>
            <m:sSub>
              <m:e>
                <m:r>
                  <m:t>β</m:t>
                </m:r>
              </m:e>
              <m:sub>
                <m:r>
                  <m:t>1</m:t>
                </m:r>
              </m:sub>
            </m:sSub>
          </m:sup>
        </m:sSup>
      </m:oMath>
      <w:r>
        <w:t xml:space="preserve"> </w:t>
      </w:r>
      <w:r>
        <w:t xml:space="preserve">is the ratio of expected counts for a 10-point increase. No offset was included because neither population nor observation time was available, so the ratio compares expected counts, not incidence rates</w:t>
      </w:r>
      <w:r>
        <w:t xml:space="preserve"> </w:t>
      </w:r>
      <w:r>
        <w:t xml:space="preserve">(Dickens 2026a)</w:t>
      </w:r>
      <w:r>
        <w:t xml:space="preserve">. Its 95% confidence interval was obtained from the profile likelihood and its p-value from a likelihood ratio test. Overdispersion was assessed by the Pearson statistic divided by the residual degrees of freedom, with a quasi-Poisson fit as a check.</w:t>
      </w:r>
    </w:p>
    <w:p>
      <w:pPr>
        <w:pStyle w:val="BodyText"/>
      </w:pPr>
      <w:r>
        <w:t xml:space="preserve">Whether green space accounts for the spatial clustering of the counts was assessed with Moran’s I</w:t>
      </w:r>
      <w:r>
        <w:t xml:space="preserve"> </w:t>
      </w:r>
      <w:r>
        <w:t xml:space="preserve">(Moran 1950)</w:t>
      </w:r>
      <w:r>
        <w:t xml:space="preserve">,</w:t>
      </w:r>
    </w:p>
    <w:p>
      <w:pPr>
        <w:pStyle w:val="BodyText"/>
      </w:pPr>
      <m:oMathPara>
        <m:oMathParaPr>
          <m:jc m:val="center"/>
        </m:oMathParaPr>
        <m:oMath>
          <m:r>
            <m:t>I</m:t>
          </m:r>
          <m:r>
            <m:rPr>
              <m:sty m:val="p"/>
            </m:rPr>
            <m:t>=</m:t>
          </m:r>
          <m:f>
            <m:fPr>
              <m:type m:val="bar"/>
            </m:fPr>
            <m:num>
              <m:r>
                <m:t>n</m:t>
              </m:r>
            </m:num>
            <m:den>
              <m:nary>
                <m:naryPr>
                  <m:chr m:val="∑"/>
                  <m:limLoc m:val="undOvr"/>
                  <m:subHide m:val="off"/>
                  <m:supHide m:val="on"/>
                </m:naryPr>
                <m:sub>
                  <m:r>
                    <m:t>i</m:t>
                  </m:r>
                </m:sub>
                <m:sup>
                  <m:r>
                    <m:t>​</m:t>
                  </m:r>
                </m:sup>
                <m:e>
                  <m:nary>
                    <m:naryPr>
                      <m:chr m:val="∑"/>
                      <m:limLoc m:val="undOvr"/>
                      <m:subHide m:val="off"/>
                      <m:supHide m:val="on"/>
                    </m:naryPr>
                    <m:sub>
                      <m:r>
                        <m:t>j</m:t>
                      </m:r>
                    </m:sub>
                    <m:sup>
                      <m:r>
                        <m:t>​</m:t>
                      </m:r>
                    </m:sup>
                    <m:e>
                      <m:sSub>
                        <m:e>
                          <m:r>
                            <m:t>w</m:t>
                          </m:r>
                        </m:e>
                        <m:sub>
                          <m:r>
                            <m:t>i</m:t>
                          </m:r>
                          <m:r>
                            <m:t>j</m:t>
                          </m:r>
                        </m:sub>
                      </m:sSub>
                    </m:e>
                  </m:nary>
                </m:e>
              </m:nary>
            </m:den>
          </m:f>
          <m:r>
            <m:t> </m:t>
          </m:r>
          <m:f>
            <m:fPr>
              <m:type m:val="bar"/>
            </m:fPr>
            <m:num>
              <m:nary>
                <m:naryPr>
                  <m:chr m:val="∑"/>
                  <m:limLoc m:val="undOvr"/>
                  <m:subHide m:val="off"/>
                  <m:supHide m:val="on"/>
                </m:naryPr>
                <m:sub>
                  <m:r>
                    <m:t>i</m:t>
                  </m:r>
                </m:sub>
                <m:sup>
                  <m:r>
                    <m:t>​</m:t>
                  </m:r>
                </m:sup>
                <m:e>
                  <m:nary>
                    <m:naryPr>
                      <m:chr m:val="∑"/>
                      <m:limLoc m:val="undOvr"/>
                      <m:subHide m:val="off"/>
                      <m:supHide m:val="on"/>
                    </m:naryPr>
                    <m:sub>
                      <m:r>
                        <m:t>j</m:t>
                      </m:r>
                    </m:sub>
                    <m:sup>
                      <m:r>
                        <m:t>​</m:t>
                      </m:r>
                    </m:sup>
                    <m:e>
                      <m:sSub>
                        <m:e>
                          <m:r>
                            <m:t>w</m:t>
                          </m:r>
                        </m:e>
                        <m:sub>
                          <m:r>
                            <m:t>i</m:t>
                          </m:r>
                          <m:r>
                            <m:t>j</m:t>
                          </m:r>
                        </m:sub>
                      </m:sSub>
                    </m:e>
                  </m:nary>
                </m:e>
              </m:nary>
              <m:d>
                <m:dPr>
                  <m:begChr m:val="("/>
                  <m:sepChr m:val=""/>
                  <m:endChr m:val=")"/>
                  <m:grow/>
                </m:dPr>
                <m:e>
                  <m:sSub>
                    <m:e>
                      <m:r>
                        <m:t>z</m:t>
                      </m:r>
                    </m:e>
                    <m:sub>
                      <m:r>
                        <m:t>i</m:t>
                      </m:r>
                    </m:sub>
                  </m:sSub>
                  <m:r>
                    <m:rPr>
                      <m:sty m:val="p"/>
                    </m:rPr>
                    <m:t>−</m:t>
                  </m:r>
                  <m:acc>
                    <m:accPr>
                      <m:chr m:val="‾"/>
                    </m:accPr>
                    <m:e>
                      <m:r>
                        <m:t>z</m:t>
                      </m:r>
                    </m:e>
                  </m:acc>
                </m:e>
              </m:d>
              <m:d>
                <m:dPr>
                  <m:begChr m:val="("/>
                  <m:sepChr m:val=""/>
                  <m:endChr m:val=")"/>
                  <m:grow/>
                </m:dPr>
                <m:e>
                  <m:sSub>
                    <m:e>
                      <m:r>
                        <m:t>z</m:t>
                      </m:r>
                    </m:e>
                    <m:sub>
                      <m:r>
                        <m:t>j</m:t>
                      </m:r>
                    </m:sub>
                  </m:sSub>
                  <m:r>
                    <m:rPr>
                      <m:sty m:val="p"/>
                    </m:rPr>
                    <m:t>−</m:t>
                  </m:r>
                  <m:acc>
                    <m:accPr>
                      <m:chr m:val="‾"/>
                    </m:accPr>
                    <m:e>
                      <m:r>
                        <m:t>z</m:t>
                      </m:r>
                    </m:e>
                  </m:acc>
                </m:e>
              </m:d>
            </m:num>
            <m:den>
              <m:nary>
                <m:naryPr>
                  <m:chr m:val="∑"/>
                  <m:limLoc m:val="undOvr"/>
                  <m:subHide m:val="off"/>
                  <m:supHide m:val="on"/>
                </m:naryPr>
                <m:sub>
                  <m:r>
                    <m:t>i</m:t>
                  </m:r>
                </m:sub>
                <m:sup>
                  <m:r>
                    <m:t>​</m:t>
                  </m:r>
                </m:sup>
                <m:e>
                  <m:sSup>
                    <m:e>
                      <m:d>
                        <m:dPr>
                          <m:begChr m:val="("/>
                          <m:sepChr m:val=""/>
                          <m:endChr m:val=")"/>
                          <m:grow/>
                        </m:dPr>
                        <m:e>
                          <m:sSub>
                            <m:e>
                              <m:r>
                                <m:t>z</m:t>
                              </m:r>
                            </m:e>
                            <m:sub>
                              <m:r>
                                <m:t>i</m:t>
                              </m:r>
                            </m:sub>
                          </m:sSub>
                          <m:r>
                            <m:rPr>
                              <m:sty m:val="p"/>
                            </m:rPr>
                            <m:t>−</m:t>
                          </m:r>
                          <m:acc>
                            <m:accPr>
                              <m:chr m:val="‾"/>
                            </m:accPr>
                            <m:e>
                              <m:r>
                                <m:t>z</m:t>
                              </m:r>
                            </m:e>
                          </m:acc>
                        </m:e>
                      </m:d>
                    </m:e>
                    <m:sup>
                      <m:r>
                        <m:t>2</m:t>
                      </m:r>
                    </m:sup>
                  </m:sSup>
                </m:e>
              </m:nary>
            </m:den>
          </m:f>
          <m:r>
            <m:rPr>
              <m:sty m:val="p"/>
            </m:rPr>
            <m:t>,</m:t>
          </m:r>
        </m:oMath>
      </m:oMathPara>
    </w:p>
    <w:p>
      <w:pPr>
        <w:pStyle w:val="FirstParagraph"/>
      </w:pPr>
      <w:r>
        <w:t xml:space="preserve">where</w:t>
      </w:r>
      <w:r>
        <w:t xml:space="preserve"> </w:t>
      </w:r>
      <m:oMath>
        <m:sSub>
          <m:e>
            <m:r>
              <m:t>w</m:t>
            </m:r>
          </m:e>
          <m:sub>
            <m:r>
              <m:t>i</m:t>
            </m:r>
            <m:r>
              <m:t>j</m:t>
            </m:r>
          </m:sub>
        </m:sSub>
      </m:oMath>
      <w:r>
        <w:t xml:space="preserve"> </w:t>
      </w:r>
      <w:r>
        <w:t xml:space="preserve">is the neighbor weight between sites</w:t>
      </w:r>
      <w:r>
        <w:t xml:space="preserve"> </w:t>
      </w:r>
      <w:r>
        <w:rPr>
          <w:i/>
          <w:iCs/>
        </w:rPr>
        <w:t xml:space="preserve">i</w:t>
      </w:r>
      <w:r>
        <w:t xml:space="preserve"> </w:t>
      </w:r>
      <w:r>
        <w:t xml:space="preserve">and</w:t>
      </w:r>
      <w:r>
        <w:t xml:space="preserve"> </w:t>
      </w:r>
      <w:r>
        <w:rPr>
          <w:i/>
          <w:iCs/>
        </w:rPr>
        <w:t xml:space="preserve">j</w:t>
      </w:r>
      <w:r>
        <w:t xml:space="preserve">.</w:t>
      </w:r>
      <w:r>
        <w:t xml:space="preserve"> </w:t>
      </w:r>
      <w:r>
        <w:rPr>
          <w:i/>
          <w:iCs/>
        </w:rPr>
        <w:t xml:space="preserve">I</w:t>
      </w:r>
      <w:r>
        <w:t xml:space="preserve"> </w:t>
      </w:r>
      <w:r>
        <w:t xml:space="preserve">is positive when neighboring sites have similar values, negative when they differ, and close to its expectation of</w:t>
      </w:r>
      <w:r>
        <w:t xml:space="preserve"> </w:t>
      </w:r>
      <m:oMath>
        <m:r>
          <m:rPr>
            <m:sty m:val="p"/>
          </m:rPr>
          <m:t>−</m:t>
        </m:r>
        <m:r>
          <m:t>1</m:t>
        </m:r>
        <m:r>
          <m:rPr>
            <m:sty m:val="p"/>
          </m:rPr>
          <m:t>/</m:t>
        </m:r>
        <m:d>
          <m:dPr>
            <m:begChr m:val="("/>
            <m:sepChr m:val=""/>
            <m:endChr m:val=")"/>
            <m:grow/>
          </m:dPr>
          <m:e>
            <m:r>
              <m:t>n</m:t>
            </m:r>
            <m:r>
              <m:rPr>
                <m:sty m:val="p"/>
              </m:rPr>
              <m:t>−</m:t>
            </m:r>
            <m:r>
              <m:t>1</m:t>
            </m:r>
          </m:e>
        </m:d>
      </m:oMath>
      <w:r>
        <w:t xml:space="preserve"> </w:t>
      </w:r>
      <w:r>
        <w:t xml:space="preserve">under no autocorrelation. It was computed for the counts and for the Pearson residuals of the Poisson model, with one-sided p-values for positive autocorrelation from 9,999 random permutations</w:t>
      </w:r>
      <w:r>
        <w:t xml:space="preserve"> </w:t>
      </w:r>
      <w:r>
        <w:t xml:space="preserve">(Bivand and Wong 2018)</w:t>
      </w:r>
      <w:r>
        <w:t xml:space="preserve">, under two row-standardized neighbor definitions: the four nearest neighbors of each site (made symmetric), and the shortest distance band that leaves no site without a neighbor. Following</w:t>
      </w:r>
      <w:r>
        <w:t xml:space="preserve"> </w:t>
      </w:r>
      <w:r>
        <w:t xml:space="preserve">Dickens (2026a)</w:t>
      </w:r>
      <w:r>
        <w:t xml:space="preserve">, a linear regression of counts on green space was also tested with one-sided Moran’s I of its residuals and with the robust Lagrange multiplier tests, which distinguish spatial dependence in the errors from dependence in the outcome</w:t>
      </w:r>
      <w:r>
        <w:t xml:space="preserve"> </w:t>
      </w:r>
      <w:r>
        <w:t xml:space="preserve">(Anselin et al. 1996)</w:t>
      </w:r>
      <w:r>
        <w:t xml:space="preserve">. Permuting fitted Poisson residuals is an exploratory diagnostic because the residuals are estimated from the same data.</w:t>
      </w:r>
    </w:p>
    <w:bookmarkEnd w:id="36"/>
    <w:bookmarkStart w:id="37" w:name="sec-m-centers"/>
    <w:p>
      <w:pPr>
        <w:pStyle w:val="Heading2"/>
      </w:pPr>
      <w:r>
        <w:t xml:space="preserve">2.9 Locating the intervention centers</w:t>
      </w:r>
    </w:p>
    <w:p>
      <w:pPr>
        <w:pStyle w:val="FirstParagraph"/>
      </w:pPr>
      <w:r>
        <w:t xml:space="preserve">Temporary intervention centers are short-term facilities from which an outbreak response is delivered to the affected population, for example testing, treatment, health information and the coordination of environmental control. A good location is one that people in the high-risk zone can reach easily, so the selection combined accessibility criteria with the kriged surface. Candidate venues were community clubs</w:t>
      </w:r>
      <w:r>
        <w:t xml:space="preserve"> </w:t>
      </w:r>
      <w:r>
        <w:t xml:space="preserve">(People’s Association 2024)</w:t>
      </w:r>
      <w:r>
        <w:t xml:space="preserve">, which are public, staffed buildings with halls located within housing estates. Clubs flagged in the 2024 dataset as under construction or pending upgrading or relocation were checked against the current official directory</w:t>
      </w:r>
      <w:r>
        <w:t xml:space="preserve"> </w:t>
      </w:r>
      <w:r>
        <w:t xml:space="preserve">(People’s Association 2026)</w:t>
      </w:r>
      <w:r>
        <w:t xml:space="preserve">. Accessibility was defined as lying within 500 m (straight line) of an MRT station exit</w:t>
      </w:r>
      <w:r>
        <w:t xml:space="preserve"> </w:t>
      </w:r>
      <w:r>
        <w:t xml:space="preserve">(Land Transport Authority 2026)</w:t>
      </w:r>
      <w:r>
        <w:t xml:space="preserve">, and proximity as lying within 1 km of the top-25% zone. The kriged surface supplies the demand: each square of the top-25% zone is weighted by its estimated number of cases (prediction × land area), so squares with more expected cases pull the centers toward them. From the clubs meeting both criteria, two centers were chosen by solving the two-facility p-median problem</w:t>
      </w:r>
      <w:r>
        <w:t xml:space="preserve"> </w:t>
      </w:r>
      <w:r>
        <w:t xml:space="preserve">(Hakimi 1965)</w:t>
      </w:r>
      <w:r>
        <w:t xml:space="preserve">, that is, by finding the pair of clubs</w:t>
      </w:r>
      <w:r>
        <w:t xml:space="preserve"> </w:t>
      </w:r>
      <m:oMath>
        <m:r>
          <m:t>S</m:t>
        </m:r>
      </m:oMath>
      <w:r>
        <w:t xml:space="preserve"> </w:t>
      </w:r>
      <w:r>
        <w:t xml:space="preserve">that minimizes the case-weighted mean distance from the zone’s squares to the nearer center,</w:t>
      </w:r>
    </w:p>
    <w:p>
      <w:pPr>
        <w:pStyle w:val="BodyText"/>
      </w:pPr>
      <m:oMathPara>
        <m:oMathParaPr>
          <m:jc m:val="center"/>
        </m:oMathParaPr>
        <m:oMath>
          <m:f>
            <m:fPr>
              <m:type m:val="bar"/>
            </m:fPr>
            <m:num>
              <m:nary>
                <m:naryPr>
                  <m:chr m:val="∑"/>
                  <m:limLoc m:val="undOvr"/>
                  <m:subHide m:val="off"/>
                  <m:supHide m:val="on"/>
                </m:naryPr>
                <m:sub>
                  <m:r>
                    <m:t>k</m:t>
                  </m:r>
                </m:sub>
                <m:sup>
                  <m:r>
                    <m:t>​</m:t>
                  </m:r>
                </m:sup>
                <m:e>
                  <m:sSub>
                    <m:e>
                      <m:r>
                        <m:t>w</m:t>
                      </m:r>
                    </m:e>
                    <m:sub>
                      <m:r>
                        <m:t>k</m:t>
                      </m:r>
                    </m:sub>
                  </m:sSub>
                </m:e>
              </m:nary>
              <m:limLow>
                <m:e>
                  <m:r>
                    <m:rPr>
                      <m:sty m:val="p"/>
                    </m:rPr>
                    <m:t>min</m:t>
                  </m:r>
                </m:e>
                <m:lim>
                  <m:r>
                    <m:t>j</m:t>
                  </m:r>
                  <m:r>
                    <m:rPr>
                      <m:sty m:val="p"/>
                    </m:rPr>
                    <m:t>∈</m:t>
                  </m:r>
                  <m:r>
                    <m:t>S</m:t>
                  </m:r>
                </m:lim>
              </m:limLow>
              <m:sSub>
                <m:e>
                  <m:r>
                    <m:t>d</m:t>
                  </m:r>
                </m:e>
                <m:sub>
                  <m:r>
                    <m:t>k</m:t>
                  </m:r>
                  <m:r>
                    <m:t>j</m:t>
                  </m:r>
                </m:sub>
              </m:sSub>
            </m:num>
            <m:den>
              <m:nary>
                <m:naryPr>
                  <m:chr m:val="∑"/>
                  <m:limLoc m:val="undOvr"/>
                  <m:subHide m:val="off"/>
                  <m:supHide m:val="on"/>
                </m:naryPr>
                <m:sub>
                  <m:r>
                    <m:t>k</m:t>
                  </m:r>
                </m:sub>
                <m:sup>
                  <m:r>
                    <m:t>​</m:t>
                  </m:r>
                </m:sup>
                <m:e>
                  <m:sSub>
                    <m:e>
                      <m:r>
                        <m:t>w</m:t>
                      </m:r>
                    </m:e>
                    <m:sub>
                      <m:r>
                        <m:t>k</m:t>
                      </m:r>
                    </m:sub>
                  </m:sSub>
                </m:e>
              </m:nary>
            </m:den>
          </m:f>
          <m:r>
            <m:rPr>
              <m:sty m:val="p"/>
            </m:rPr>
            <m:t>,</m:t>
          </m:r>
        </m:oMath>
      </m:oMathPara>
    </w:p>
    <w:p>
      <w:pPr>
        <w:pStyle w:val="FirstParagraph"/>
      </w:pPr>
      <w:r>
        <w:t xml:space="preserve">where</w:t>
      </w:r>
      <w:r>
        <w:t xml:space="preserve"> </w:t>
      </w:r>
      <w:r>
        <w:rPr>
          <w:i/>
          <w:iCs/>
        </w:rPr>
        <w:t xml:space="preserve">k</w:t>
      </w:r>
      <w:r>
        <w:t xml:space="preserve"> </w:t>
      </w:r>
      <w:r>
        <w:t xml:space="preserve">indexes the squares of the zone,</w:t>
      </w:r>
      <w:r>
        <w:t xml:space="preserve"> </w:t>
      </w:r>
      <m:oMath>
        <m:sSub>
          <m:e>
            <m:r>
              <m:t>w</m:t>
            </m:r>
          </m:e>
          <m:sub>
            <m:r>
              <m:t>k</m:t>
            </m:r>
          </m:sub>
        </m:sSub>
      </m:oMath>
      <w:r>
        <w:t xml:space="preserve"> </w:t>
      </w:r>
      <w:r>
        <w:t xml:space="preserve">is the estimated number of cases in square</w:t>
      </w:r>
      <w:r>
        <w:t xml:space="preserve"> </w:t>
      </w:r>
      <w:r>
        <w:rPr>
          <w:i/>
          <w:iCs/>
        </w:rPr>
        <w:t xml:space="preserve">k</w:t>
      </w:r>
      <w:r>
        <w:t xml:space="preserve"> </w:t>
      </w:r>
      <w:r>
        <w:t xml:space="preserve">and</w:t>
      </w:r>
      <w:r>
        <w:t xml:space="preserve"> </w:t>
      </w:r>
      <m:oMath>
        <m:sSub>
          <m:e>
            <m:r>
              <m:t>d</m:t>
            </m:r>
          </m:e>
          <m:sub>
            <m:r>
              <m:t>k</m:t>
            </m:r>
            <m:r>
              <m:t>j</m:t>
            </m:r>
          </m:sub>
        </m:sSub>
      </m:oMath>
      <w:r>
        <w:t xml:space="preserve"> </w:t>
      </w:r>
      <w:r>
        <w:t xml:space="preserve">is the straight-line distance from square</w:t>
      </w:r>
      <w:r>
        <w:t xml:space="preserve"> </w:t>
      </w:r>
      <w:r>
        <w:rPr>
          <w:i/>
          <w:iCs/>
        </w:rPr>
        <w:t xml:space="preserve">k</w:t>
      </w:r>
      <w:r>
        <w:t xml:space="preserve"> </w:t>
      </w:r>
      <w:r>
        <w:t xml:space="preserve">to club</w:t>
      </w:r>
      <w:r>
        <w:t xml:space="preserve"> </w:t>
      </w:r>
      <w:r>
        <w:rPr>
          <w:i/>
          <w:iCs/>
        </w:rPr>
        <w:t xml:space="preserve">j</w:t>
      </w:r>
      <w:r>
        <w:t xml:space="preserve">. Every pair was evaluated, so the solution is optimal within the candidate set. Because the catchment assumptions of</w:t>
      </w:r>
      <w:r>
        <w:t xml:space="preserve"> </w:t>
      </w:r>
      <w:hyperlink w:anchor="sec-m-zones">
        <w:r>
          <w:rPr>
            <w:rStyle w:val="Hyperlink"/>
          </w:rPr>
          <w:t xml:space="preserve">Section 2.7</w:t>
        </w:r>
      </w:hyperlink>
      <w:r>
        <w:t xml:space="preserve"> </w:t>
      </w:r>
      <w:r>
        <w:t xml:space="preserve">multiply every</w:t>
      </w:r>
      <w:r>
        <w:t xml:space="preserve"> </w:t>
      </w:r>
      <m:oMath>
        <m:sSub>
          <m:e>
            <m:r>
              <m:t>w</m:t>
            </m:r>
          </m:e>
          <m:sub>
            <m:r>
              <m:t>k</m:t>
            </m:r>
          </m:sub>
        </m:sSub>
      </m:oMath>
      <w:r>
        <w:t xml:space="preserve"> </w:t>
      </w:r>
      <w:r>
        <w:t xml:space="preserve">by the same constant, they do not affect the chosen pair.</w:t>
      </w:r>
    </w:p>
    <w:bookmarkEnd w:id="37"/>
    <w:bookmarkStart w:id="38" w:name="sec-m-sens"/>
    <w:p>
      <w:pPr>
        <w:pStyle w:val="Heading2"/>
      </w:pPr>
      <w:r>
        <w:t xml:space="preserve">2.10 Sensitivity analyses</w:t>
      </w:r>
    </w:p>
    <w:p>
      <w:pPr>
        <w:pStyle w:val="FirstParagraph"/>
      </w:pPr>
      <w:r>
        <w:t xml:space="preserve">The zones and centers were recomputed under the exponential and Gaussian models on the selected bins, a spherical model with 2.5 km bins and pair weights, the selected model refitted without site 25 (an influential site), and universal kriging with a linear trend in the coordinates. Agreement between top-25% zones was measured with the Jaccard index, the number of squares in both zones divided by the number in either, which ranges from 0 (no overlap) to 1 (identical zones).</w:t>
      </w:r>
    </w:p>
    <w:bookmarkEnd w:id="38"/>
    <w:bookmarkEnd w:id="39"/>
    <w:bookmarkStart w:id="52" w:name="sec-data"/>
    <w:p>
      <w:pPr>
        <w:pStyle w:val="Heading1"/>
      </w:pPr>
      <w:r>
        <w:t xml:space="preserve">3. Data preparation and exploration</w:t>
      </w:r>
    </w:p>
    <w:bookmarkStart w:id="40" w:name="sites-and-spatial-layout"/>
    <w:p>
      <w:pPr>
        <w:pStyle w:val="Heading2"/>
      </w:pPr>
      <w:r>
        <w:t xml:space="preserve">3.1 Sites and spatial layout</w:t>
      </w:r>
    </w:p>
    <w:p>
      <w:pPr>
        <w:pStyle w:val="FirstParagraph"/>
      </w:pPr>
      <w:r>
        <w:t xml:space="preserve">Reprojecting the supplied latitudes and longitudes to EPSG:3414 reproduced</w:t>
      </w:r>
      <w:r>
        <w:t xml:space="preserve"> </w:t>
      </w:r>
      <w:r>
        <w:rPr>
          <w:rStyle w:val="VerbatimChar"/>
        </w:rPr>
        <w:t xml:space="preserve">x</w:t>
      </w:r>
      <w:r>
        <w:t xml:space="preserve"> </w:t>
      </w:r>
      <w:r>
        <w:t xml:space="preserve">and</w:t>
      </w:r>
      <w:r>
        <w:t xml:space="preserve"> </w:t>
      </w:r>
      <w:r>
        <w:rPr>
          <w:rStyle w:val="VerbatimChar"/>
        </w:rPr>
        <w:t xml:space="preserve">y</w:t>
      </w:r>
      <w:r>
        <w:t xml:space="preserve"> </w:t>
      </w:r>
      <w:r>
        <w:t xml:space="preserve">to within 0.75 mm, so both coordinate sets describe the same points. The sites span 20.6 km east to west and 13.5 km north to south (</w:t>
      </w:r>
      <w:hyperlink w:anchor="fig-locations">
        <w:r>
          <w:rPr>
            <w:rStyle w:val="Hyperlink"/>
          </w:rPr>
          <w:t xml:space="preserve">Figure 2</w:t>
        </w:r>
      </w:hyperlink>
      <w:r>
        <w:t xml:space="preserve">). The median nearest-neighbor distance is 1.92 km (maximum 4.06 km) and the largest separation 22.1 km; sites 2 and 25 in Bukit Batok are 148 m apart. The north (Woodlands, Yishun, Sembawang), far west (Jurong West, Tuas), far east (Tampines, Pasir Ris, Changi) and offshore islands are unsampled.</w:t>
      </w:r>
    </w:p>
    <w:bookmarkEnd w:id="40"/>
    <w:bookmarkStart w:id="42" w:name="descriptive-statistics"/>
    <w:p>
      <w:pPr>
        <w:pStyle w:val="Heading2"/>
      </w:pPr>
      <w:r>
        <w:t xml:space="preserve">3.2 Descriptive statistics</w:t>
      </w:r>
    </w:p>
    <w:tbl>
      <w:tblPr>
        <w:tblStyle w:val="Table"/>
        <w:tblW w:type="pct" w:w="5000"/>
        <w:tblLayout w:type="fixed"/>
        <w:tblLook w:firstRow="0" w:lastRow="0" w:firstColumn="0" w:lastColumn="0" w:noHBand="0" w:noVBand="0" w:val="0000"/>
      </w:tblPr>
      <w:tblGrid>
        <w:gridCol w:w="7920"/>
      </w:tblGrid>
      <w:tr>
        <w:tc>
          <w:tcPr/>
          <w:bookmarkStart w:id="41" w:name="tbl-summary"/>
          <w:p>
            <w:pPr>
              <w:jc w:val="center"/>
            </w:pPr>
            <w:pPr>
              <w:jc w:val="start"/>
              <w:spacing w:before="200"/>
              <w:pStyle w:val="ImageCaption"/>
            </w:pPr>
            <w:r>
              <w:t xml:space="preserve">Table 4: Green space and case counts at the 30 sites.</w:t>
            </w:r>
          </w:p>
          <w:tbl>
            <w:tblPr>
              <w:tblStyle w:val="Table"/>
              <w:tblW w:type="pct" w:w="5000"/>
              <w:tblLayout w:type="fixed"/>
              <w:tblLook w:firstRow="1" w:lastRow="0" w:firstColumn="0" w:lastColumn="0" w:noHBand="0" w:noVBand="0" w:val="0020"/>
            </w:tblPr>
            <w:tblGrid>
              <w:gridCol w:w="1920"/>
              <w:gridCol w:w="360"/>
              <w:gridCol w:w="720"/>
              <w:gridCol w:w="720"/>
              <w:gridCol w:w="840"/>
              <w:gridCol w:w="1680"/>
              <w:gridCol w:w="1680"/>
            </w:tblGrid>
            <w:tr>
              <w:trPr>
                <w:tblHeader w:val="on"/>
              </w:trPr>
              <w:tc>
                <w:tcPr/>
                <w:p>
                  <w:pPr>
                    <w:pStyle w:val="Compact"/>
                    <w:jc w:val="left"/>
                    <w:jc w:val="center"/>
                  </w:pPr>
                  <w:r>
                    <w:t xml:space="preserve">Variable</w:t>
                  </w:r>
                </w:p>
              </w:tc>
              <w:tc>
                <w:tcPr/>
                <w:p>
                  <w:pPr>
                    <w:pStyle w:val="Compact"/>
                    <w:jc w:val="right"/>
                    <w:jc w:val="center"/>
                  </w:pPr>
                  <w:r>
                    <w:t xml:space="preserve">N</w:t>
                  </w:r>
                </w:p>
              </w:tc>
              <w:tc>
                <w:tcPr/>
                <w:p>
                  <w:pPr>
                    <w:pStyle w:val="Compact"/>
                    <w:jc w:val="right"/>
                    <w:jc w:val="center"/>
                  </w:pPr>
                  <w:r>
                    <w:t xml:space="preserve">Mean</w:t>
                  </w:r>
                </w:p>
              </w:tc>
              <w:tc>
                <w:tcPr/>
                <w:p>
                  <w:pPr>
                    <w:pStyle w:val="Compact"/>
                    <w:jc w:val="right"/>
                    <w:jc w:val="center"/>
                  </w:pPr>
                  <w:r>
                    <w:t xml:space="preserve">SD</w:t>
                  </w:r>
                </w:p>
              </w:tc>
              <w:tc>
                <w:tcPr/>
                <w:p>
                  <w:pPr>
                    <w:pStyle w:val="Compact"/>
                    <w:jc w:val="right"/>
                    <w:jc w:val="center"/>
                  </w:pPr>
                  <w:r>
                    <w:t xml:space="preserve">Median</w:t>
                  </w:r>
                </w:p>
              </w:tc>
              <w:tc>
                <w:tcPr/>
                <w:p>
                  <w:pPr>
                    <w:pStyle w:val="Compact"/>
                    <w:jc w:val="center"/>
                    <w:jc w:val="center"/>
                  </w:pPr>
                  <w:r>
                    <w:t xml:space="preserve">Q1 to Q3</w:t>
                  </w:r>
                </w:p>
              </w:tc>
              <w:tc>
                <w:tcPr/>
                <w:p>
                  <w:pPr>
                    <w:pStyle w:val="Compact"/>
                    <w:jc w:val="center"/>
                    <w:jc w:val="center"/>
                  </w:pPr>
                  <w:r>
                    <w:t xml:space="preserve">Min to max</w:t>
                  </w:r>
                </w:p>
              </w:tc>
            </w:tr>
            <w:tr>
              <w:tc>
                <w:tcPr/>
                <w:p>
                  <w:pPr>
                    <w:pStyle w:val="Compact"/>
                    <w:jc w:val="left"/>
                    <w:jc w:val="center"/>
                  </w:pPr>
                  <w:r>
                    <w:t xml:space="preserve">Green space (%)</w:t>
                  </w:r>
                </w:p>
              </w:tc>
              <w:tc>
                <w:tcPr/>
                <w:p>
                  <w:pPr>
                    <w:pStyle w:val="Compact"/>
                    <w:jc w:val="right"/>
                    <w:jc w:val="center"/>
                  </w:pPr>
                  <w:r>
                    <w:t xml:space="preserve">30</w:t>
                  </w:r>
                </w:p>
              </w:tc>
              <w:tc>
                <w:tcPr/>
                <w:p>
                  <w:pPr>
                    <w:pStyle w:val="Compact"/>
                    <w:jc w:val="right"/>
                    <w:jc w:val="center"/>
                  </w:pPr>
                  <w:r>
                    <w:t xml:space="preserve">48.91</w:t>
                  </w:r>
                </w:p>
              </w:tc>
              <w:tc>
                <w:tcPr/>
                <w:p>
                  <w:pPr>
                    <w:pStyle w:val="Compact"/>
                    <w:jc w:val="right"/>
                    <w:jc w:val="center"/>
                  </w:pPr>
                  <w:r>
                    <w:t xml:space="preserve">15.26</w:t>
                  </w:r>
                </w:p>
              </w:tc>
              <w:tc>
                <w:tcPr/>
                <w:p>
                  <w:pPr>
                    <w:pStyle w:val="Compact"/>
                    <w:jc w:val="right"/>
                    <w:jc w:val="center"/>
                  </w:pPr>
                  <w:r>
                    <w:t xml:space="preserve">48.5</w:t>
                  </w:r>
                </w:p>
              </w:tc>
              <w:tc>
                <w:tcPr/>
                <w:p>
                  <w:pPr>
                    <w:pStyle w:val="Compact"/>
                    <w:jc w:val="center"/>
                    <w:jc w:val="center"/>
                  </w:pPr>
                  <w:r>
                    <w:t xml:space="preserve">36.2 to 58.5</w:t>
                  </w:r>
                </w:p>
              </w:tc>
              <w:tc>
                <w:tcPr/>
                <w:p>
                  <w:pPr>
                    <w:pStyle w:val="Compact"/>
                    <w:jc w:val="center"/>
                    <w:jc w:val="center"/>
                  </w:pPr>
                  <w:r>
                    <w:t xml:space="preserve">26.3 to 76.1</w:t>
                  </w:r>
                </w:p>
              </w:tc>
            </w:tr>
            <w:tr>
              <w:tc>
                <w:tcPr/>
                <w:p>
                  <w:pPr>
                    <w:pStyle w:val="Compact"/>
                    <w:jc w:val="left"/>
                    <w:jc w:val="center"/>
                  </w:pPr>
                  <w:r>
                    <w:t xml:space="preserve">Cases</w:t>
                  </w:r>
                </w:p>
              </w:tc>
              <w:tc>
                <w:tcPr/>
                <w:p>
                  <w:pPr>
                    <w:pStyle w:val="Compact"/>
                    <w:jc w:val="right"/>
                    <w:jc w:val="center"/>
                  </w:pPr>
                  <w:r>
                    <w:t xml:space="preserve">30</w:t>
                  </w:r>
                </w:p>
              </w:tc>
              <w:tc>
                <w:tcPr/>
                <w:p>
                  <w:pPr>
                    <w:pStyle w:val="Compact"/>
                    <w:jc w:val="right"/>
                    <w:jc w:val="center"/>
                  </w:pPr>
                  <w:r>
                    <w:t xml:space="preserve">1.87</w:t>
                  </w:r>
                </w:p>
              </w:tc>
              <w:tc>
                <w:tcPr/>
                <w:p>
                  <w:pPr>
                    <w:pStyle w:val="Compact"/>
                    <w:jc w:val="right"/>
                    <w:jc w:val="center"/>
                  </w:pPr>
                  <w:r>
                    <w:t xml:space="preserve">1.72</w:t>
                  </w:r>
                </w:p>
              </w:tc>
              <w:tc>
                <w:tcPr/>
                <w:p>
                  <w:pPr>
                    <w:pStyle w:val="Compact"/>
                    <w:jc w:val="right"/>
                    <w:jc w:val="center"/>
                  </w:pPr>
                  <w:r>
                    <w:t xml:space="preserve">2</w:t>
                  </w:r>
                </w:p>
              </w:tc>
              <w:tc>
                <w:tcPr/>
                <w:p>
                  <w:pPr>
                    <w:pStyle w:val="Compact"/>
                    <w:jc w:val="center"/>
                    <w:jc w:val="center"/>
                  </w:pPr>
                  <w:r>
                    <w:t xml:space="preserve">0 to 3</w:t>
                  </w:r>
                </w:p>
              </w:tc>
              <w:tc>
                <w:tcPr/>
                <w:p>
                  <w:pPr>
                    <w:pStyle w:val="Compact"/>
                    <w:jc w:val="center"/>
                    <w:jc w:val="center"/>
                  </w:pPr>
                  <w:r>
                    <w:t xml:space="preserve">0 to 6</w:t>
                  </w:r>
                </w:p>
              </w:tc>
            </w:tr>
          </w:tbl>
          <w:bookmarkEnd w:id="41"/>
          <w:p/>
        </w:tc>
      </w:tr>
    </w:tbl>
    <w:p>
      <w:pPr>
        <w:pStyle w:val="BodyText"/>
      </w:pPr>
      <w:r>
        <w:t xml:space="preserve">Green cover ranged from 26.3% to 76.1% (mean 48.9%;</w:t>
      </w:r>
      <w:r>
        <w:t xml:space="preserve"> </w:t>
      </w:r>
      <w:hyperlink w:anchor="tbl-summary">
        <w:r>
          <w:rPr>
            <w:rStyle w:val="Hyperlink"/>
          </w:rPr>
          <w:t xml:space="preserve">Table 4</w:t>
        </w:r>
      </w:hyperlink>
      <w:r>
        <w:t xml:space="preserve">) with a broad, non-normal distribution (</w:t>
      </w:r>
      <w:hyperlink w:anchor="fig-attributes">
        <w:r>
          <w:rPr>
            <w:rStyle w:val="Hyperlink"/>
          </w:rPr>
          <w:t xml:space="preserve">Figure 3</w:t>
        </w:r>
      </w:hyperlink>
      <w:r>
        <w:t xml:space="preserve"> </w:t>
      </w:r>
      <w:r>
        <w:t xml:space="preserve">C). Six sites with 68.8% to 76.1% cover lie in the western green belt around Bukit Batok and Jurong Lake and in the Central Water Catchment; the lowest values (26.3% to 27.1%) are at Marina Bay and Geylang (</w:t>
      </w:r>
      <w:hyperlink w:anchor="fig-attributes">
        <w:r>
          <w:rPr>
            <w:rStyle w:val="Hyperlink"/>
          </w:rPr>
          <w:t xml:space="preserve">Figure 3</w:t>
        </w:r>
      </w:hyperlink>
      <w:r>
        <w:t xml:space="preserve"> </w:t>
      </w:r>
      <w:r>
        <w:t xml:space="preserve">B). Nine sites reported no cases, and the variance of the counts (2.95) exceeded their mean (1.87). The highest counts were around Marina Bay and the city center (sites 12, 15 and 16: 5, 5 and 6 cases), whereas most western sites reported none (</w:t>
      </w:r>
      <w:hyperlink w:anchor="fig-attributes">
        <w:r>
          <w:rPr>
            <w:rStyle w:val="Hyperlink"/>
          </w:rPr>
          <w:t xml:space="preserve">Figure 3</w:t>
        </w:r>
      </w:hyperlink>
      <w:r>
        <w:t xml:space="preserve"> </w:t>
      </w:r>
      <w:r>
        <w:t xml:space="preserve">A).</w:t>
      </w:r>
    </w:p>
    <w:bookmarkEnd w:id="42"/>
    <w:bookmarkStart w:id="51" w:name="assumptions-about-scale-and-units"/>
    <w:p>
      <w:pPr>
        <w:pStyle w:val="Heading2"/>
      </w:pPr>
      <w:r>
        <w:t xml:space="preserve">3.3 Assumptions about scale and units</w:t>
      </w:r>
    </w:p>
    <w:p>
      <w:pPr>
        <w:pStyle w:val="FirstParagraph"/>
      </w:pPr>
      <w:r>
        <w:t xml:space="preserve">EPSG:3414 is a transverse Mercator projection designed for Singapore, so Euclidean distances in meters are accurate over the 22 km study extent; lags, ranges and buffers are reported in kilometers. Each count is assumed to be the number of cases recorded around a site over a common but unstated period. No population or time denominator is available, so counts are not rates. Counts are treated as point observations of a continuous risk surface, although the area each count represents (its support) is unknown; this matters when outbreak size is expressed per km</w:t>
      </w:r>
      <w:r>
        <w:rPr>
          <w:vertAlign w:val="superscript"/>
        </w:rPr>
        <w:t xml:space="preserve">2</w:t>
      </w:r>
      <w:r>
        <w:t xml:space="preserve"> </w:t>
      </w:r>
      <w:r>
        <w:t xml:space="preserve">(</w:t>
      </w:r>
      <w:hyperlink w:anchor="sec-size">
        <w:r>
          <w:rPr>
            <w:rStyle w:val="Hyperlink"/>
          </w:rPr>
          <w:t xml:space="preserve">Section 7.1</w:t>
        </w:r>
      </w:hyperlink>
      <w:r>
        <w:t xml:space="preserve">). Green space is assumed to be the percentage of green cover within a common radius of each site, measured over the same period. Ordinary kriging further assumes a constant unknown mean and an isotropic variogram. Although predictions use a 1 km grid, sparse short-distance pairs limit fine-scale inference.</w:t>
      </w:r>
    </w:p>
    <w:tbl>
      <w:tblPr>
        <w:tblStyle w:val="Table"/>
        <w:tblW w:type="pct" w:w="5000"/>
        <w:tblLayout w:type="fixed"/>
        <w:tblLook w:firstRow="0" w:lastRow="0" w:firstColumn="0" w:lastColumn="0" w:noHBand="0" w:noVBand="0" w:val="0000"/>
      </w:tblPr>
      <w:tblGrid>
        <w:gridCol w:w="7920"/>
      </w:tblGrid>
      <w:tr>
        <w:tc>
          <w:tcPr/>
          <w:bookmarkStart w:id="46" w:name="fig-locations"/>
          <w:p>
            <w:pPr>
              <w:pStyle w:val="Compact"/>
              <w:jc w:val="center"/>
            </w:pPr>
            <w:r>
              <w:drawing>
                <wp:inline>
                  <wp:extent cx="3947160" cy="2418293"/>
                  <wp:effectExtent b="0" l="0" r="0" t="0"/>
                  <wp:docPr descr="" title="" id="44" name="Picture"/>
                  <a:graphic>
                    <a:graphicData uri="http://schemas.openxmlformats.org/drawingml/2006/picture">
                      <pic:pic>
                        <pic:nvPicPr>
                          <pic:cNvPr descr="outputs/figures/fig01_locations.png" id="45" name="Picture"/>
                          <pic:cNvPicPr>
                            <a:picLocks noChangeArrowheads="1" noChangeAspect="1"/>
                          </pic:cNvPicPr>
                        </pic:nvPicPr>
                        <pic:blipFill>
                          <a:blip r:embed="rId43"/>
                          <a:stretch>
                            <a:fillRect/>
                          </a:stretch>
                        </pic:blipFill>
                        <pic:spPr bwMode="auto">
                          <a:xfrm>
                            <a:off x="0" y="0"/>
                            <a:ext cx="3947160" cy="2418293"/>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Locations of the 30 sites, labeled by</w:t>
            </w:r>
            <w:r>
              <w:t xml:space="preserve"> </w:t>
            </w:r>
            <w:r>
              <w:rPr>
                <w:rStyle w:val="VerbatimChar"/>
              </w:rPr>
              <w:t xml:space="preserve">id</w:t>
            </w:r>
            <w:r>
              <w:t xml:space="preserve">. Land outline: URA Master Plan 2019 subzone boundary without sea</w:t>
            </w:r>
            <w:r>
              <w:t xml:space="preserve"> </w:t>
            </w:r>
            <w:r>
              <w:t xml:space="preserve">(Urban Redevelopment Authority 2019)</w:t>
            </w:r>
            <w:r>
              <w:t xml:space="preserve">, EPSG:3414.</w:t>
            </w:r>
          </w:p>
          <w:bookmarkEnd w:id="46"/>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50" w:name="fig-attributes"/>
          <w:p>
            <w:pPr>
              <w:pStyle w:val="Compact"/>
              <w:jc w:val="center"/>
            </w:pPr>
            <w:r>
              <w:drawing>
                <wp:inline>
                  <wp:extent cx="3947160" cy="2763011"/>
                  <wp:effectExtent b="0" l="0" r="0" t="0"/>
                  <wp:docPr descr="" title="" id="48" name="Picture"/>
                  <a:graphic>
                    <a:graphicData uri="http://schemas.openxmlformats.org/drawingml/2006/picture">
                      <pic:pic>
                        <pic:nvPicPr>
                          <pic:cNvPr descr="outputs/figures/fig02_site_attributes.png" id="49" name="Picture"/>
                          <pic:cNvPicPr>
                            <a:picLocks noChangeArrowheads="1" noChangeAspect="1"/>
                          </pic:cNvPicPr>
                        </pic:nvPicPr>
                        <pic:blipFill>
                          <a:blip r:embed="rId47"/>
                          <a:stretch>
                            <a:fillRect/>
                          </a:stretch>
                        </pic:blipFill>
                        <pic:spPr bwMode="auto">
                          <a:xfrm>
                            <a:off x="0" y="0"/>
                            <a:ext cx="3947160" cy="2763011"/>
                          </a:xfrm>
                          <a:prstGeom prst="rect">
                            <a:avLst/>
                          </a:prstGeom>
                          <a:noFill/>
                          <a:ln w="9525">
                            <a:noFill/>
                            <a:headEnd/>
                            <a:tailEnd/>
                          </a:ln>
                        </pic:spPr>
                      </pic:pic>
                    </a:graphicData>
                  </a:graphic>
                </wp:inline>
              </w:drawing>
            </w:r>
          </w:p>
          <w:p>
            <w:pPr>
              <w:jc w:val="center"/>
            </w:pPr>
            <w:pPr>
              <w:jc w:val="start"/>
              <w:spacing w:before="200"/>
              <w:pStyle w:val="ImageCaption"/>
            </w:pPr>
            <w:r>
              <w:t xml:space="preserve">Figure 3: Case counts (A; crosses mark zero counts) and green space (B) by site, with the distributions of green space (C) and case counts (D).</w:t>
            </w:r>
          </w:p>
          <w:bookmarkEnd w:id="50"/>
        </w:tc>
      </w:tr>
    </w:tbl>
    <w:p>
      <w:r>
        <w:br w:type="page"/>
      </w:r>
    </w:p>
    <w:bookmarkEnd w:id="51"/>
    <w:bookmarkEnd w:id="52"/>
    <w:bookmarkStart w:id="72" w:name="sec-variogram"/>
    <w:p>
      <w:pPr>
        <w:pStyle w:val="Heading1"/>
      </w:pPr>
      <w:r>
        <w:t xml:space="preserve">4. Variogram construction and fitting</w:t>
      </w:r>
    </w:p>
    <w:bookmarkStart w:id="58" w:name="empirical-variogram"/>
    <w:p>
      <w:pPr>
        <w:pStyle w:val="Heading2"/>
      </w:pPr>
      <w:r>
        <w:t xml:space="preserve">4.1 Empirical variogram</w:t>
      </w:r>
    </w:p>
    <w:tbl>
      <w:tblPr>
        <w:tblStyle w:val="Table"/>
        <w:tblW w:type="pct" w:w="5000"/>
        <w:tblLayout w:type="fixed"/>
        <w:tblLook w:firstRow="0" w:lastRow="0" w:firstColumn="0" w:lastColumn="0" w:noHBand="0" w:noVBand="0" w:val="0000"/>
      </w:tblPr>
      <w:tblGrid>
        <w:gridCol w:w="7920"/>
      </w:tblGrid>
      <w:tr>
        <w:tc>
          <w:tcPr/>
          <w:bookmarkStart w:id="53" w:name="tbl-bins"/>
          <w:p>
            <w:pPr>
              <w:jc w:val="center"/>
            </w:pPr>
            <w:pPr>
              <w:jc w:val="start"/>
              <w:spacing w:before="200"/>
              <w:pStyle w:val="ImageCaption"/>
            </w:pPr>
            <w:r>
              <w:t xml:space="preserve">Table 5: Number of bins and, in parentheses, the smallest number of pairs in any bin, by bin width and cutoff.</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jc w:val="center"/>
                  </w:pPr>
                  <w:r>
                    <w:t xml:space="preserve">Bin width</w:t>
                  </w:r>
                </w:p>
              </w:tc>
              <w:tc>
                <w:tcPr/>
                <w:p>
                  <w:pPr>
                    <w:pStyle w:val="Compact"/>
                    <w:jc w:val="center"/>
                    <w:jc w:val="center"/>
                  </w:pPr>
                  <w:r>
                    <w:t xml:space="preserve">8 km cutoff</w:t>
                  </w:r>
                </w:p>
              </w:tc>
              <w:tc>
                <w:tcPr/>
                <w:p>
                  <w:pPr>
                    <w:pStyle w:val="Compact"/>
                    <w:jc w:val="center"/>
                    <w:jc w:val="center"/>
                  </w:pPr>
                  <w:r>
                    <w:t xml:space="preserve">9 km cutoff</w:t>
                  </w:r>
                </w:p>
              </w:tc>
              <w:tc>
                <w:tcPr/>
                <w:p>
                  <w:pPr>
                    <w:pStyle w:val="Compact"/>
                    <w:jc w:val="center"/>
                    <w:jc w:val="center"/>
                  </w:pPr>
                  <w:r>
                    <w:t xml:space="preserve">10 km cutoff</w:t>
                  </w:r>
                </w:p>
              </w:tc>
              <w:tc>
                <w:tcPr/>
                <w:p>
                  <w:pPr>
                    <w:pStyle w:val="Compact"/>
                    <w:jc w:val="center"/>
                    <w:jc w:val="center"/>
                  </w:pPr>
                  <w:r>
                    <w:t xml:space="preserve">11 km cutoff</w:t>
                  </w:r>
                </w:p>
              </w:tc>
            </w:tr>
            <w:tr>
              <w:tc>
                <w:tcPr/>
                <w:p>
                  <w:pPr>
                    <w:pStyle w:val="Compact"/>
                    <w:jc w:val="left"/>
                    <w:jc w:val="center"/>
                  </w:pPr>
                  <w:r>
                    <w:t xml:space="preserve">1 km</w:t>
                  </w:r>
                </w:p>
              </w:tc>
              <w:tc>
                <w:tcPr/>
                <w:p>
                  <w:pPr>
                    <w:pStyle w:val="Compact"/>
                    <w:jc w:val="center"/>
                    <w:jc w:val="center"/>
                  </w:pPr>
                  <w:r>
                    <w:t xml:space="preserve">8 (6)</w:t>
                  </w:r>
                </w:p>
              </w:tc>
              <w:tc>
                <w:tcPr/>
                <w:p>
                  <w:pPr>
                    <w:pStyle w:val="Compact"/>
                    <w:jc w:val="center"/>
                    <w:jc w:val="center"/>
                  </w:pPr>
                  <w:r>
                    <w:t xml:space="preserve">9 (6)</w:t>
                  </w:r>
                </w:p>
              </w:tc>
              <w:tc>
                <w:tcPr/>
                <w:p>
                  <w:pPr>
                    <w:pStyle w:val="Compact"/>
                    <w:jc w:val="center"/>
                    <w:jc w:val="center"/>
                  </w:pPr>
                  <w:r>
                    <w:t xml:space="preserve">10 (6)</w:t>
                  </w:r>
                </w:p>
              </w:tc>
              <w:tc>
                <w:tcPr/>
                <w:p>
                  <w:pPr>
                    <w:pStyle w:val="Compact"/>
                    <w:jc w:val="center"/>
                    <w:jc w:val="center"/>
                  </w:pPr>
                  <w:r>
                    <w:t xml:space="preserve">11 (6)</w:t>
                  </w:r>
                </w:p>
              </w:tc>
            </w:tr>
            <w:tr>
              <w:tc>
                <w:tcPr/>
                <w:p>
                  <w:pPr>
                    <w:pStyle w:val="Compact"/>
                    <w:jc w:val="left"/>
                    <w:jc w:val="center"/>
                  </w:pPr>
                  <w:r>
                    <w:t xml:space="preserve">1.5 km</w:t>
                  </w:r>
                </w:p>
              </w:tc>
              <w:tc>
                <w:tcPr/>
                <w:p>
                  <w:pPr>
                    <w:pStyle w:val="Compact"/>
                    <w:jc w:val="center"/>
                    <w:jc w:val="center"/>
                  </w:pPr>
                  <w:r>
                    <w:t xml:space="preserve">6 (10)</w:t>
                  </w:r>
                </w:p>
              </w:tc>
              <w:tc>
                <w:tcPr/>
                <w:p>
                  <w:pPr>
                    <w:pStyle w:val="Compact"/>
                    <w:jc w:val="center"/>
                    <w:jc w:val="center"/>
                  </w:pPr>
                  <w:r>
                    <w:t xml:space="preserve">6 (10)</w:t>
                  </w:r>
                </w:p>
              </w:tc>
              <w:tc>
                <w:tcPr/>
                <w:p>
                  <w:pPr>
                    <w:pStyle w:val="Compact"/>
                    <w:jc w:val="center"/>
                    <w:jc w:val="center"/>
                  </w:pPr>
                  <w:r>
                    <w:t xml:space="preserve">7 (10)</w:t>
                  </w:r>
                </w:p>
              </w:tc>
              <w:tc>
                <w:tcPr/>
                <w:p>
                  <w:pPr>
                    <w:pStyle w:val="Compact"/>
                    <w:jc w:val="center"/>
                    <w:jc w:val="center"/>
                  </w:pPr>
                  <w:r>
                    <w:t xml:space="preserve">8 (10)</w:t>
                  </w:r>
                </w:p>
              </w:tc>
            </w:tr>
            <w:tr>
              <w:tc>
                <w:tcPr/>
                <w:p>
                  <w:pPr>
                    <w:pStyle w:val="Compact"/>
                    <w:jc w:val="left"/>
                    <w:jc w:val="center"/>
                  </w:pPr>
                  <w:r>
                    <w:t xml:space="preserve">2 km</w:t>
                  </w:r>
                </w:p>
              </w:tc>
              <w:tc>
                <w:tcPr/>
                <w:p>
                  <w:pPr>
                    <w:pStyle w:val="Compact"/>
                    <w:jc w:val="center"/>
                    <w:jc w:val="center"/>
                  </w:pPr>
                  <w:r>
                    <w:t xml:space="preserve">4 (13)</w:t>
                  </w:r>
                </w:p>
              </w:tc>
              <w:tc>
                <w:tcPr/>
                <w:p>
                  <w:pPr>
                    <w:pStyle w:val="Compact"/>
                    <w:jc w:val="center"/>
                    <w:jc w:val="center"/>
                  </w:pPr>
                  <w:r>
                    <w:t xml:space="preserve">5 (13)</w:t>
                  </w:r>
                </w:p>
              </w:tc>
              <w:tc>
                <w:tcPr/>
                <w:p>
                  <w:pPr>
                    <w:pStyle w:val="Compact"/>
                    <w:jc w:val="center"/>
                    <w:jc w:val="center"/>
                  </w:pPr>
                  <w:r>
                    <w:t xml:space="preserve">5 (13)</w:t>
                  </w:r>
                </w:p>
              </w:tc>
              <w:tc>
                <w:tcPr/>
                <w:p>
                  <w:pPr>
                    <w:pStyle w:val="Compact"/>
                    <w:jc w:val="center"/>
                    <w:jc w:val="center"/>
                  </w:pPr>
                  <w:r>
                    <w:t xml:space="preserve">6 (13)</w:t>
                  </w:r>
                </w:p>
              </w:tc>
            </w:tr>
            <w:tr>
              <w:tc>
                <w:tcPr/>
                <w:p>
                  <w:pPr>
                    <w:pStyle w:val="Compact"/>
                    <w:jc w:val="left"/>
                    <w:jc w:val="center"/>
                  </w:pPr>
                  <w:r>
                    <w:t xml:space="preserve">2.5 km</w:t>
                  </w:r>
                </w:p>
              </w:tc>
              <w:tc>
                <w:tcPr/>
                <w:p>
                  <w:pPr>
                    <w:pStyle w:val="Compact"/>
                    <w:jc w:val="center"/>
                    <w:jc w:val="center"/>
                  </w:pPr>
                  <w:r>
                    <w:t xml:space="preserve">4 (16)</w:t>
                  </w:r>
                </w:p>
              </w:tc>
              <w:tc>
                <w:tcPr/>
                <w:p>
                  <w:pPr>
                    <w:pStyle w:val="Compact"/>
                    <w:jc w:val="center"/>
                    <w:jc w:val="center"/>
                  </w:pPr>
                  <w:r>
                    <w:t xml:space="preserve">4 (24)</w:t>
                  </w:r>
                </w:p>
              </w:tc>
              <w:tc>
                <w:tcPr/>
                <w:p>
                  <w:pPr>
                    <w:pStyle w:val="Compact"/>
                    <w:jc w:val="center"/>
                    <w:jc w:val="center"/>
                  </w:pPr>
                  <w:r>
                    <w:t xml:space="preserve">4 (24)</w:t>
                  </w:r>
                </w:p>
              </w:tc>
              <w:tc>
                <w:tcPr/>
                <w:p>
                  <w:pPr>
                    <w:pStyle w:val="Compact"/>
                    <w:jc w:val="center"/>
                    <w:jc w:val="center"/>
                  </w:pPr>
                  <w:r>
                    <w:t xml:space="preserve">5 (24)</w:t>
                  </w:r>
                </w:p>
              </w:tc>
            </w:tr>
            <w:tr>
              <w:tc>
                <w:tcPr/>
                <w:p>
                  <w:pPr>
                    <w:pStyle w:val="Compact"/>
                    <w:jc w:val="left"/>
                    <w:jc w:val="center"/>
                  </w:pPr>
                  <w:r>
                    <w:t xml:space="preserve">3 km</w:t>
                  </w:r>
                </w:p>
              </w:tc>
              <w:tc>
                <w:tcPr/>
                <w:p>
                  <w:pPr>
                    <w:pStyle w:val="Compact"/>
                    <w:jc w:val="center"/>
                    <w:jc w:val="center"/>
                  </w:pPr>
                  <w:r>
                    <w:t xml:space="preserve">3 (38)</w:t>
                  </w:r>
                </w:p>
              </w:tc>
              <w:tc>
                <w:tcPr/>
                <w:p>
                  <w:pPr>
                    <w:pStyle w:val="Compact"/>
                    <w:jc w:val="center"/>
                    <w:jc w:val="center"/>
                  </w:pPr>
                  <w:r>
                    <w:t xml:space="preserve">3 (38)</w:t>
                  </w:r>
                </w:p>
              </w:tc>
              <w:tc>
                <w:tcPr/>
                <w:p>
                  <w:pPr>
                    <w:pStyle w:val="Compact"/>
                    <w:jc w:val="center"/>
                    <w:jc w:val="center"/>
                  </w:pPr>
                  <w:r>
                    <w:t xml:space="preserve">4 (33)</w:t>
                  </w:r>
                </w:p>
              </w:tc>
              <w:tc>
                <w:tcPr/>
                <w:p>
                  <w:pPr>
                    <w:pStyle w:val="Compact"/>
                    <w:jc w:val="center"/>
                    <w:jc w:val="center"/>
                  </w:pPr>
                  <w:r>
                    <w:t xml:space="preserve">4 (38)</w:t>
                  </w:r>
                </w:p>
              </w:tc>
            </w:tr>
          </w:tbl>
          <w:bookmarkEnd w:id="53"/>
          <w:p/>
        </w:tc>
      </w:tr>
    </w:tbl>
    <w:p>
      <w:pPr>
        <w:pStyle w:val="BodyText"/>
      </w:pPr>
      <w:r>
        <w:t xml:space="preserve">The 30 sites form 435 pairs, and half the largest separation is 11.1 km. Only 38 pairs are closer than 3 km, so no width below 3 km meets the 30-pair rule without discarding the shortest lags, which carry the information on the nugget (</w:t>
      </w:r>
      <w:hyperlink w:anchor="tbl-bins">
        <w:r>
          <w:rPr>
            <w:rStyle w:val="Hyperlink"/>
          </w:rPr>
          <w:t xml:space="preserve">Table 5</w:t>
        </w:r>
      </w:hyperlink>
      <w:r>
        <w:t xml:space="preserve">). With 3 km bins, a 9 km cutoff leaves three bins, too few for a three-parameter model, and no fit with an 11 km cutoff was stable (</w:t>
      </w:r>
      <w:hyperlink w:anchor="sec-fitting">
        <w:r>
          <w:rPr>
            <w:rStyle w:val="Hyperlink"/>
          </w:rPr>
          <w:t xml:space="preserve">Section 4.2</w:t>
        </w:r>
      </w:hyperlink>
      <w:r>
        <w:t xml:space="preserve">). A 10 km cutoff was therefore used. Its four bins hold 38, 80, 101, 33 pairs, with semivariances of 1.92, 2.38, 2.50, 2.83 cases</w:t>
      </w:r>
      <w:r>
        <w:rPr>
          <w:vertAlign w:val="superscript"/>
        </w:rPr>
        <w:t xml:space="preserve">2</w:t>
      </w:r>
      <w:r>
        <w:t xml:space="preserve"> </w:t>
      </w:r>
      <w:r>
        <w:t xml:space="preserve">at mean lags of 2.0, 4.6, 7.5, 9.4 km. All lie below the sample variance (2.95) and increase with distance.</w:t>
      </w:r>
    </w:p>
    <w:p>
      <w:pPr>
        <w:pStyle w:val="BodyText"/>
      </w:pPr>
      <w:r>
        <w:t xml:space="preserve">At every bin width the variogram has a substantial nugget (first bins at about 1.7 to 2.8 cases</w:t>
      </w:r>
      <w:r>
        <w:rPr>
          <w:vertAlign w:val="superscript"/>
        </w:rPr>
        <w:t xml:space="preserve">2</w:t>
      </w:r>
      <w:r>
        <w:t xml:space="preserve">) and levels off between about 6 and 9 km (</w:t>
      </w:r>
      <w:hyperlink w:anchor="fig-bins">
        <w:r>
          <w:rPr>
            <w:rStyle w:val="Hyperlink"/>
          </w:rPr>
          <w:t xml:space="preserve">Figure 4</w:t>
        </w:r>
      </w:hyperlink>
      <w:r>
        <w:t xml:space="preserve">). The oscillation at short lags appears only with narrow bins, whose first bins hold 6 to 13 pairs. With an 11 km cutoff the last bin exceeds the sample variance (4.47 cases</w:t>
      </w:r>
      <w:r>
        <w:rPr>
          <w:vertAlign w:val="superscript"/>
        </w:rPr>
        <w:t xml:space="preserve">2</w:t>
      </w:r>
      <w:r>
        <w:t xml:space="preserve"> </w:t>
      </w:r>
      <w:r>
        <w:t xml:space="preserve">at 10.7 km with 1.5 km bins, 19 pairs;</w:t>
      </w:r>
      <w:r>
        <w:t xml:space="preserve"> </w:t>
      </w:r>
      <w:hyperlink w:anchor="fig-variogram">
        <w:r>
          <w:rPr>
            <w:rStyle w:val="Hyperlink"/>
          </w:rPr>
          <w:t xml:space="preserve">Figure 6</w:t>
        </w:r>
      </w:hyperlink>
      <w:r>
        <w:t xml:space="preserve"> </w:t>
      </w:r>
      <w:r>
        <w:t xml:space="preserve">C), as expected under a large-scale gradient from the high-count southeast to the low-count west</w:t>
      </w:r>
      <w:r>
        <w:t xml:space="preserve"> </w:t>
      </w:r>
      <w:r>
        <w:t xml:space="preserve">(Dickens 2026b)</w:t>
      </w:r>
      <w:r>
        <w:t xml:space="preserve">.</w:t>
      </w:r>
    </w:p>
    <w:tbl>
      <w:tblPr>
        <w:tblStyle w:val="Table"/>
        <w:tblW w:type="pct" w:w="5000"/>
        <w:tblLayout w:type="fixed"/>
        <w:tblLook w:firstRow="0" w:lastRow="0" w:firstColumn="0" w:lastColumn="0" w:noHBand="0" w:noVBand="0" w:val="0000"/>
      </w:tblPr>
      <w:tblGrid>
        <w:gridCol w:w="7920"/>
      </w:tblGrid>
      <w:tr>
        <w:tc>
          <w:tcPr/>
          <w:bookmarkStart w:id="57" w:name="fig-bins"/>
          <w:p>
            <w:pPr>
              <w:pStyle w:val="Compact"/>
              <w:jc w:val="center"/>
            </w:pPr>
            <w:r>
              <w:drawing>
                <wp:inline>
                  <wp:extent cx="5334000" cy="1745672"/>
                  <wp:effectExtent b="0" l="0" r="0" t="0"/>
                  <wp:docPr descr="" title="" id="55" name="Picture"/>
                  <a:graphic>
                    <a:graphicData uri="http://schemas.openxmlformats.org/drawingml/2006/picture">
                      <pic:pic>
                        <pic:nvPicPr>
                          <pic:cNvPr descr="outputs/figures/fig05_bin_sensitivity.png" id="56" name="Picture"/>
                          <pic:cNvPicPr>
                            <a:picLocks noChangeArrowheads="1" noChangeAspect="1"/>
                          </pic:cNvPicPr>
                        </pic:nvPicPr>
                        <pic:blipFill>
                          <a:blip r:embed="rId54"/>
                          <a:stretch>
                            <a:fillRect/>
                          </a:stretch>
                        </pic:blipFill>
                        <pic:spPr bwMode="auto">
                          <a:xfrm>
                            <a:off x="0" y="0"/>
                            <a:ext cx="5334000" cy="1745672"/>
                          </a:xfrm>
                          <a:prstGeom prst="rect">
                            <a:avLst/>
                          </a:prstGeom>
                          <a:noFill/>
                          <a:ln w="9525">
                            <a:noFill/>
                            <a:headEnd/>
                            <a:tailEnd/>
                          </a:ln>
                        </pic:spPr>
                      </pic:pic>
                    </a:graphicData>
                  </a:graphic>
                </wp:inline>
              </w:drawing>
            </w:r>
          </w:p>
          <w:p>
            <w:pPr>
              <w:jc w:val="center"/>
            </w:pPr>
            <w:pPr>
              <w:jc w:val="start"/>
              <w:spacing w:before="200"/>
              <w:pStyle w:val="ImageCaption"/>
            </w:pPr>
            <w:r>
              <w:t xml:space="preserve">Figure 4: Empirical variograms at five bin widths (10 km cutoff) with the selected spherical model. Numbers are pairs per bin; orange points have fewer than 30 pairs. Dashed line: variance of the counts.</w:t>
            </w:r>
          </w:p>
          <w:bookmarkEnd w:id="57"/>
        </w:tc>
      </w:tr>
    </w:tbl>
    <w:bookmarkEnd w:id="58"/>
    <w:bookmarkStart w:id="68" w:name="sec-fitting"/>
    <w:p>
      <w:pPr>
        <w:pStyle w:val="Heading2"/>
      </w:pPr>
      <w:r>
        <w:t xml:space="preserve">4.2 Model fitting and convergence</w:t>
      </w:r>
    </w:p>
    <w:p>
      <w:pPr>
        <w:pStyle w:val="FirstParagraph"/>
      </w:pPr>
      <w:r>
        <w:t xml:space="preserve">Of the 180 settings, 134 failed to converge or were singular, 41 converged to unstable or implausible solutions and 5 were stable, all with 2.5 or 3 km bins (</w:t>
      </w:r>
      <w:hyperlink w:anchor="fig-tuning">
        <w:r>
          <w:rPr>
            <w:rStyle w:val="Hyperlink"/>
          </w:rPr>
          <w:t xml:space="preserve">Figure 5</w:t>
        </w:r>
      </w:hyperlink>
      <w:r>
        <w:t xml:space="preserve">). Non-converged fits still return parameters: with 2 km bins and a 10 km cutoff, the spherical fit returned a nugget of 2.05, a partial sill of 3.20 and a range of 52 km, more than twice the study extent (</w:t>
      </w:r>
      <w:hyperlink w:anchor="fig-variogram">
        <w:r>
          <w:rPr>
            <w:rStyle w:val="Hyperlink"/>
          </w:rPr>
          <w:t xml:space="preserve">Figure 6</w:t>
        </w:r>
      </w:hyperlink>
      <w:r>
        <w:t xml:space="preserve"> </w:t>
      </w:r>
      <w:r>
        <w:t xml:space="preserve">B).</w:t>
      </w:r>
    </w:p>
    <w:tbl>
      <w:tblPr>
        <w:tblStyle w:val="Table"/>
        <w:tblW w:type="pct" w:w="5000"/>
        <w:tblLayout w:type="fixed"/>
        <w:tblLook w:firstRow="0" w:lastRow="0" w:firstColumn="0" w:lastColumn="0" w:noHBand="0" w:noVBand="0" w:val="0000"/>
      </w:tblPr>
      <w:tblGrid>
        <w:gridCol w:w="7920"/>
      </w:tblGrid>
      <w:tr>
        <w:tc>
          <w:tcPr/>
          <w:bookmarkStart w:id="62" w:name="fig-tuning"/>
          <w:p>
            <w:pPr>
              <w:pStyle w:val="Compact"/>
              <w:jc w:val="center"/>
            </w:pPr>
            <w:r>
              <w:drawing>
                <wp:inline>
                  <wp:extent cx="5013960" cy="4178300"/>
                  <wp:effectExtent b="0" l="0" r="0" t="0"/>
                  <wp:docPr descr="" title="" id="60" name="Picture"/>
                  <a:graphic>
                    <a:graphicData uri="http://schemas.openxmlformats.org/drawingml/2006/picture">
                      <pic:pic>
                        <pic:nvPicPr>
                          <pic:cNvPr descr="outputs/figures/fig03_variogram_tuning.png" id="61" name="Picture"/>
                          <pic:cNvPicPr>
                            <a:picLocks noChangeArrowheads="1" noChangeAspect="1"/>
                          </pic:cNvPicPr>
                        </pic:nvPicPr>
                        <pic:blipFill>
                          <a:blip r:embed="rId59"/>
                          <a:stretch>
                            <a:fillRect/>
                          </a:stretch>
                        </pic:blipFill>
                        <pic:spPr bwMode="auto">
                          <a:xfrm>
                            <a:off x="0" y="0"/>
                            <a:ext cx="5013960" cy="41783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5: Outcome of the sensible start for all 180 settings. Green: stable. Numbers are the fitted practical range (km) where the sensible start converged.</w:t>
            </w:r>
          </w:p>
          <w:bookmarkEnd w:id="62"/>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63" w:name="tbl-starts"/>
          <w:p>
            <w:pPr>
              <w:jc w:val="center"/>
            </w:pPr>
            <w:pPr>
              <w:jc w:val="start"/>
              <w:spacing w:before="200"/>
              <w:pStyle w:val="ImageCaption"/>
            </w:pPr>
            <w:r>
              <w:t xml:space="preserve">Table 6: Starting values (nugget, partial sill, practical range in km) and fitted parameters for the selected setting (spherical, 3 km bins, 10 km cutoff, default weights). Psill: partial sill.</w:t>
            </w:r>
          </w:p>
          <w:tbl>
            <w:tblPr>
              <w:tblStyle w:val="Table"/>
              <w:tblW w:type="pct" w:w="5000"/>
              <w:tblLayout w:type="fixed"/>
              <w:tblLook w:firstRow="1" w:lastRow="0" w:firstColumn="0" w:lastColumn="0" w:noHBand="0" w:noVBand="0" w:val="0020"/>
            </w:tblPr>
            <w:tblGrid>
              <w:gridCol w:w="1896"/>
              <w:gridCol w:w="1673"/>
              <w:gridCol w:w="780"/>
              <w:gridCol w:w="669"/>
              <w:gridCol w:w="1227"/>
              <w:gridCol w:w="1673"/>
            </w:tblGrid>
            <w:tr>
              <w:trPr>
                <w:tblHeader w:val="on"/>
              </w:trPr>
              <w:tc>
                <w:tcPr/>
                <w:p>
                  <w:pPr>
                    <w:pStyle w:val="Compact"/>
                    <w:jc w:val="left"/>
                    <w:jc w:val="center"/>
                  </w:pPr>
                  <w:r>
                    <w:t xml:space="preserve">Start</w:t>
                  </w:r>
                </w:p>
              </w:tc>
              <w:tc>
                <w:tcPr/>
                <w:p>
                  <w:pPr>
                    <w:pStyle w:val="Compact"/>
                    <w:jc w:val="left"/>
                    <w:jc w:val="center"/>
                  </w:pPr>
                  <w:r>
                    <w:t xml:space="preserve">Start values</w:t>
                  </w:r>
                </w:p>
              </w:tc>
              <w:tc>
                <w:tcPr/>
                <w:p>
                  <w:pPr>
                    <w:pStyle w:val="Compact"/>
                    <w:jc w:val="right"/>
                    <w:jc w:val="center"/>
                  </w:pPr>
                  <w:r>
                    <w:t xml:space="preserve">Nugget</w:t>
                  </w:r>
                </w:p>
              </w:tc>
              <w:tc>
                <w:tcPr/>
                <w:p>
                  <w:pPr>
                    <w:pStyle w:val="Compact"/>
                    <w:jc w:val="right"/>
                    <w:jc w:val="center"/>
                  </w:pPr>
                  <w:r>
                    <w:t xml:space="preserve">Psill</w:t>
                  </w:r>
                </w:p>
              </w:tc>
              <w:tc>
                <w:tcPr/>
                <w:p>
                  <w:pPr>
                    <w:pStyle w:val="Compact"/>
                    <w:jc w:val="right"/>
                    <w:jc w:val="center"/>
                  </w:pPr>
                  <w:r>
                    <w:t xml:space="preserve">Range (km)</w:t>
                  </w:r>
                </w:p>
              </w:tc>
              <w:tc>
                <w:tcPr/>
                <w:p>
                  <w:pPr>
                    <w:pStyle w:val="Compact"/>
                    <w:jc w:val="left"/>
                    <w:jc w:val="center"/>
                  </w:pPr>
                  <w:r>
                    <w:t xml:space="preserve">Outcome</w:t>
                  </w:r>
                </w:p>
              </w:tc>
            </w:tr>
            <w:tr>
              <w:tc>
                <w:tcPr/>
                <w:p>
                  <w:pPr>
                    <w:pStyle w:val="Compact"/>
                    <w:jc w:val="left"/>
                    <w:jc w:val="center"/>
                  </w:pPr>
                  <w:r>
                    <w:t xml:space="preserve">Sensible</w:t>
                  </w:r>
                </w:p>
              </w:tc>
              <w:tc>
                <w:tcPr/>
                <w:p>
                  <w:pPr>
                    <w:pStyle w:val="Compact"/>
                    <w:jc w:val="left"/>
                    <w:jc w:val="center"/>
                  </w:pPr>
                  <w:r>
                    <w:t xml:space="preserve">1.5, 1.5, 6.0</w:t>
                  </w:r>
                </w:p>
              </w:tc>
              <w:tc>
                <w:tcPr/>
                <w:p>
                  <w:pPr>
                    <w:pStyle w:val="Compact"/>
                    <w:jc w:val="right"/>
                    <w:jc w:val="center"/>
                  </w:pPr>
                  <w:r>
                    <w:t xml:space="preserve">1.47</w:t>
                  </w:r>
                </w:p>
              </w:tc>
              <w:tc>
                <w:tcPr/>
                <w:p>
                  <w:pPr>
                    <w:pStyle w:val="Compact"/>
                    <w:jc w:val="right"/>
                    <w:jc w:val="center"/>
                  </w:pPr>
                  <w:r>
                    <w:t xml:space="preserve">1.09</w:t>
                  </w:r>
                </w:p>
              </w:tc>
              <w:tc>
                <w:tcPr/>
                <w:p>
                  <w:pPr>
                    <w:pStyle w:val="Compact"/>
                    <w:jc w:val="right"/>
                    <w:jc w:val="center"/>
                  </w:pPr>
                  <w:r>
                    <w:t xml:space="preserve">7.1</w:t>
                  </w:r>
                </w:p>
              </w:tc>
              <w:tc>
                <w:tcPr/>
                <w:p>
                  <w:pPr>
                    <w:pStyle w:val="Compact"/>
                    <w:jc w:val="left"/>
                    <w:jc w:val="center"/>
                  </w:pPr>
                  <w:r>
                    <w:t xml:space="preserve">Converged</w:t>
                  </w:r>
                </w:p>
              </w:tc>
            </w:tr>
            <w:tr>
              <w:tc>
                <w:tcPr/>
                <w:p>
                  <w:pPr>
                    <w:pStyle w:val="Compact"/>
                    <w:jc w:val="left"/>
                    <w:jc w:val="center"/>
                  </w:pPr>
                  <w:r>
                    <w:t xml:space="preserve">Range 0.6 km</w:t>
                  </w:r>
                </w:p>
              </w:tc>
              <w:tc>
                <w:tcPr/>
                <w:p>
                  <w:pPr>
                    <w:pStyle w:val="Compact"/>
                    <w:jc w:val="left"/>
                    <w:jc w:val="center"/>
                  </w:pPr>
                  <w:r>
                    <w:t xml:space="preserve">1.5, 1.5, 0.6</w:t>
                  </w:r>
                </w:p>
              </w:tc>
              <w:tc>
                <w:tcPr/>
                <w:p>
                  <w:pPr>
                    <w:pStyle w:val="Compact"/>
                    <w:jc w:val="right"/>
                    <w:jc w:val="center"/>
                  </w:pPr>
                  <w:r>
                    <w:t xml:space="preserve">1.50</w:t>
                  </w:r>
                </w:p>
              </w:tc>
              <w:tc>
                <w:tcPr/>
                <w:p>
                  <w:pPr>
                    <w:pStyle w:val="Compact"/>
                    <w:jc w:val="right"/>
                    <w:jc w:val="center"/>
                  </w:pPr>
                  <w:r>
                    <w:t xml:space="preserve">1.50</w:t>
                  </w:r>
                </w:p>
              </w:tc>
              <w:tc>
                <w:tcPr/>
                <w:p>
                  <w:pPr>
                    <w:pStyle w:val="Compact"/>
                    <w:jc w:val="right"/>
                    <w:jc w:val="center"/>
                  </w:pPr>
                  <w:r>
                    <w:t xml:space="preserve">0.6</w:t>
                  </w:r>
                </w:p>
              </w:tc>
              <w:tc>
                <w:tcPr/>
                <w:p>
                  <w:pPr>
                    <w:pStyle w:val="Compact"/>
                    <w:jc w:val="left"/>
                    <w:jc w:val="center"/>
                  </w:pPr>
                  <w:r>
                    <w:t xml:space="preserve">Singular</w:t>
                  </w:r>
                </w:p>
              </w:tc>
            </w:tr>
            <w:tr>
              <w:tc>
                <w:tcPr/>
                <w:p>
                  <w:pPr>
                    <w:pStyle w:val="Compact"/>
                    <w:jc w:val="left"/>
                    <w:jc w:val="center"/>
                  </w:pPr>
                  <w:r>
                    <w:t xml:space="preserve">Range 60 km</w:t>
                  </w:r>
                </w:p>
              </w:tc>
              <w:tc>
                <w:tcPr/>
                <w:p>
                  <w:pPr>
                    <w:pStyle w:val="Compact"/>
                    <w:jc w:val="left"/>
                    <w:jc w:val="center"/>
                  </w:pPr>
                  <w:r>
                    <w:t xml:space="preserve">1.5, 1.5, 60.0</w:t>
                  </w:r>
                </w:p>
              </w:tc>
              <w:tc>
                <w:tcPr/>
                <w:p>
                  <w:pPr>
                    <w:pStyle w:val="Compact"/>
                    <w:jc w:val="right"/>
                    <w:jc w:val="center"/>
                  </w:pPr>
                  <w:r>
                    <w:t xml:space="preserve">1.50</w:t>
                  </w:r>
                </w:p>
              </w:tc>
              <w:tc>
                <w:tcPr/>
                <w:p>
                  <w:pPr>
                    <w:pStyle w:val="Compact"/>
                    <w:jc w:val="right"/>
                    <w:jc w:val="center"/>
                  </w:pPr>
                  <w:r>
                    <w:t xml:space="preserve">0.79</w:t>
                  </w:r>
                </w:p>
              </w:tc>
              <w:tc>
                <w:tcPr/>
                <w:p>
                  <w:pPr>
                    <w:pStyle w:val="Compact"/>
                    <w:jc w:val="right"/>
                    <w:jc w:val="center"/>
                  </w:pPr>
                  <w:r>
                    <w:t xml:space="preserve">29.7</w:t>
                  </w:r>
                </w:p>
              </w:tc>
              <w:tc>
                <w:tcPr/>
                <w:p>
                  <w:pPr>
                    <w:pStyle w:val="Compact"/>
                    <w:jc w:val="left"/>
                    <w:jc w:val="center"/>
                  </w:pPr>
                  <w:r>
                    <w:t xml:space="preserve">No convergence</w:t>
                  </w:r>
                </w:p>
              </w:tc>
            </w:tr>
            <w:tr>
              <w:tc>
                <w:tcPr/>
                <w:p>
                  <w:pPr>
                    <w:pStyle w:val="Compact"/>
                    <w:jc w:val="left"/>
                    <w:jc w:val="center"/>
                  </w:pPr>
                  <w:r>
                    <w:t xml:space="preserve">Nugget near sill</w:t>
                  </w:r>
                </w:p>
              </w:tc>
              <w:tc>
                <w:tcPr/>
                <w:p>
                  <w:pPr>
                    <w:pStyle w:val="Compact"/>
                    <w:jc w:val="left"/>
                    <w:jc w:val="center"/>
                  </w:pPr>
                  <w:r>
                    <w:t xml:space="preserve">2.9, 0.1, 6.0</w:t>
                  </w:r>
                </w:p>
              </w:tc>
              <w:tc>
                <w:tcPr/>
                <w:p>
                  <w:pPr>
                    <w:pStyle w:val="Compact"/>
                    <w:jc w:val="right"/>
                    <w:jc w:val="center"/>
                  </w:pPr>
                  <w:r>
                    <w:t xml:space="preserve">1.47</w:t>
                  </w:r>
                </w:p>
              </w:tc>
              <w:tc>
                <w:tcPr/>
                <w:p>
                  <w:pPr>
                    <w:pStyle w:val="Compact"/>
                    <w:jc w:val="right"/>
                    <w:jc w:val="center"/>
                  </w:pPr>
                  <w:r>
                    <w:t xml:space="preserve">1.09</w:t>
                  </w:r>
                </w:p>
              </w:tc>
              <w:tc>
                <w:tcPr/>
                <w:p>
                  <w:pPr>
                    <w:pStyle w:val="Compact"/>
                    <w:jc w:val="right"/>
                    <w:jc w:val="center"/>
                  </w:pPr>
                  <w:r>
                    <w:t xml:space="preserve">7.1</w:t>
                  </w:r>
                </w:p>
              </w:tc>
              <w:tc>
                <w:tcPr/>
                <w:p>
                  <w:pPr>
                    <w:pStyle w:val="Compact"/>
                    <w:jc w:val="left"/>
                    <w:jc w:val="center"/>
                  </w:pPr>
                  <w:r>
                    <w:t xml:space="preserve">Converged</w:t>
                  </w:r>
                </w:p>
              </w:tc>
            </w:tr>
          </w:tbl>
          <w:bookmarkEnd w:id="63"/>
          <w:p/>
        </w:tc>
      </w:tr>
    </w:tbl>
    <w:p>
      <w:pPr>
        <w:pStyle w:val="BodyText"/>
      </w:pPr>
      <w:r>
        <w:t xml:space="preserve">For the selected setting, the sensible start and the nugget-near-sill start converged to identical parameters; the 0.6 km start gave a singular fit, and the 60 km start stopped without converging at a 30 km range (</w:t>
      </w:r>
      <w:hyperlink w:anchor="tbl-starts">
        <w:r>
          <w:rPr>
            <w:rStyle w:val="Hyperlink"/>
          </w:rPr>
          <w:t xml:space="preserve">Table 6</w:t>
        </w:r>
      </w:hyperlink>
      <w:r>
        <w:t xml:space="preserve">). The fit is therefore insensitive to how the starting sill is split between nugget and partial sill, but not to a starting range that is wrong by an order of magnitude.</w:t>
      </w:r>
    </w:p>
    <w:tbl>
      <w:tblPr>
        <w:tblStyle w:val="Table"/>
        <w:tblW w:type="pct" w:w="5000"/>
        <w:tblLayout w:type="fixed"/>
        <w:tblLook w:firstRow="0" w:lastRow="0" w:firstColumn="0" w:lastColumn="0" w:noHBand="0" w:noVBand="0" w:val="0000"/>
      </w:tblPr>
      <w:tblGrid>
        <w:gridCol w:w="7920"/>
      </w:tblGrid>
      <w:tr>
        <w:tc>
          <w:tcPr/>
          <w:bookmarkStart w:id="67" w:name="fig-variogram"/>
          <w:p>
            <w:pPr>
              <w:pStyle w:val="Compact"/>
              <w:jc w:val="center"/>
            </w:pPr>
            <w:r>
              <w:drawing>
                <wp:inline>
                  <wp:extent cx="5334000" cy="2133600"/>
                  <wp:effectExtent b="0" l="0" r="0" t="0"/>
                  <wp:docPr descr="" title="" id="65" name="Picture"/>
                  <a:graphic>
                    <a:graphicData uri="http://schemas.openxmlformats.org/drawingml/2006/picture">
                      <pic:pic>
                        <pic:nvPicPr>
                          <pic:cNvPr descr="outputs/figures/fig04_variogram_fits.png" id="66" name="Picture"/>
                          <pic:cNvPicPr>
                            <a:picLocks noChangeArrowheads="1" noChangeAspect="1"/>
                          </pic:cNvPicPr>
                        </pic:nvPicPr>
                        <pic:blipFill>
                          <a:blip r:embed="rId64"/>
                          <a:stretch>
                            <a:fillRect/>
                          </a:stretch>
                        </pic:blipFill>
                        <pic:spPr bwMode="auto">
                          <a:xfrm>
                            <a:off x="0" y="0"/>
                            <a:ext cx="5334000" cy="21336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6: Fitted variograms. (A) Selected setting, where the spherical and exponential models both converge. (B, C) Settings where gstat warned of non-convergence but returned the dashed curve. Numbers are pairs per bin; dashed horizontal line: variance of the counts.</w:t>
            </w:r>
          </w:p>
          <w:bookmarkEnd w:id="67"/>
        </w:tc>
      </w:tr>
    </w:tbl>
    <w:bookmarkEnd w:id="68"/>
    <w:bookmarkStart w:id="70" w:name="sec-cv"/>
    <w:p>
      <w:pPr>
        <w:pStyle w:val="Heading2"/>
      </w:pPr>
      <w:r>
        <w:t xml:space="preserve">4.3 Model selection by cross-validation</w:t>
      </w:r>
    </w:p>
    <w:tbl>
      <w:tblPr>
        <w:tblStyle w:val="Table"/>
        <w:tblW w:type="pct" w:w="5000"/>
        <w:tblLayout w:type="fixed"/>
        <w:tblLook w:firstRow="0" w:lastRow="0" w:firstColumn="0" w:lastColumn="0" w:noHBand="0" w:noVBand="0" w:val="0000"/>
      </w:tblPr>
      <w:tblGrid>
        <w:gridCol w:w="7920"/>
      </w:tblGrid>
      <w:tr>
        <w:tc>
          <w:tcPr/>
          <w:bookmarkStart w:id="69" w:name="tbl-cv"/>
          <w:p>
            <w:pPr>
              <w:jc w:val="center"/>
            </w:pPr>
            <w:pPr>
              <w:jc w:val="start"/>
              <w:spacing w:before="200"/>
              <w:pStyle w:val="ImageCaption"/>
            </w:pPr>
            <w:r>
              <w:t xml:space="preserve">Table 7: Leave-one-out cross-validation of the stable fits that meet the 30-pair rule, and of the pure-nugget control. Bins: width / cutoff (km). Range: practical range (km). Psill: partial sill. Weights: N, pairs per bin; Cressie, pairs divided by squared starting-model semivariance; N/h², pairs divided by squared lag (gstat default).</w:t>
            </w:r>
          </w:p>
          <w:tbl>
            <w:tblPr>
              <w:tblStyle w:val="Table"/>
              <w:tblW w:type="pct" w:w="5000"/>
              <w:tblLayout w:type="fixed"/>
              <w:tblLook w:firstRow="1" w:lastRow="0" w:firstColumn="0" w:lastColumn="0" w:noHBand="0" w:noVBand="0" w:val="0020"/>
            </w:tblPr>
            <w:tblGrid>
              <w:gridCol w:w="2562"/>
              <w:gridCol w:w="815"/>
              <w:gridCol w:w="931"/>
              <w:gridCol w:w="815"/>
              <w:gridCol w:w="698"/>
              <w:gridCol w:w="698"/>
              <w:gridCol w:w="698"/>
              <w:gridCol w:w="698"/>
            </w:tblGrid>
            <w:tr>
              <w:trPr>
                <w:tblHeader w:val="on"/>
              </w:trPr>
              <w:tc>
                <w:tcPr/>
                <w:p>
                  <w:pPr>
                    <w:pStyle w:val="Compact"/>
                    <w:jc w:val="left"/>
                    <w:jc w:val="center"/>
                  </w:pPr>
                  <w:r>
                    <w:t xml:space="preserve">Model</w:t>
                  </w:r>
                </w:p>
              </w:tc>
              <w:tc>
                <w:tcPr/>
                <w:p>
                  <w:pPr>
                    <w:pStyle w:val="Compact"/>
                    <w:jc w:val="left"/>
                    <w:jc w:val="center"/>
                  </w:pPr>
                  <w:r>
                    <w:t xml:space="preserve">Bins</w:t>
                  </w:r>
                </w:p>
              </w:tc>
              <w:tc>
                <w:tcPr/>
                <w:p>
                  <w:pPr>
                    <w:pStyle w:val="Compact"/>
                    <w:jc w:val="left"/>
                    <w:jc w:val="center"/>
                  </w:pPr>
                  <w:r>
                    <w:t xml:space="preserve">Weights</w:t>
                  </w:r>
                </w:p>
              </w:tc>
              <w:tc>
                <w:tcPr/>
                <w:p>
                  <w:pPr>
                    <w:pStyle w:val="Compact"/>
                    <w:jc w:val="right"/>
                    <w:jc w:val="center"/>
                  </w:pPr>
                  <w:r>
                    <w:t xml:space="preserve">Nugget</w:t>
                  </w:r>
                </w:p>
              </w:tc>
              <w:tc>
                <w:tcPr/>
                <w:p>
                  <w:pPr>
                    <w:pStyle w:val="Compact"/>
                    <w:jc w:val="right"/>
                    <w:jc w:val="center"/>
                  </w:pPr>
                  <w:r>
                    <w:t xml:space="preserve">Psill</w:t>
                  </w:r>
                </w:p>
              </w:tc>
              <w:tc>
                <w:tcPr/>
                <w:p>
                  <w:pPr>
                    <w:pStyle w:val="Compact"/>
                    <w:jc w:val="right"/>
                    <w:jc w:val="center"/>
                  </w:pPr>
                  <w:r>
                    <w:t xml:space="preserve">Range</w:t>
                  </w:r>
                </w:p>
              </w:tc>
              <w:tc>
                <w:tcPr/>
                <w:p>
                  <w:pPr>
                    <w:pStyle w:val="Compact"/>
                    <w:jc w:val="right"/>
                    <w:jc w:val="center"/>
                  </w:pPr>
                  <w:r>
                    <w:t xml:space="preserve">RMSE</w:t>
                  </w:r>
                </w:p>
              </w:tc>
              <w:tc>
                <w:tcPr/>
                <w:p>
                  <w:pPr>
                    <w:pStyle w:val="Compact"/>
                    <w:jc w:val="right"/>
                    <w:jc w:val="center"/>
                  </w:pPr>
                  <w:r>
                    <w:t xml:space="preserve">z SD</w:t>
                  </w:r>
                </w:p>
              </w:tc>
            </w:tr>
            <w:tr>
              <w:tc>
                <w:tcPr/>
                <w:p>
                  <w:pPr>
                    <w:pStyle w:val="Compact"/>
                    <w:jc w:val="left"/>
                    <w:jc w:val="center"/>
                  </w:pPr>
                  <w:r>
                    <w:t xml:space="preserve">Spherical</w:t>
                  </w:r>
                </w:p>
              </w:tc>
              <w:tc>
                <w:tcPr/>
                <w:p>
                  <w:pPr>
                    <w:pStyle w:val="Compact"/>
                    <w:jc w:val="left"/>
                    <w:jc w:val="center"/>
                  </w:pPr>
                  <w:r>
                    <w:t xml:space="preserve">3 / 10</w:t>
                  </w:r>
                </w:p>
              </w:tc>
              <w:tc>
                <w:tcPr/>
                <w:p>
                  <w:pPr>
                    <w:pStyle w:val="Compact"/>
                    <w:jc w:val="left"/>
                    <w:jc w:val="center"/>
                  </w:pPr>
                  <w:r>
                    <w:t xml:space="preserve">N/h²</w:t>
                  </w:r>
                </w:p>
              </w:tc>
              <w:tc>
                <w:tcPr/>
                <w:p>
                  <w:pPr>
                    <w:pStyle w:val="Compact"/>
                    <w:jc w:val="right"/>
                    <w:jc w:val="center"/>
                  </w:pPr>
                  <w:r>
                    <w:t xml:space="preserve">1.47</w:t>
                  </w:r>
                </w:p>
              </w:tc>
              <w:tc>
                <w:tcPr/>
                <w:p>
                  <w:pPr>
                    <w:pStyle w:val="Compact"/>
                    <w:jc w:val="right"/>
                    <w:jc w:val="center"/>
                  </w:pPr>
                  <w:r>
                    <w:t xml:space="preserve">1.09</w:t>
                  </w:r>
                </w:p>
              </w:tc>
              <w:tc>
                <w:tcPr/>
                <w:p>
                  <w:pPr>
                    <w:pStyle w:val="Compact"/>
                    <w:jc w:val="right"/>
                    <w:jc w:val="center"/>
                  </w:pPr>
                  <w:r>
                    <w:t xml:space="preserve">7.1</w:t>
                  </w:r>
                </w:p>
              </w:tc>
              <w:tc>
                <w:tcPr/>
                <w:p>
                  <w:pPr>
                    <w:pStyle w:val="Compact"/>
                    <w:jc w:val="right"/>
                    <w:jc w:val="center"/>
                  </w:pPr>
                  <w:r>
                    <w:t xml:space="preserve">1.402</w:t>
                  </w:r>
                </w:p>
              </w:tc>
              <w:tc>
                <w:tcPr/>
                <w:p>
                  <w:pPr>
                    <w:pStyle w:val="Compact"/>
                    <w:jc w:val="right"/>
                    <w:jc w:val="center"/>
                  </w:pPr>
                  <w:r>
                    <w:t xml:space="preserve">0.965</w:t>
                  </w:r>
                </w:p>
              </w:tc>
            </w:tr>
            <w:tr>
              <w:tc>
                <w:tcPr/>
                <w:p>
                  <w:pPr>
                    <w:pStyle w:val="Compact"/>
                    <w:jc w:val="left"/>
                    <w:jc w:val="center"/>
                  </w:pPr>
                  <w:r>
                    <w:t xml:space="preserve">Gaussian</w:t>
                  </w:r>
                </w:p>
              </w:tc>
              <w:tc>
                <w:tcPr/>
                <w:p>
                  <w:pPr>
                    <w:pStyle w:val="Compact"/>
                    <w:jc w:val="left"/>
                    <w:jc w:val="center"/>
                  </w:pPr>
                  <w:r>
                    <w:t xml:space="preserve">3 / 10</w:t>
                  </w:r>
                </w:p>
              </w:tc>
              <w:tc>
                <w:tcPr/>
                <w:p>
                  <w:pPr>
                    <w:pStyle w:val="Compact"/>
                    <w:jc w:val="left"/>
                    <w:jc w:val="center"/>
                  </w:pPr>
                  <w:r>
                    <w:t xml:space="preserve">N</w:t>
                  </w:r>
                </w:p>
              </w:tc>
              <w:tc>
                <w:tcPr/>
                <w:p>
                  <w:pPr>
                    <w:pStyle w:val="Compact"/>
                    <w:jc w:val="right"/>
                    <w:jc w:val="center"/>
                  </w:pPr>
                  <w:r>
                    <w:t xml:space="preserve">1.76</w:t>
                  </w:r>
                </w:p>
              </w:tc>
              <w:tc>
                <w:tcPr/>
                <w:p>
                  <w:pPr>
                    <w:pStyle w:val="Compact"/>
                    <w:jc w:val="right"/>
                    <w:jc w:val="center"/>
                  </w:pPr>
                  <w:r>
                    <w:t xml:space="preserve">0.86</w:t>
                  </w:r>
                </w:p>
              </w:tc>
              <w:tc>
                <w:tcPr/>
                <w:p>
                  <w:pPr>
                    <w:pStyle w:val="Compact"/>
                    <w:jc w:val="right"/>
                    <w:jc w:val="center"/>
                  </w:pPr>
                  <w:r>
                    <w:t xml:space="preserve">7.5</w:t>
                  </w:r>
                </w:p>
              </w:tc>
              <w:tc>
                <w:tcPr/>
                <w:p>
                  <w:pPr>
                    <w:pStyle w:val="Compact"/>
                    <w:jc w:val="right"/>
                    <w:jc w:val="center"/>
                  </w:pPr>
                  <w:r>
                    <w:t xml:space="preserve">1.406</w:t>
                  </w:r>
                </w:p>
              </w:tc>
              <w:tc>
                <w:tcPr/>
                <w:p>
                  <w:pPr>
                    <w:pStyle w:val="Compact"/>
                    <w:jc w:val="right"/>
                    <w:jc w:val="center"/>
                  </w:pPr>
                  <w:r>
                    <w:t xml:space="preserve">0.954</w:t>
                  </w:r>
                </w:p>
              </w:tc>
            </w:tr>
            <w:tr>
              <w:tc>
                <w:tcPr/>
                <w:p>
                  <w:pPr>
                    <w:pStyle w:val="Compact"/>
                    <w:jc w:val="left"/>
                    <w:jc w:val="center"/>
                  </w:pPr>
                  <w:r>
                    <w:t xml:space="preserve">Exponential</w:t>
                  </w:r>
                </w:p>
              </w:tc>
              <w:tc>
                <w:tcPr/>
                <w:p>
                  <w:pPr>
                    <w:pStyle w:val="Compact"/>
                    <w:jc w:val="left"/>
                    <w:jc w:val="center"/>
                  </w:pPr>
                  <w:r>
                    <w:t xml:space="preserve">3 / 10</w:t>
                  </w:r>
                </w:p>
              </w:tc>
              <w:tc>
                <w:tcPr/>
                <w:p>
                  <w:pPr>
                    <w:pStyle w:val="Compact"/>
                    <w:jc w:val="left"/>
                    <w:jc w:val="center"/>
                  </w:pPr>
                  <w:r>
                    <w:t xml:space="preserve">N/h²</w:t>
                  </w:r>
                </w:p>
              </w:tc>
              <w:tc>
                <w:tcPr/>
                <w:p>
                  <w:pPr>
                    <w:pStyle w:val="Compact"/>
                    <w:jc w:val="right"/>
                    <w:jc w:val="center"/>
                  </w:pPr>
                  <w:r>
                    <w:t xml:space="preserve">1.17</w:t>
                  </w:r>
                </w:p>
              </w:tc>
              <w:tc>
                <w:tcPr/>
                <w:p>
                  <w:pPr>
                    <w:pStyle w:val="Compact"/>
                    <w:jc w:val="right"/>
                    <w:jc w:val="center"/>
                  </w:pPr>
                  <w:r>
                    <w:t xml:space="preserve">1.51</w:t>
                  </w:r>
                </w:p>
              </w:tc>
              <w:tc>
                <w:tcPr/>
                <w:p>
                  <w:pPr>
                    <w:pStyle w:val="Compact"/>
                    <w:jc w:val="right"/>
                    <w:jc w:val="center"/>
                  </w:pPr>
                  <w:r>
                    <w:t xml:space="preserve">8.9</w:t>
                  </w:r>
                </w:p>
              </w:tc>
              <w:tc>
                <w:tcPr/>
                <w:p>
                  <w:pPr>
                    <w:pStyle w:val="Compact"/>
                    <w:jc w:val="right"/>
                    <w:jc w:val="center"/>
                  </w:pPr>
                  <w:r>
                    <w:t xml:space="preserve">1.413</w:t>
                  </w:r>
                </w:p>
              </w:tc>
              <w:tc>
                <w:tcPr/>
                <w:p>
                  <w:pPr>
                    <w:pStyle w:val="Compact"/>
                    <w:jc w:val="right"/>
                    <w:jc w:val="center"/>
                  </w:pPr>
                  <w:r>
                    <w:t xml:space="preserve">0.988</w:t>
                  </w:r>
                </w:p>
              </w:tc>
            </w:tr>
            <w:tr>
              <w:tc>
                <w:tcPr/>
                <w:p>
                  <w:pPr>
                    <w:pStyle w:val="Compact"/>
                    <w:jc w:val="left"/>
                    <w:jc w:val="center"/>
                  </w:pPr>
                  <w:r>
                    <w:t xml:space="preserve">Pure nugget (control)</w:t>
                  </w:r>
                </w:p>
              </w:tc>
              <w:tc>
                <w:tcPr/>
                <w:p>
                  <w:pPr>
                    <w:pStyle w:val="Compact"/>
                  </w:pPr>
                </w:p>
              </w:tc>
              <w:tc>
                <w:tcPr/>
                <w:p>
                  <w:pPr>
                    <w:pStyle w:val="Compact"/>
                  </w:pPr>
                </w:p>
              </w:tc>
              <w:tc>
                <w:tcPr/>
                <w:p>
                  <w:pPr>
                    <w:pStyle w:val="Compact"/>
                    <w:jc w:val="right"/>
                    <w:jc w:val="center"/>
                  </w:pPr>
                  <w:r>
                    <w:t xml:space="preserve">2.95</w:t>
                  </w:r>
                </w:p>
              </w:tc>
              <w:tc>
                <w:tcPr/>
                <w:p>
                  <w:pPr>
                    <w:pStyle w:val="Compact"/>
                    <w:jc w:val="right"/>
                    <w:jc w:val="center"/>
                  </w:pPr>
                  <w:r>
                    <w:t xml:space="preserve">0</w:t>
                  </w:r>
                </w:p>
              </w:tc>
              <w:tc>
                <w:tcPr/>
                <w:p>
                  <w:pPr>
                    <w:pStyle w:val="Compact"/>
                  </w:pPr>
                </w:p>
              </w:tc>
              <w:tc>
                <w:tcPr/>
                <w:p>
                  <w:pPr>
                    <w:pStyle w:val="Compact"/>
                    <w:jc w:val="right"/>
                    <w:jc w:val="center"/>
                  </w:pPr>
                  <w:r>
                    <w:t xml:space="preserve">1.746</w:t>
                  </w:r>
                </w:p>
              </w:tc>
              <w:tc>
                <w:tcPr/>
                <w:p>
                  <w:pPr>
                    <w:pStyle w:val="Compact"/>
                    <w:jc w:val="right"/>
                    <w:jc w:val="center"/>
                  </w:pPr>
                  <w:r>
                    <w:t xml:space="preserve">1.017</w:t>
                  </w:r>
                </w:p>
              </w:tc>
            </w:tr>
          </w:tbl>
          <w:bookmarkEnd w:id="69"/>
          <w:p/>
        </w:tc>
      </w:tr>
    </w:tbl>
    <w:p>
      <w:pPr>
        <w:pStyle w:val="BodyText"/>
      </w:pPr>
      <w:r>
        <w:t xml:space="preserve">All 5 stable fits predicted better than the control (RMSE 1.40 to 1.44 against 1.75 cases). The spherical model with 3 km bins and default weights had the lowest RMSE (1.402, 20% below the control) and the lowest mean absolute error (1.206 against 1.398), with a mean z-score of -0.013 and a z-score SD of 0.965 (</w:t>
      </w:r>
      <w:hyperlink w:anchor="tbl-cv">
        <w:r>
          <w:rPr>
            <w:rStyle w:val="Hyperlink"/>
          </w:rPr>
          <w:t xml:space="preserve">Table 7</w:t>
        </w:r>
      </w:hyperlink>
      <w:r>
        <w:t xml:space="preserve">). No positive spatial autocorrelation was detected in its cross-validation residuals (Moran’s I = -0.10, p = 0.727). The exponential and Gaussian models on the same bins were close behind (RMSE 1.406 to 1.413), so the choice of family matters little for prediction; its effect on the zones is assessed in</w:t>
      </w:r>
      <w:r>
        <w:t xml:space="preserve"> </w:t>
      </w:r>
      <w:hyperlink w:anchor="sec-limits">
        <w:r>
          <w:rPr>
            <w:rStyle w:val="Hyperlink"/>
          </w:rPr>
          <w:t xml:space="preserve">Section 8.1</w:t>
        </w:r>
      </w:hyperlink>
      <w:r>
        <w:t xml:space="preserve">. The spherical model was preferred because it had the lowest error, reaches its sill at a finite range, and agrees with fits in neighboring settings (2.5 km bins with pair weights: nugget 1.39 to 1.40, partial sill 1.23 to 1.30, range 8.4 to 9.1 km).</w:t>
      </w:r>
    </w:p>
    <w:bookmarkEnd w:id="70"/>
    <w:bookmarkStart w:id="71" w:name="sec-parameters"/>
    <w:p>
      <w:pPr>
        <w:pStyle w:val="Heading2"/>
      </w:pPr>
      <w:r>
        <w:t xml:space="preserve">4.4 Interpretation of the fitted parameters</w:t>
      </w:r>
    </w:p>
    <w:p>
      <w:pPr>
        <w:pStyle w:val="FirstParagraph"/>
      </w:pPr>
      <w:r>
        <w:t xml:space="preserve">With</w:t>
      </w:r>
      <w:r>
        <w:t xml:space="preserve"> </w:t>
      </w:r>
      <w:r>
        <w:rPr>
          <w:i/>
          <w:iCs/>
        </w:rPr>
        <w:t xml:space="preserve">a</w:t>
      </w:r>
      <w:r>
        <w:t xml:space="preserve"> </w:t>
      </w:r>
      <w:r>
        <w:t xml:space="preserve">= 7.05 km and</w:t>
      </w:r>
      <w:r>
        <w:t xml:space="preserve"> </w:t>
      </w:r>
      <m:oMath>
        <m:r>
          <m:t>γ</m:t>
        </m:r>
        <m:d>
          <m:dPr>
            <m:begChr m:val="("/>
            <m:sepChr m:val=""/>
            <m:endChr m:val=")"/>
            <m:grow/>
          </m:dPr>
          <m:e>
            <m:r>
              <m:t>0</m:t>
            </m:r>
          </m:e>
        </m:d>
        <m:r>
          <m:rPr>
            <m:sty m:val="p"/>
          </m:rPr>
          <m:t>=</m:t>
        </m:r>
        <m:r>
          <m:t>0</m:t>
        </m:r>
      </m:oMath>
      <w:r>
        <w:t xml:space="preserve">, the selected model is</w:t>
      </w:r>
    </w:p>
    <w:p>
      <w:pPr>
        <w:pStyle w:val="BodyText"/>
      </w:pPr>
      <m:oMathPara>
        <m:oMathParaPr>
          <m:jc m:val="center"/>
        </m:oMathParaPr>
        <m:oMath>
          <m:r>
            <m:t>γ</m:t>
          </m:r>
          <m:d>
            <m:dPr>
              <m:begChr m:val="("/>
              <m:sepChr m:val=""/>
              <m:endChr m:val=")"/>
              <m:grow/>
            </m:dPr>
            <m:e>
              <m:r>
                <m:t>h</m:t>
              </m:r>
            </m:e>
          </m:d>
          <m:r>
            <m:rPr>
              <m:sty m:val="p"/>
            </m:rPr>
            <m:t>=</m:t>
          </m:r>
          <m:r>
            <m:t>1.465</m:t>
          </m:r>
          <m:r>
            <m:rPr>
              <m:sty m:val="p"/>
            </m:rPr>
            <m:t>+</m:t>
          </m:r>
          <m:r>
            <m:t>1.088</m:t>
          </m:r>
          <m:d>
            <m:dPr>
              <m:begChr m:val="["/>
              <m:sepChr m:val=""/>
              <m:endChr m:val="]"/>
              <m:grow/>
            </m:dPr>
            <m:e>
              <m:f>
                <m:fPr>
                  <m:type m:val="lin"/>
                </m:fPr>
                <m:num>
                  <m:r>
                    <m:t>3</m:t>
                  </m:r>
                </m:num>
                <m:den>
                  <m:r>
                    <m:t>2</m:t>
                  </m:r>
                </m:den>
              </m:f>
              <m:f>
                <m:fPr>
                  <m:type m:val="lin"/>
                </m:fPr>
                <m:num>
                  <m:r>
                    <m:t>h</m:t>
                  </m:r>
                </m:num>
                <m:den>
                  <m:r>
                    <m:t>a</m:t>
                  </m:r>
                </m:den>
              </m:f>
              <m:r>
                <m:rPr>
                  <m:sty m:val="p"/>
                </m:rPr>
                <m:t>−</m:t>
              </m:r>
              <m:f>
                <m:fPr>
                  <m:type m:val="lin"/>
                </m:fPr>
                <m:num>
                  <m:r>
                    <m:t>1</m:t>
                  </m:r>
                </m:num>
                <m:den>
                  <m:r>
                    <m:t>2</m:t>
                  </m:r>
                </m:den>
              </m:f>
              <m:sSup>
                <m:e>
                  <m:d>
                    <m:dPr>
                      <m:begChr m:val="("/>
                      <m:sepChr m:val=""/>
                      <m:endChr m:val=")"/>
                      <m:grow/>
                    </m:dPr>
                    <m:e>
                      <m:f>
                        <m:fPr>
                          <m:type m:val="lin"/>
                        </m:fPr>
                        <m:num>
                          <m:r>
                            <m:t>h</m:t>
                          </m:r>
                        </m:num>
                        <m:den>
                          <m:r>
                            <m:t>a</m:t>
                          </m:r>
                        </m:den>
                      </m:f>
                    </m:e>
                  </m:d>
                </m:e>
                <m:sup>
                  <m:r>
                    <m:t>3</m:t>
                  </m:r>
                </m:sup>
              </m:sSup>
            </m:e>
          </m:d>
          <m:r>
            <m:rPr>
              <m:nor/>
              <m:sty m:val="p"/>
            </m:rPr>
            <m:t> for </m:t>
          </m:r>
          <m:r>
            <m:t>0</m:t>
          </m:r>
          <m:r>
            <m:rPr>
              <m:sty m:val="p"/>
            </m:rPr>
            <m:t>&lt;</m:t>
          </m:r>
          <m:r>
            <m:t>h</m:t>
          </m:r>
          <m:r>
            <m:rPr>
              <m:sty m:val="p"/>
            </m:rPr>
            <m:t>≤</m:t>
          </m:r>
          <m:r>
            <m:t>a</m:t>
          </m:r>
          <m:r>
            <m:rPr>
              <m:sty m:val="p"/>
            </m:rPr>
            <m:t>,</m:t>
          </m:r>
          <m:r>
            <m:t>  </m:t>
          </m:r>
          <m:r>
            <m:t>γ</m:t>
          </m:r>
          <m:d>
            <m:dPr>
              <m:begChr m:val="("/>
              <m:sepChr m:val=""/>
              <m:endChr m:val=")"/>
              <m:grow/>
            </m:dPr>
            <m:e>
              <m:r>
                <m:t>h</m:t>
              </m:r>
            </m:e>
          </m:d>
          <m:r>
            <m:rPr>
              <m:sty m:val="p"/>
            </m:rPr>
            <m:t>=</m:t>
          </m:r>
          <m:r>
            <m:t>2.553</m:t>
          </m:r>
          <m:r>
            <m:rPr>
              <m:nor/>
              <m:sty m:val="p"/>
            </m:rPr>
            <m:t> for </m:t>
          </m:r>
          <m:r>
            <m:t>h</m:t>
          </m:r>
          <m:r>
            <m:rPr>
              <m:sty m:val="p"/>
            </m:rPr>
            <m:t>&gt;</m:t>
          </m:r>
          <m:r>
            <m:t>a</m:t>
          </m:r>
          <m:r>
            <m:rPr>
              <m:sty m:val="p"/>
            </m:rPr>
            <m:t>.</m:t>
          </m:r>
        </m:oMath>
      </m:oMathPara>
    </w:p>
    <w:p>
      <w:pPr>
        <w:pStyle w:val="FirstParagraph"/>
      </w:pPr>
      <w:r>
        <w:t xml:space="preserve">The nugget (1.47 cases</w:t>
      </w:r>
      <w:r>
        <w:rPr>
          <w:vertAlign w:val="superscript"/>
        </w:rPr>
        <w:t xml:space="preserve">2</w:t>
      </w:r>
      <w:r>
        <w:t xml:space="preserve">) combines the sampling variation of small counts with real variation over distances shorter than the site spacing. Sites 2 and 25 illustrate it: 148 m apart with near-identical green cover (73.5% and 74.0%), they reported 0 and 3 cases. The sill (2.55 cases</w:t>
      </w:r>
      <w:r>
        <w:rPr>
          <w:vertAlign w:val="superscript"/>
        </w:rPr>
        <w:t xml:space="preserve">2</w:t>
      </w:r>
      <w:r>
        <w:t xml:space="preserve">, 87% of the sample variance) is the variance of the process, of which 1.09 cases</w:t>
      </w:r>
      <w:r>
        <w:rPr>
          <w:vertAlign w:val="superscript"/>
        </w:rPr>
        <w:t xml:space="preserve">2</w:t>
      </w:r>
      <w:r>
        <w:t xml:space="preserve"> </w:t>
      </w:r>
      <w:r>
        <w:t xml:space="preserve">is spatially structured; the excess of the sample variance over the sill reflects the large-scale gradient. The nugget-to-sill ratio of 0.57 indicates moderate spatial dependence by the classification of</w:t>
      </w:r>
      <w:r>
        <w:t xml:space="preserve"> </w:t>
      </w:r>
      <w:r>
        <w:t xml:space="preserve">Cambardella et al. (1994)</w:t>
      </w:r>
      <w:r>
        <w:t xml:space="preserve"> </w:t>
      </w:r>
      <w:r>
        <w:t xml:space="preserve">(0.25 to 0.75). The range (7.1 km) is 3.7 times the median nearest-neighbor distance, so most locations in the sampled area have several sites within range, which is the condition for kriging to improve on the mean</w:t>
      </w:r>
      <w:r>
        <w:t xml:space="preserve"> </w:t>
      </w:r>
      <w:r>
        <w:t xml:space="preserve">(Dickens 2026b)</w:t>
      </w:r>
      <w:r>
        <w:t xml:space="preserve">. These values are plausible for the data (the range lies within the cutoff and the extent, the sill is close to the sample variance and the nugget is below the sill) but imprecise, because four bins leave one degree of freedom for three parameters.</w:t>
      </w:r>
    </w:p>
    <w:bookmarkEnd w:id="71"/>
    <w:bookmarkEnd w:id="72"/>
    <w:bookmarkStart w:id="95" w:name="sec-kriging"/>
    <w:p>
      <w:pPr>
        <w:pStyle w:val="Heading1"/>
      </w:pPr>
      <w:r>
        <w:t xml:space="preserve">5. Kriging interpolation</w:t>
      </w:r>
    </w:p>
    <w:bookmarkStart w:id="77" w:name="prediction-surface"/>
    <w:p>
      <w:pPr>
        <w:pStyle w:val="Heading2"/>
      </w:pPr>
      <w:r>
        <w:t xml:space="preserve">5.1 Prediction surface</w:t>
      </w:r>
    </w:p>
    <w:p>
      <w:pPr>
        <w:pStyle w:val="FirstParagraph"/>
      </w:pPr>
      <w:r>
        <w:t xml:space="preserve">The land outline (784.8 km</w:t>
      </w:r>
      <w:r>
        <w:rPr>
          <w:vertAlign w:val="superscript"/>
        </w:rPr>
        <w:t xml:space="preserve">2</w:t>
      </w:r>
      <w:r>
        <w:t xml:space="preserve">) was covered by 1,017 grid squares. Predictions ranged from 0.60 to 3.96 cases (</w:t>
      </w:r>
      <w:hyperlink w:anchor="fig-kriging">
        <w:r>
          <w:rPr>
            <w:rStyle w:val="Hyperlink"/>
          </w:rPr>
          <w:t xml:space="preserve">Figure 7</w:t>
        </w:r>
      </w:hyperlink>
      <w:r>
        <w:t xml:space="preserve">). They were highest in a band from Marina Bay through Kallang and Geylang to Serangoon and Hougang, and lowest around Bukit Batok and the western green belt. The sampled area comprised 223 squares. The remaining 78% of squares (72% of the land area) are extrapolations: predictions there relax toward the estimated mean and the variance approaches its maximum of 2.72 cases</w:t>
      </w:r>
      <w:r>
        <w:rPr>
          <w:vertAlign w:val="superscript"/>
        </w:rPr>
        <w:t xml:space="preserve">2</w:t>
      </w:r>
      <w:r>
        <w:t xml:space="preserve">. They carry no information about the north, west or east of the island and are excluded from the zones.</w:t>
      </w:r>
    </w:p>
    <w:tbl>
      <w:tblPr>
        <w:tblStyle w:val="Table"/>
        <w:tblW w:type="pct" w:w="5000"/>
        <w:tblLayout w:type="fixed"/>
        <w:tblLook w:firstRow="0" w:lastRow="0" w:firstColumn="0" w:lastColumn="0" w:noHBand="0" w:noVBand="0" w:val="0000"/>
      </w:tblPr>
      <w:tblGrid>
        <w:gridCol w:w="7920"/>
      </w:tblGrid>
      <w:tr>
        <w:tc>
          <w:tcPr/>
          <w:bookmarkStart w:id="76" w:name="fig-kriging"/>
          <w:p>
            <w:pPr>
              <w:pStyle w:val="Compact"/>
              <w:jc w:val="center"/>
            </w:pPr>
            <w:r>
              <w:drawing>
                <wp:inline>
                  <wp:extent cx="3307080" cy="3720465"/>
                  <wp:effectExtent b="0" l="0" r="0" t="0"/>
                  <wp:docPr descr="" title="" id="74" name="Picture"/>
                  <a:graphic>
                    <a:graphicData uri="http://schemas.openxmlformats.org/drawingml/2006/picture">
                      <pic:pic>
                        <pic:nvPicPr>
                          <pic:cNvPr descr="outputs/figures/fig06_kriging_maps.png" id="75" name="Picture"/>
                          <pic:cNvPicPr>
                            <a:picLocks noChangeArrowheads="1" noChangeAspect="1"/>
                          </pic:cNvPicPr>
                        </pic:nvPicPr>
                        <pic:blipFill>
                          <a:blip r:embed="rId73"/>
                          <a:stretch>
                            <a:fillRect/>
                          </a:stretch>
                        </pic:blipFill>
                        <pic:spPr bwMode="auto">
                          <a:xfrm>
                            <a:off x="0" y="0"/>
                            <a:ext cx="3307080" cy="3720465"/>
                          </a:xfrm>
                          <a:prstGeom prst="rect">
                            <a:avLst/>
                          </a:prstGeom>
                          <a:noFill/>
                          <a:ln w="9525">
                            <a:noFill/>
                            <a:headEnd/>
                            <a:tailEnd/>
                          </a:ln>
                        </pic:spPr>
                      </pic:pic>
                    </a:graphicData>
                  </a:graphic>
                </wp:inline>
              </w:drawing>
            </w:r>
          </w:p>
          <w:p>
            <w:pPr>
              <w:jc w:val="center"/>
            </w:pPr>
            <w:pPr>
              <w:jc w:val="start"/>
              <w:spacing w:before="200"/>
              <w:pStyle w:val="ImageCaption"/>
            </w:pPr>
            <w:r>
              <w:t xml:space="preserve">Figure 7: Ordinary kriging. Top: predicted cases, with observed counts as circles. Bottom: kriging variance, with sites in white. Dashed polygon: convex hull of the sites (the sampled area). Squares outside it are faded because their values are extrapolations.</w:t>
            </w:r>
          </w:p>
          <w:bookmarkEnd w:id="76"/>
        </w:tc>
      </w:tr>
    </w:tbl>
    <w:bookmarkEnd w:id="77"/>
    <w:bookmarkStart w:id="82" w:name="high-risk-zones"/>
    <w:p>
      <w:pPr>
        <w:pStyle w:val="Heading2"/>
      </w:pPr>
      <w:r>
        <w:t xml:space="preserve">5.2 High-risk zones</w:t>
      </w:r>
    </w:p>
    <w:p>
      <w:pPr>
        <w:pStyle w:val="FirstParagraph"/>
      </w:pPr>
      <w:r>
        <w:t xml:space="preserve">High-risk thresholds were the 75th (2.01 cases) and 90th (2.57 cases) percentiles of predictions within the sampled area. The top-25% squares form one contiguous zone of 55.7 km</w:t>
      </w:r>
      <w:r>
        <w:rPr>
          <w:vertAlign w:val="superscript"/>
        </w:rPr>
        <w:t xml:space="preserve">2</w:t>
      </w:r>
      <w:r>
        <w:t xml:space="preserve"> </w:t>
      </w:r>
      <w:r>
        <w:t xml:space="preserve">spanning parts of Serangoon, Kallang, Hougang, Toa Payoh, Geylang, Downtown Core, Novena, Bukit Merah, Marina East, Rochor, Marine Parade, Newton, Outram and Marina South, in decreasing order of area (</w:t>
      </w:r>
      <w:hyperlink w:anchor="fig-zones">
        <w:r>
          <w:rPr>
            <w:rStyle w:val="Hyperlink"/>
          </w:rPr>
          <w:t xml:space="preserve">Figure 8</w:t>
        </w:r>
      </w:hyperlink>
      <w:r>
        <w:t xml:space="preserve">). The top-10% core (22.7 km</w:t>
      </w:r>
      <w:r>
        <w:rPr>
          <w:vertAlign w:val="superscript"/>
        </w:rPr>
        <w:t xml:space="preserve">2</w:t>
      </w:r>
      <w:r>
        <w:t xml:space="preserve">) covers parts of Kallang, Downtown Core, Marina East, Rochor, Marine Parade, Outram and Marina South, around the Marina Bay and Kallang sites that reported 4 to 6 cases. Because squares partly overlapping the hull are included, the zone extends slightly beyond the hull in the southeast.</w:t>
      </w:r>
    </w:p>
    <w:tbl>
      <w:tblPr>
        <w:tblStyle w:val="Table"/>
        <w:tblW w:type="pct" w:w="5000"/>
        <w:tblLayout w:type="fixed"/>
        <w:tblLook w:firstRow="0" w:lastRow="0" w:firstColumn="0" w:lastColumn="0" w:noHBand="0" w:noVBand="0" w:val="0000"/>
      </w:tblPr>
      <w:tblGrid>
        <w:gridCol w:w="7920"/>
      </w:tblGrid>
      <w:tr>
        <w:tc>
          <w:tcPr/>
          <w:bookmarkStart w:id="81" w:name="fig-zones"/>
          <w:p>
            <w:pPr>
              <w:pStyle w:val="Compact"/>
              <w:jc w:val="center"/>
            </w:pPr>
            <w:r>
              <w:drawing>
                <wp:inline>
                  <wp:extent cx="4267200" cy="2560320"/>
                  <wp:effectExtent b="0" l="0" r="0" t="0"/>
                  <wp:docPr descr="" title="" id="79" name="Picture"/>
                  <a:graphic>
                    <a:graphicData uri="http://schemas.openxmlformats.org/drawingml/2006/picture">
                      <pic:pic>
                        <pic:nvPicPr>
                          <pic:cNvPr descr="outputs/figures/fig07_high_risk_zones.png" id="80" name="Picture"/>
                          <pic:cNvPicPr>
                            <a:picLocks noChangeArrowheads="1" noChangeAspect="1"/>
                          </pic:cNvPicPr>
                        </pic:nvPicPr>
                        <pic:blipFill>
                          <a:blip r:embed="rId78"/>
                          <a:stretch>
                            <a:fillRect/>
                          </a:stretch>
                        </pic:blipFill>
                        <pic:spPr bwMode="auto">
                          <a:xfrm>
                            <a:off x="0" y="0"/>
                            <a:ext cx="4267200" cy="2560320"/>
                          </a:xfrm>
                          <a:prstGeom prst="rect">
                            <a:avLst/>
                          </a:prstGeom>
                          <a:noFill/>
                          <a:ln w="9525">
                            <a:noFill/>
                            <a:headEnd/>
                            <a:tailEnd/>
                          </a:ln>
                        </pic:spPr>
                      </pic:pic>
                    </a:graphicData>
                  </a:graphic>
                </wp:inline>
              </w:drawing>
            </w:r>
          </w:p>
          <w:p>
            <w:pPr>
              <w:jc w:val="center"/>
            </w:pPr>
            <w:pPr>
              <w:jc w:val="start"/>
              <w:spacing w:before="200"/>
              <w:pStyle w:val="ImageCaption"/>
            </w:pPr>
            <w:r>
              <w:t xml:space="preserve">Figure 8: High-risk zones within the sampled area: top 10% (at least 2.57 cases) and the 75th to 90th percentile band (from 2.01 cases). Black outline: contiguous top-25% zone.</w:t>
            </w:r>
          </w:p>
          <w:bookmarkEnd w:id="81"/>
        </w:tc>
      </w:tr>
    </w:tbl>
    <w:bookmarkEnd w:id="82"/>
    <w:bookmarkStart w:id="88" w:name="sanity-checks"/>
    <w:p>
      <w:pPr>
        <w:pStyle w:val="Heading2"/>
      </w:pPr>
      <w:r>
        <w:t xml:space="preserve">5.3 Sanity checks</w:t>
      </w:r>
    </w:p>
    <w:tbl>
      <w:tblPr>
        <w:tblStyle w:val="Table"/>
        <w:tblW w:type="pct" w:w="5000"/>
        <w:tblLayout w:type="fixed"/>
        <w:tblLook w:firstRow="0" w:lastRow="0" w:firstColumn="0" w:lastColumn="0" w:noHBand="0" w:noVBand="0" w:val="0000"/>
      </w:tblPr>
      <w:tblGrid>
        <w:gridCol w:w="7920"/>
      </w:tblGrid>
      <w:tr>
        <w:tc>
          <w:tcPr/>
          <w:bookmarkStart w:id="83" w:name="tbl-sanity"/>
          <w:p>
            <w:pPr>
              <w:jc w:val="center"/>
            </w:pPr>
            <w:pPr>
              <w:jc w:val="start"/>
              <w:spacing w:before="200"/>
              <w:pStyle w:val="ImageCaption"/>
            </w:pPr>
            <w:r>
              <w:t xml:space="preserve">Table 8: Sanity checks on the kriged surface and its variance.</w:t>
            </w:r>
          </w:p>
          <w:tbl>
            <w:tblPr>
              <w:tblStyle w:val="Table"/>
              <w:tblW w:type="pct" w:w="5000"/>
              <w:tblLayout w:type="fixed"/>
              <w:tblLook w:firstRow="1" w:lastRow="0" w:firstColumn="0" w:lastColumn="0" w:noHBand="0" w:noVBand="0" w:val="0020"/>
            </w:tblPr>
            <w:tblGrid>
              <w:gridCol w:w="2772"/>
              <w:gridCol w:w="1980"/>
              <w:gridCol w:w="3168"/>
            </w:tblGrid>
            <w:tr>
              <w:trPr>
                <w:tblHeader w:val="on"/>
              </w:trPr>
              <w:tc>
                <w:tcPr/>
                <w:p>
                  <w:pPr>
                    <w:pStyle w:val="Compact"/>
                    <w:jc w:val="left"/>
                    <w:jc w:val="center"/>
                  </w:pPr>
                  <w:r>
                    <w:t xml:space="preserve">Check</w:t>
                  </w:r>
                </w:p>
              </w:tc>
              <w:tc>
                <w:tcPr/>
                <w:p>
                  <w:pPr>
                    <w:pStyle w:val="Compact"/>
                    <w:jc w:val="left"/>
                    <w:jc w:val="center"/>
                  </w:pPr>
                  <w:r>
                    <w:t xml:space="preserve">Result</w:t>
                  </w:r>
                </w:p>
              </w:tc>
              <w:tc>
                <w:tcPr/>
                <w:p>
                  <w:pPr>
                    <w:pStyle w:val="Compact"/>
                    <w:jc w:val="left"/>
                    <w:jc w:val="center"/>
                  </w:pPr>
                  <w:r>
                    <w:t xml:space="preserve">Expectation</w:t>
                  </w:r>
                </w:p>
              </w:tc>
            </w:tr>
            <w:tr>
              <w:tc>
                <w:tcPr/>
                <w:p>
                  <w:pPr>
                    <w:pStyle w:val="Compact"/>
                    <w:jc w:val="left"/>
                    <w:jc w:val="center"/>
                  </w:pPr>
                  <w:r>
                    <w:t xml:space="preserve">Range of predictions</w:t>
                  </w:r>
                </w:p>
              </w:tc>
              <w:tc>
                <w:tcPr/>
                <w:p>
                  <w:pPr>
                    <w:pStyle w:val="Compact"/>
                    <w:jc w:val="left"/>
                    <w:jc w:val="center"/>
                  </w:pPr>
                  <w:r>
                    <w:t xml:space="preserve">0.60 to 3.96 cases</w:t>
                  </w:r>
                </w:p>
              </w:tc>
              <w:tc>
                <w:tcPr/>
                <w:p>
                  <w:pPr>
                    <w:pStyle w:val="Compact"/>
                    <w:jc w:val="left"/>
                    <w:jc w:val="center"/>
                  </w:pPr>
                  <w:r>
                    <w:t xml:space="preserve">Within observed 0 to 6</w:t>
                  </w:r>
                </w:p>
              </w:tc>
            </w:tr>
            <w:tr>
              <w:tc>
                <w:tcPr/>
                <w:p>
                  <w:pPr>
                    <w:pStyle w:val="Compact"/>
                    <w:jc w:val="left"/>
                    <w:jc w:val="center"/>
                  </w:pPr>
                  <w:r>
                    <w:t xml:space="preserve">Negative predictions</w:t>
                  </w:r>
                </w:p>
              </w:tc>
              <w:tc>
                <w:tcPr/>
                <w:p>
                  <w:pPr>
                    <w:pStyle w:val="Compact"/>
                    <w:jc w:val="left"/>
                    <w:jc w:val="center"/>
                  </w:pPr>
                  <w:r>
                    <w:t xml:space="preserve">0</w:t>
                  </w:r>
                </w:p>
              </w:tc>
              <w:tc>
                <w:tcPr/>
                <w:p>
                  <w:pPr>
                    <w:pStyle w:val="Compact"/>
                    <w:jc w:val="left"/>
                    <w:jc w:val="center"/>
                  </w:pPr>
                  <w:r>
                    <w:t xml:space="preserve">None for counts</w:t>
                  </w:r>
                </w:p>
              </w:tc>
            </w:tr>
            <w:tr>
              <w:tc>
                <w:tcPr/>
                <w:p>
                  <w:pPr>
                    <w:pStyle w:val="Compact"/>
                    <w:jc w:val="left"/>
                    <w:jc w:val="center"/>
                  </w:pPr>
                  <w:r>
                    <w:t xml:space="preserve">Mean prediction (sampled area)</w:t>
                  </w:r>
                </w:p>
              </w:tc>
              <w:tc>
                <w:tcPr/>
                <w:p>
                  <w:pPr>
                    <w:pStyle w:val="Compact"/>
                    <w:jc w:val="left"/>
                    <w:jc w:val="center"/>
                  </w:pPr>
                  <w:r>
                    <w:t xml:space="preserve">1.65</w:t>
                  </w:r>
                </w:p>
              </w:tc>
              <w:tc>
                <w:tcPr/>
                <w:p>
                  <w:pPr>
                    <w:pStyle w:val="Compact"/>
                    <w:jc w:val="left"/>
                    <w:jc w:val="center"/>
                  </w:pPr>
                  <w:r>
                    <w:t xml:space="preserve">Below observed mean 1.87</w:t>
                  </w:r>
                </w:p>
              </w:tc>
            </w:tr>
            <w:tr>
              <w:tc>
                <w:tcPr/>
                <w:p>
                  <w:pPr>
                    <w:pStyle w:val="Compact"/>
                    <w:jc w:val="left"/>
                    <w:jc w:val="center"/>
                  </w:pPr>
                  <w:r>
                    <w:t xml:space="preserve">SD of predictions (sampled area)</w:t>
                  </w:r>
                </w:p>
              </w:tc>
              <w:tc>
                <w:tcPr/>
                <w:p>
                  <w:pPr>
                    <w:pStyle w:val="Compact"/>
                    <w:jc w:val="left"/>
                    <w:jc w:val="center"/>
                  </w:pPr>
                  <w:r>
                    <w:t xml:space="preserve">0.68</w:t>
                  </w:r>
                </w:p>
              </w:tc>
              <w:tc>
                <w:tcPr/>
                <w:p>
                  <w:pPr>
                    <w:pStyle w:val="Compact"/>
                    <w:jc w:val="left"/>
                    <w:jc w:val="center"/>
                  </w:pPr>
                  <w:r>
                    <w:t xml:space="preserve">Below observed SD 1.72</w:t>
                  </w:r>
                </w:p>
              </w:tc>
            </w:tr>
            <w:tr>
              <w:tc>
                <w:tcPr/>
                <w:p>
                  <w:pPr>
                    <w:pStyle w:val="Compact"/>
                    <w:jc w:val="left"/>
                    <w:jc w:val="center"/>
                  </w:pPr>
                  <w:r>
                    <w:t xml:space="preserve">Range of kriging variance</w:t>
                  </w:r>
                </w:p>
              </w:tc>
              <w:tc>
                <w:tcPr/>
                <w:p>
                  <w:pPr>
                    <w:pStyle w:val="Compact"/>
                    <w:jc w:val="left"/>
                    <w:jc w:val="center"/>
                  </w:pPr>
                  <w:r>
                    <w:t xml:space="preserve">1.84 to 2.72 cases²</w:t>
                  </w:r>
                </w:p>
              </w:tc>
              <w:tc>
                <w:tcPr/>
                <w:p>
                  <w:pPr>
                    <w:pStyle w:val="Compact"/>
                    <w:jc w:val="left"/>
                    <w:jc w:val="center"/>
                  </w:pPr>
                  <w:r>
                    <w:t xml:space="preserve">Above the nugget 1.47 away from sites</w:t>
                  </w:r>
                </w:p>
              </w:tc>
            </w:tr>
            <w:tr>
              <w:tc>
                <w:tcPr/>
                <w:p>
                  <w:pPr>
                    <w:pStyle w:val="Compact"/>
                    <w:jc w:val="left"/>
                    <w:jc w:val="center"/>
                  </w:pPr>
                  <w:r>
                    <w:t xml:space="preserve">Variance vs. nearest site distance</w:t>
                  </w:r>
                </w:p>
              </w:tc>
              <w:tc>
                <w:tcPr/>
                <w:p>
                  <w:pPr>
                    <w:pStyle w:val="Compact"/>
                    <w:jc w:val="left"/>
                    <w:jc w:val="center"/>
                  </w:pPr>
                  <w:r>
                    <w:t xml:space="preserve">Spearman 0.96</w:t>
                  </w:r>
                </w:p>
              </w:tc>
              <w:tc>
                <w:tcPr/>
                <w:p>
                  <w:pPr>
                    <w:pStyle w:val="Compact"/>
                    <w:jc w:val="left"/>
                    <w:jc w:val="center"/>
                  </w:pPr>
                  <w:r>
                    <w:t xml:space="preserve">Rises away from the data</w:t>
                  </w:r>
                </w:p>
              </w:tc>
            </w:tr>
            <w:tr>
              <w:tc>
                <w:tcPr/>
                <w:p>
                  <w:pPr>
                    <w:pStyle w:val="Compact"/>
                    <w:jc w:val="left"/>
                    <w:jc w:val="center"/>
                  </w:pPr>
                  <w:r>
                    <w:t xml:space="preserve">Mean variance inside / outside hull</w:t>
                  </w:r>
                </w:p>
              </w:tc>
              <w:tc>
                <w:tcPr/>
                <w:p>
                  <w:pPr>
                    <w:pStyle w:val="Compact"/>
                    <w:jc w:val="left"/>
                    <w:jc w:val="center"/>
                  </w:pPr>
                  <w:r>
                    <w:t xml:space="preserve">2.19 / 2.65</w:t>
                  </w:r>
                </w:p>
              </w:tc>
              <w:tc>
                <w:tcPr/>
                <w:p>
                  <w:pPr>
                    <w:pStyle w:val="Compact"/>
                    <w:jc w:val="left"/>
                    <w:jc w:val="center"/>
                  </w:pPr>
                  <w:r>
                    <w:t xml:space="preserve">Higher outside</w:t>
                  </w:r>
                </w:p>
              </w:tc>
            </w:tr>
            <w:tr>
              <w:tc>
                <w:tcPr/>
                <w:p>
                  <w:pPr>
                    <w:pStyle w:val="Compact"/>
                    <w:jc w:val="left"/>
                    <w:jc w:val="center"/>
                  </w:pPr>
                  <w:r>
                    <w:t xml:space="preserve">Variance after permuting counts</w:t>
                  </w:r>
                </w:p>
              </w:tc>
              <w:tc>
                <w:tcPr/>
                <w:p>
                  <w:pPr>
                    <w:pStyle w:val="Compact"/>
                    <w:jc w:val="left"/>
                    <w:jc w:val="center"/>
                  </w:pPr>
                  <w:r>
                    <w:t xml:space="preserve">maximum change 0</w:t>
                  </w:r>
                </w:p>
              </w:tc>
              <w:tc>
                <w:tcPr/>
                <w:p>
                  <w:pPr>
                    <w:pStyle w:val="Compact"/>
                    <w:jc w:val="left"/>
                    <w:jc w:val="center"/>
                  </w:pPr>
                  <w:r>
                    <w:t xml:space="preserve">Unchanged for fixed variogram</w:t>
                  </w:r>
                </w:p>
              </w:tc>
            </w:tr>
            <w:tr>
              <w:tc>
                <w:tcPr/>
                <w:p>
                  <w:pPr>
                    <w:pStyle w:val="Compact"/>
                    <w:jc w:val="left"/>
                    <w:jc w:val="center"/>
                  </w:pPr>
                  <w:r>
                    <w:t xml:space="preserve">Leave-one-out RMSE</w:t>
                  </w:r>
                </w:p>
              </w:tc>
              <w:tc>
                <w:tcPr/>
                <w:p>
                  <w:pPr>
                    <w:pStyle w:val="Compact"/>
                    <w:jc w:val="left"/>
                    <w:jc w:val="center"/>
                  </w:pPr>
                  <w:r>
                    <w:t xml:space="preserve">1.40 (control 1.75)</w:t>
                  </w:r>
                </w:p>
              </w:tc>
              <w:tc>
                <w:tcPr/>
                <w:p>
                  <w:pPr>
                    <w:pStyle w:val="Compact"/>
                    <w:jc w:val="left"/>
                    <w:jc w:val="center"/>
                  </w:pPr>
                  <w:r>
                    <w:t xml:space="preserve">Lower than the control</w:t>
                  </w:r>
                </w:p>
              </w:tc>
            </w:tr>
            <w:tr>
              <w:tc>
                <w:tcPr/>
                <w:p>
                  <w:pPr>
                    <w:pStyle w:val="Compact"/>
                    <w:jc w:val="left"/>
                    <w:jc w:val="center"/>
                  </w:pPr>
                  <w:r>
                    <w:t xml:space="preserve">Leave-one-out z-scores</w:t>
                  </w:r>
                </w:p>
              </w:tc>
              <w:tc>
                <w:tcPr/>
                <w:p>
                  <w:pPr>
                    <w:pStyle w:val="Compact"/>
                    <w:jc w:val="left"/>
                    <w:jc w:val="center"/>
                  </w:pPr>
                  <w:r>
                    <w:t xml:space="preserve">mean -0.01, SD 0.97</w:t>
                  </w:r>
                </w:p>
              </w:tc>
              <w:tc>
                <w:tcPr/>
                <w:p>
                  <w:pPr>
                    <w:pStyle w:val="Compact"/>
                    <w:jc w:val="left"/>
                    <w:jc w:val="center"/>
                  </w:pPr>
                  <w:r>
                    <w:t xml:space="preserve">Mean near 0, SD near 1</w:t>
                  </w:r>
                </w:p>
              </w:tc>
            </w:tr>
            <w:tr>
              <w:tc>
                <w:tcPr/>
                <w:p>
                  <w:pPr>
                    <w:pStyle w:val="Compact"/>
                    <w:jc w:val="left"/>
                    <w:jc w:val="center"/>
                  </w:pPr>
                  <w:r>
                    <w:t xml:space="preserve">Moran’s I of leave-one-out residuals</w:t>
                  </w:r>
                </w:p>
              </w:tc>
              <w:tc>
                <w:tcPr/>
                <w:p>
                  <w:pPr>
                    <w:pStyle w:val="Compact"/>
                    <w:jc w:val="left"/>
                    <w:jc w:val="center"/>
                  </w:pPr>
                  <w:r>
                    <w:t xml:space="preserve">-0.10 (p 0.727)</w:t>
                  </w:r>
                </w:p>
              </w:tc>
              <w:tc>
                <w:tcPr/>
                <w:p>
                  <w:pPr>
                    <w:pStyle w:val="Compact"/>
                    <w:jc w:val="left"/>
                    <w:jc w:val="center"/>
                  </w:pPr>
                  <w:r>
                    <w:t xml:space="preserve">No positive autocorrelation detected</w:t>
                  </w:r>
                </w:p>
              </w:tc>
            </w:tr>
          </w:tbl>
          <w:bookmarkEnd w:id="83"/>
          <w:p/>
        </w:tc>
      </w:tr>
    </w:tbl>
    <w:p>
      <w:pPr>
        <w:pStyle w:val="BodyText"/>
      </w:pPr>
      <w:r>
        <w:t xml:space="preserve">The surface met every check (</w:t>
      </w:r>
      <w:hyperlink w:anchor="tbl-sanity">
        <w:r>
          <w:rPr>
            <w:rStyle w:val="Hyperlink"/>
          </w:rPr>
          <w:t xml:space="preserve">Table 8</w:t>
        </w:r>
      </w:hyperlink>
      <w:r>
        <w:t xml:space="preserve">,</w:t>
      </w:r>
      <w:r>
        <w:t xml:space="preserve"> </w:t>
      </w:r>
      <w:hyperlink w:anchor="fig-checks">
        <w:r>
          <w:rPr>
            <w:rStyle w:val="Hyperlink"/>
          </w:rPr>
          <w:t xml:space="preserve">Figure 9</w:t>
        </w:r>
      </w:hyperlink>
      <w:r>
        <w:t xml:space="preserve">). Predictions stayed within the observed range, with none negative. The kriging variance was lowest next to sites, increased with distance to the nearest site (Spearman’s</w:t>
      </w:r>
      <w:r>
        <w:t xml:space="preserve"> </w:t>
      </w:r>
      <m:oMath>
        <m:r>
          <m:t>ρ</m:t>
        </m:r>
      </m:oMath>
      <w:r>
        <w:t xml:space="preserve"> </w:t>
      </w:r>
      <w:r>
        <w:t xml:space="preserve">= 0.96) and leveled off beyond about 7 km at the sill plus the variance of the estimated mean. It never fell below the nugget away from the sites, because a new count at an unsampled location is uncertain by at least the nugget; at a site itself, ordinary kriging returns the observation with zero variance. Randomly permuting the counts among the sites left the variance unchanged while changing the predictions (correlation with the original surface -0.51). The variance therefore reflects the sampling layout rather than the counts</w:t>
      </w:r>
      <w:r>
        <w:t xml:space="preserve"> </w:t>
      </w:r>
      <w:r>
        <w:t xml:space="preserve">(Dickens 2026b)</w:t>
      </w:r>
      <w:r>
        <w:t xml:space="preserve">: it shows where predictions are supported, not where risk is high.</w:t>
      </w:r>
    </w:p>
    <w:tbl>
      <w:tblPr>
        <w:tblStyle w:val="Table"/>
        <w:tblW w:type="pct" w:w="5000"/>
        <w:tblLayout w:type="fixed"/>
        <w:tblLook w:firstRow="0" w:lastRow="0" w:firstColumn="0" w:lastColumn="0" w:noHBand="0" w:noVBand="0" w:val="0000"/>
      </w:tblPr>
      <w:tblGrid>
        <w:gridCol w:w="7920"/>
      </w:tblGrid>
      <w:tr>
        <w:tc>
          <w:tcPr/>
          <w:bookmarkStart w:id="87" w:name="fig-checks"/>
          <w:p>
            <w:pPr>
              <w:pStyle w:val="Compact"/>
              <w:jc w:val="center"/>
            </w:pPr>
            <w:r>
              <w:drawing>
                <wp:inline>
                  <wp:extent cx="5334000" cy="2133600"/>
                  <wp:effectExtent b="0" l="0" r="0" t="0"/>
                  <wp:docPr descr="" title="" id="85" name="Picture"/>
                  <a:graphic>
                    <a:graphicData uri="http://schemas.openxmlformats.org/drawingml/2006/picture">
                      <pic:pic>
                        <pic:nvPicPr>
                          <pic:cNvPr descr="outputs/figures/fig08_sanity_checks.png" id="86" name="Picture"/>
                          <pic:cNvPicPr>
                            <a:picLocks noChangeArrowheads="1" noChangeAspect="1"/>
                          </pic:cNvPicPr>
                        </pic:nvPicPr>
                        <pic:blipFill>
                          <a:blip r:embed="rId84"/>
                          <a:stretch>
                            <a:fillRect/>
                          </a:stretch>
                        </pic:blipFill>
                        <pic:spPr bwMode="auto">
                          <a:xfrm>
                            <a:off x="0" y="0"/>
                            <a:ext cx="5334000" cy="21336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9: Sanity checks. (A) Kriging variance against distance to the nearest site. (B) Leave-one-out predictions for the selected model and the pure-nugget control.</w:t>
            </w:r>
          </w:p>
          <w:bookmarkEnd w:id="87"/>
        </w:tc>
      </w:tr>
    </w:tbl>
    <w:bookmarkEnd w:id="88"/>
    <w:bookmarkStart w:id="94" w:name="smoothing-and-threshold-exceedance"/>
    <w:p>
      <w:pPr>
        <w:pStyle w:val="Heading2"/>
      </w:pPr>
      <w:r>
        <w:t xml:space="preserve">5.4 Smoothing and threshold exceedance</w:t>
      </w:r>
    </w:p>
    <w:p>
      <w:pPr>
        <w:pStyle w:val="FirstParagraph"/>
      </w:pPr>
      <w:r>
        <w:t xml:space="preserve">The surface is smoothed as expected: within the sampled area the SD of the predictions (0.68) is well below that of the observations (1.72), and cross-validation underpredicts the highest counts and overpredicts the zeros (</w:t>
      </w:r>
      <w:hyperlink w:anchor="fig-checks">
        <w:r>
          <w:rPr>
            <w:rStyle w:val="Hyperlink"/>
          </w:rPr>
          <w:t xml:space="preserve">Figure 9</w:t>
        </w:r>
      </w:hyperlink>
      <w:r>
        <w:t xml:space="preserve"> </w:t>
      </w:r>
      <w:r>
        <w:t xml:space="preserve">B). The 200 conditional simulations used 3,532 lattice points across the sampled area.</w:t>
      </w:r>
    </w:p>
    <w:tbl>
      <w:tblPr>
        <w:tblStyle w:val="Table"/>
        <w:tblW w:type="pct" w:w="5000"/>
        <w:tblLayout w:type="fixed"/>
        <w:tblLook w:firstRow="0" w:lastRow="0" w:firstColumn="0" w:lastColumn="0" w:noHBand="0" w:noVBand="0" w:val="0000"/>
      </w:tblPr>
      <w:tblGrid>
        <w:gridCol w:w="7920"/>
      </w:tblGrid>
      <w:tr>
        <w:tc>
          <w:tcPr/>
          <w:bookmarkStart w:id="89" w:name="tbl-exceed"/>
          <w:p>
            <w:pPr>
              <w:jc w:val="center"/>
            </w:pPr>
            <w:pPr>
              <w:jc w:val="start"/>
              <w:spacing w:before="200"/>
              <w:pStyle w:val="ImageCaption"/>
            </w:pPr>
            <w:r>
              <w:t xml:space="preserve">Table 9: Share of squares in the sampled area exceeding each threshold: on the kriged map, and averaged over 200 conditional simulations of 1 km² block means and of point values.</w:t>
            </w:r>
          </w:p>
          <w:tbl>
            <w:tblPr>
              <w:tblStyle w:val="Table"/>
              <w:tblW w:type="pct" w:w="5000"/>
              <w:tblLayout w:type="fixed"/>
              <w:tblLook w:firstRow="1" w:lastRow="0" w:firstColumn="0" w:lastColumn="0" w:noHBand="0" w:noVBand="0" w:val="0020"/>
            </w:tblPr>
            <w:tblGrid>
              <w:gridCol w:w="2066"/>
              <w:gridCol w:w="1262"/>
              <w:gridCol w:w="2640"/>
              <w:gridCol w:w="1951"/>
            </w:tblGrid>
            <w:tr>
              <w:trPr>
                <w:tblHeader w:val="on"/>
              </w:trPr>
              <w:tc>
                <w:tcPr/>
                <w:p>
                  <w:pPr>
                    <w:pStyle w:val="Compact"/>
                    <w:jc w:val="right"/>
                    <w:jc w:val="center"/>
                  </w:pPr>
                  <w:r>
                    <w:t xml:space="preserve">Threshold (cases)</w:t>
                  </w:r>
                </w:p>
              </w:tc>
              <w:tc>
                <w:tcPr/>
                <w:p>
                  <w:pPr>
                    <w:pStyle w:val="Compact"/>
                    <w:jc w:val="right"/>
                    <w:jc w:val="center"/>
                  </w:pPr>
                  <w:r>
                    <w:t xml:space="preserve">Kriged map</w:t>
                  </w:r>
                </w:p>
              </w:tc>
              <w:tc>
                <w:tcPr/>
                <w:p>
                  <w:pPr>
                    <w:pStyle w:val="Compact"/>
                    <w:jc w:val="right"/>
                    <w:jc w:val="center"/>
                  </w:pPr>
                  <w:r>
                    <w:t xml:space="preserve">Simulated 1 km² blocks</w:t>
                  </w:r>
                </w:p>
              </w:tc>
              <w:tc>
                <w:tcPr/>
                <w:p>
                  <w:pPr>
                    <w:pStyle w:val="Compact"/>
                    <w:jc w:val="right"/>
                    <w:jc w:val="center"/>
                  </w:pPr>
                  <w:r>
                    <w:t xml:space="preserve">Simulated points</w:t>
                  </w:r>
                </w:p>
              </w:tc>
            </w:tr>
            <w:tr>
              <w:tc>
                <w:tcPr/>
                <w:p>
                  <w:pPr>
                    <w:pStyle w:val="Compact"/>
                    <w:jc w:val="right"/>
                    <w:jc w:val="center"/>
                  </w:pPr>
                  <w:r>
                    <w:t xml:space="preserve">2</w:t>
                  </w:r>
                </w:p>
              </w:tc>
              <w:tc>
                <w:tcPr/>
                <w:p>
                  <w:pPr>
                    <w:pStyle w:val="Compact"/>
                    <w:jc w:val="right"/>
                    <w:jc w:val="center"/>
                  </w:pPr>
                  <w:r>
                    <w:t xml:space="preserve">25.6%</w:t>
                  </w:r>
                </w:p>
              </w:tc>
              <w:tc>
                <w:tcPr/>
                <w:p>
                  <w:pPr>
                    <w:pStyle w:val="Compact"/>
                    <w:jc w:val="right"/>
                    <w:jc w:val="center"/>
                  </w:pPr>
                  <w:r>
                    <w:t xml:space="preserve">36.8%</w:t>
                  </w:r>
                </w:p>
              </w:tc>
              <w:tc>
                <w:tcPr/>
                <w:p>
                  <w:pPr>
                    <w:pStyle w:val="Compact"/>
                    <w:jc w:val="right"/>
                    <w:jc w:val="center"/>
                  </w:pPr>
                  <w:r>
                    <w:t xml:space="preserve">41.7%</w:t>
                  </w:r>
                </w:p>
              </w:tc>
            </w:tr>
            <w:tr>
              <w:tc>
                <w:tcPr/>
                <w:p>
                  <w:pPr>
                    <w:pStyle w:val="Compact"/>
                    <w:jc w:val="right"/>
                    <w:jc w:val="center"/>
                  </w:pPr>
                  <w:r>
                    <w:t xml:space="preserve">3</w:t>
                  </w:r>
                </w:p>
              </w:tc>
              <w:tc>
                <w:tcPr/>
                <w:p>
                  <w:pPr>
                    <w:pStyle w:val="Compact"/>
                    <w:jc w:val="right"/>
                    <w:jc w:val="center"/>
                  </w:pPr>
                  <w:r>
                    <w:t xml:space="preserve">6.3%</w:t>
                  </w:r>
                </w:p>
              </w:tc>
              <w:tc>
                <w:tcPr/>
                <w:p>
                  <w:pPr>
                    <w:pStyle w:val="Compact"/>
                    <w:jc w:val="right"/>
                    <w:jc w:val="center"/>
                  </w:pPr>
                  <w:r>
                    <w:t xml:space="preserve">11.4%</w:t>
                  </w:r>
                </w:p>
              </w:tc>
              <w:tc>
                <w:tcPr/>
                <w:p>
                  <w:pPr>
                    <w:pStyle w:val="Compact"/>
                    <w:jc w:val="right"/>
                    <w:jc w:val="center"/>
                  </w:pPr>
                  <w:r>
                    <w:t xml:space="preserve">20.8%</w:t>
                  </w:r>
                </w:p>
              </w:tc>
            </w:tr>
            <w:tr>
              <w:tc>
                <w:tcPr/>
                <w:p>
                  <w:pPr>
                    <w:pStyle w:val="Compact"/>
                    <w:jc w:val="right"/>
                    <w:jc w:val="center"/>
                  </w:pPr>
                  <w:r>
                    <w:t xml:space="preserve">4</w:t>
                  </w:r>
                </w:p>
              </w:tc>
              <w:tc>
                <w:tcPr/>
                <w:p>
                  <w:pPr>
                    <w:pStyle w:val="Compact"/>
                    <w:jc w:val="right"/>
                    <w:jc w:val="center"/>
                  </w:pPr>
                  <w:r>
                    <w:t xml:space="preserve">0.0%</w:t>
                  </w:r>
                </w:p>
              </w:tc>
              <w:tc>
                <w:tcPr/>
                <w:p>
                  <w:pPr>
                    <w:pStyle w:val="Compact"/>
                    <w:jc w:val="right"/>
                    <w:jc w:val="center"/>
                  </w:pPr>
                  <w:r>
                    <w:t xml:space="preserve">2.1%</w:t>
                  </w:r>
                </w:p>
              </w:tc>
              <w:tc>
                <w:tcPr/>
                <w:p>
                  <w:pPr>
                    <w:pStyle w:val="Compact"/>
                    <w:jc w:val="right"/>
                    <w:jc w:val="center"/>
                  </w:pPr>
                  <w:r>
                    <w:t xml:space="preserve">8.0%</w:t>
                  </w:r>
                </w:p>
              </w:tc>
            </w:tr>
          </w:tbl>
          <w:bookmarkEnd w:id="89"/>
          <w:p/>
        </w:tc>
      </w:tr>
    </w:tbl>
    <w:p>
      <w:pPr>
        <w:pStyle w:val="BodyText"/>
      </w:pPr>
      <w:r>
        <w:t xml:space="preserve">Compared with simulated averages over the squares, the point-support kriged map shows about half as many squares above 3 cases as the simulations (6.3% against 11.4%), and none above 4 cases, against 2.1% in the simulations (</w:t>
      </w:r>
      <w:hyperlink w:anchor="tbl-exceed">
        <w:r>
          <w:rPr>
            <w:rStyle w:val="Hyperlink"/>
          </w:rPr>
          <w:t xml:space="preserve">Table 9</w:t>
        </w:r>
      </w:hyperlink>
      <w:r>
        <w:t xml:space="preserve">). Point values exceed the thresholds more often (20.8% above 3 cases) because they retain the nugget variation that averages out within a square. The probability that a square’s mean exceeds 3 cases reaches 0.94 in the top-10% core and exceeds 0.5 in 52% of the core’s squares (</w:t>
      </w:r>
      <w:hyperlink w:anchor="fig-exceed">
        <w:r>
          <w:rPr>
            <w:rStyle w:val="Hyperlink"/>
          </w:rPr>
          <w:t xml:space="preserve">Figure 10</w:t>
        </w:r>
      </w:hyperlink>
      <w:r>
        <w:t xml:space="preserve">). Because the simulations are conditioned on the same data and centered on the kriged surface, they do not independently confirm the location of the zones; they illustrate the variability and threshold exceedance suppressed by smoothing. Treating counts as Gaussian makes these probabilities approximate.</w:t>
      </w:r>
    </w:p>
    <w:tbl>
      <w:tblPr>
        <w:tblStyle w:val="Table"/>
        <w:tblW w:type="pct" w:w="5000"/>
        <w:tblLayout w:type="fixed"/>
        <w:tblLook w:firstRow="0" w:lastRow="0" w:firstColumn="0" w:lastColumn="0" w:noHBand="0" w:noVBand="0" w:val="0000"/>
      </w:tblPr>
      <w:tblGrid>
        <w:gridCol w:w="7920"/>
      </w:tblGrid>
      <w:tr>
        <w:tc>
          <w:tcPr/>
          <w:bookmarkStart w:id="93" w:name="fig-exceed"/>
          <w:p>
            <w:pPr>
              <w:pStyle w:val="Compact"/>
              <w:jc w:val="center"/>
            </w:pPr>
            <w:r>
              <w:drawing>
                <wp:inline>
                  <wp:extent cx="4373880" cy="2915920"/>
                  <wp:effectExtent b="0" l="0" r="0" t="0"/>
                  <wp:docPr descr="" title="" id="91" name="Picture"/>
                  <a:graphic>
                    <a:graphicData uri="http://schemas.openxmlformats.org/drawingml/2006/picture">
                      <pic:pic>
                        <pic:nvPicPr>
                          <pic:cNvPr descr="outputs/figures/fig09_exceedance_probability.png" id="92" name="Picture"/>
                          <pic:cNvPicPr>
                            <a:picLocks noChangeArrowheads="1" noChangeAspect="1"/>
                          </pic:cNvPicPr>
                        </pic:nvPicPr>
                        <pic:blipFill>
                          <a:blip r:embed="rId90"/>
                          <a:stretch>
                            <a:fillRect/>
                          </a:stretch>
                        </pic:blipFill>
                        <pic:spPr bwMode="auto">
                          <a:xfrm>
                            <a:off x="0" y="0"/>
                            <a:ext cx="4373880" cy="2915920"/>
                          </a:xfrm>
                          <a:prstGeom prst="rect">
                            <a:avLst/>
                          </a:prstGeom>
                          <a:noFill/>
                          <a:ln w="9525">
                            <a:noFill/>
                            <a:headEnd/>
                            <a:tailEnd/>
                          </a:ln>
                        </pic:spPr>
                      </pic:pic>
                    </a:graphicData>
                  </a:graphic>
                </wp:inline>
              </w:drawing>
            </w:r>
          </w:p>
          <w:p>
            <w:pPr>
              <w:jc w:val="center"/>
            </w:pPr>
            <w:pPr>
              <w:jc w:val="start"/>
              <w:spacing w:before="200"/>
              <w:pStyle w:val="ImageCaption"/>
            </w:pPr>
            <w:r>
              <w:t xml:space="preserve">Figure 10: Probability that the mean of each square exceeds 3 cases, from 200 conditional simulations at 1 km² block support. Black outline: top-25% zone.</w:t>
            </w:r>
          </w:p>
          <w:bookmarkEnd w:id="93"/>
        </w:tc>
      </w:tr>
    </w:tbl>
    <w:bookmarkEnd w:id="94"/>
    <w:bookmarkEnd w:id="95"/>
    <w:bookmarkStart w:id="108" w:name="sec-green"/>
    <w:p>
      <w:pPr>
        <w:pStyle w:val="Heading1"/>
      </w:pPr>
      <w:r>
        <w:t xml:space="preserve">6. Spatial correlation with green space</w:t>
      </w:r>
    </w:p>
    <w:bookmarkStart w:id="101" w:name="overlay-and-regression"/>
    <w:p>
      <w:pPr>
        <w:pStyle w:val="Heading2"/>
      </w:pPr>
      <w:r>
        <w:t xml:space="preserve">6.1 Overlay and regression</w:t>
      </w:r>
    </w:p>
    <w:p>
      <w:pPr>
        <w:pStyle w:val="FirstParagraph"/>
      </w:pPr>
      <w:r>
        <w:t xml:space="preserve">The high-prediction band coincides with low green cover (</w:t>
      </w:r>
      <w:hyperlink w:anchor="fig-overlay">
        <w:r>
          <w:rPr>
            <w:rStyle w:val="Hyperlink"/>
          </w:rPr>
          <w:t xml:space="preserve">Figure 11</w:t>
        </w:r>
      </w:hyperlink>
      <w:r>
        <w:t xml:space="preserve">): 9 of the 10 sites inside the top-25% zone have 26% to 44% cover, the exception being site 17 in Hougang (52.5%). The lowest predictions in the west coincide with the greenest sites.</w:t>
      </w:r>
    </w:p>
    <w:p>
      <w:pPr>
        <w:pStyle w:val="BodyText"/>
      </w:pPr>
      <w:r>
        <w:t xml:space="preserve">Spearman’s</w:t>
      </w:r>
      <w:r>
        <w:t xml:space="preserve"> </w:t>
      </w:r>
      <m:oMath>
        <m:r>
          <m:t>ρ</m:t>
        </m:r>
      </m:oMath>
      <w:r>
        <w:t xml:space="preserve"> </w:t>
      </w:r>
      <w:r>
        <w:t xml:space="preserve">between cases and green space was -0.43 (p = 0.017).</w:t>
      </w:r>
    </w:p>
    <w:tbl>
      <w:tblPr>
        <w:tblStyle w:val="Table"/>
        <w:tblW w:type="pct" w:w="5000"/>
        <w:tblLayout w:type="fixed"/>
        <w:tblLook w:firstRow="0" w:lastRow="0" w:firstColumn="0" w:lastColumn="0" w:noHBand="0" w:noVBand="0" w:val="0000"/>
      </w:tblPr>
      <w:tblGrid>
        <w:gridCol w:w="7920"/>
      </w:tblGrid>
      <w:tr>
        <w:tc>
          <w:tcPr/>
          <w:bookmarkStart w:id="96" w:name="tbl-glm"/>
          <w:p>
            <w:pPr>
              <w:jc w:val="center"/>
            </w:pPr>
            <w:pPr>
              <w:jc w:val="start"/>
              <w:spacing w:before="200"/>
              <w:pStyle w:val="ImageCaption"/>
            </w:pPr>
            <w:r>
              <w:t xml:space="preserve">Table 10: Poisson regression of case counts on green space (per 10 percentage points). Ratios are exponentiated coefficients. Green space: profile-likelihood interval and likelihood ratio p-value. Intercept (expected count at 0% green space): Wald statistics.</w:t>
            </w:r>
          </w:p>
          <w:tbl>
            <w:tblPr>
              <w:tblStyle w:val="Table"/>
              <w:tblW w:type="pct" w:w="5000"/>
              <w:tblLayout w:type="fixed"/>
              <w:tblLook w:firstRow="1" w:lastRow="0" w:firstColumn="0" w:lastColumn="0" w:noHBand="0" w:noVBand="0" w:val="0020"/>
            </w:tblPr>
            <w:tblGrid>
              <w:gridCol w:w="3123"/>
              <w:gridCol w:w="1115"/>
              <w:gridCol w:w="669"/>
              <w:gridCol w:w="669"/>
              <w:gridCol w:w="1561"/>
              <w:gridCol w:w="780"/>
            </w:tblGrid>
            <w:tr>
              <w:trPr>
                <w:tblHeader w:val="on"/>
              </w:trPr>
              <w:tc>
                <w:tcPr/>
                <w:p>
                  <w:pPr>
                    <w:pStyle w:val="Compact"/>
                    <w:jc w:val="left"/>
                    <w:jc w:val="center"/>
                  </w:pPr>
                  <w:r>
                    <w:t xml:space="preserve">Term</w:t>
                  </w:r>
                </w:p>
              </w:tc>
              <w:tc>
                <w:tcPr/>
                <w:p>
                  <w:pPr>
                    <w:pStyle w:val="Compact"/>
                    <w:jc w:val="right"/>
                    <w:jc w:val="center"/>
                  </w:pPr>
                  <w:r>
                    <w:t xml:space="preserve">Log coef.</w:t>
                  </w:r>
                </w:p>
              </w:tc>
              <w:tc>
                <w:tcPr/>
                <w:p>
                  <w:pPr>
                    <w:pStyle w:val="Compact"/>
                    <w:jc w:val="right"/>
                    <w:jc w:val="center"/>
                  </w:pPr>
                  <w:r>
                    <w:t xml:space="preserve">SE</w:t>
                  </w:r>
                </w:p>
              </w:tc>
              <w:tc>
                <w:tcPr/>
                <w:p>
                  <w:pPr>
                    <w:pStyle w:val="Compact"/>
                    <w:jc w:val="right"/>
                    <w:jc w:val="center"/>
                  </w:pPr>
                  <w:r>
                    <w:t xml:space="preserve">Ratio</w:t>
                  </w:r>
                </w:p>
              </w:tc>
              <w:tc>
                <w:tcPr/>
                <w:p>
                  <w:pPr>
                    <w:pStyle w:val="Compact"/>
                    <w:jc w:val="right"/>
                    <w:jc w:val="center"/>
                  </w:pPr>
                  <w:r>
                    <w:t xml:space="preserve">95% CI</w:t>
                  </w:r>
                </w:p>
              </w:tc>
              <w:tc>
                <w:tcPr/>
                <w:p>
                  <w:pPr>
                    <w:pStyle w:val="Compact"/>
                    <w:jc w:val="right"/>
                    <w:jc w:val="center"/>
                  </w:pPr>
                  <w:r>
                    <w:t xml:space="preserve">p</w:t>
                  </w:r>
                </w:p>
              </w:tc>
            </w:tr>
            <w:tr>
              <w:tc>
                <w:tcPr/>
                <w:p>
                  <w:pPr>
                    <w:pStyle w:val="Compact"/>
                    <w:jc w:val="left"/>
                    <w:jc w:val="center"/>
                  </w:pPr>
                  <w:r>
                    <w:t xml:space="preserve">Intercept</w:t>
                  </w:r>
                </w:p>
              </w:tc>
              <w:tc>
                <w:tcPr/>
                <w:p>
                  <w:pPr>
                    <w:pStyle w:val="Compact"/>
                    <w:jc w:val="right"/>
                    <w:jc w:val="center"/>
                  </w:pPr>
                  <w:r>
                    <w:t xml:space="preserve">2.057</w:t>
                  </w:r>
                </w:p>
              </w:tc>
              <w:tc>
                <w:tcPr/>
                <w:p>
                  <w:pPr>
                    <w:pStyle w:val="Compact"/>
                    <w:jc w:val="right"/>
                    <w:jc w:val="center"/>
                  </w:pPr>
                  <w:r>
                    <w:t xml:space="preserve">0.454</w:t>
                  </w:r>
                </w:p>
              </w:tc>
              <w:tc>
                <w:tcPr/>
                <w:p>
                  <w:pPr>
                    <w:pStyle w:val="Compact"/>
                    <w:jc w:val="right"/>
                    <w:jc w:val="center"/>
                  </w:pPr>
                  <w:r>
                    <w:t xml:space="preserve">7.82</w:t>
                  </w:r>
                </w:p>
              </w:tc>
              <w:tc>
                <w:tcPr/>
                <w:p>
                  <w:pPr>
                    <w:pStyle w:val="Compact"/>
                    <w:jc w:val="right"/>
                    <w:jc w:val="center"/>
                  </w:pPr>
                  <w:r>
                    <w:t xml:space="preserve">3.21 to 19.04</w:t>
                  </w:r>
                </w:p>
              </w:tc>
              <w:tc>
                <w:tcPr/>
                <w:p>
                  <w:pPr>
                    <w:pStyle w:val="Compact"/>
                    <w:jc w:val="right"/>
                    <w:jc w:val="center"/>
                  </w:pPr>
                  <w:r>
                    <w:t xml:space="preserve">&lt;0.001</w:t>
                  </w:r>
                </w:p>
              </w:tc>
            </w:tr>
            <w:tr>
              <w:tc>
                <w:tcPr/>
                <w:p>
                  <w:pPr>
                    <w:pStyle w:val="Compact"/>
                    <w:jc w:val="left"/>
                    <w:jc w:val="center"/>
                  </w:pPr>
                  <w:r>
                    <w:t xml:space="preserve">Green space (per 10 points)</w:t>
                  </w:r>
                </w:p>
              </w:tc>
              <w:tc>
                <w:tcPr/>
                <w:p>
                  <w:pPr>
                    <w:pStyle w:val="Compact"/>
                    <w:jc w:val="right"/>
                    <w:jc w:val="center"/>
                  </w:pPr>
                  <w:r>
                    <w:t xml:space="preserve">-0.314</w:t>
                  </w:r>
                </w:p>
              </w:tc>
              <w:tc>
                <w:tcPr/>
                <w:p>
                  <w:pPr>
                    <w:pStyle w:val="Compact"/>
                    <w:jc w:val="right"/>
                    <w:jc w:val="center"/>
                  </w:pPr>
                  <w:r>
                    <w:t xml:space="preserve">0.102</w:t>
                  </w:r>
                </w:p>
              </w:tc>
              <w:tc>
                <w:tcPr/>
                <w:p>
                  <w:pPr>
                    <w:pStyle w:val="Compact"/>
                    <w:jc w:val="right"/>
                    <w:jc w:val="center"/>
                  </w:pPr>
                  <w:r>
                    <w:t xml:space="preserve">0.73</w:t>
                  </w:r>
                </w:p>
              </w:tc>
              <w:tc>
                <w:tcPr/>
                <w:p>
                  <w:pPr>
                    <w:pStyle w:val="Compact"/>
                    <w:jc w:val="right"/>
                    <w:jc w:val="center"/>
                  </w:pPr>
                  <w:r>
                    <w:t xml:space="preserve">0.59 to 0.89</w:t>
                  </w:r>
                </w:p>
              </w:tc>
              <w:tc>
                <w:tcPr/>
                <w:p>
                  <w:pPr>
                    <w:pStyle w:val="Compact"/>
                    <w:jc w:val="right"/>
                    <w:jc w:val="center"/>
                  </w:pPr>
                  <w:r>
                    <w:t xml:space="preserve">0.001</w:t>
                  </w:r>
                </w:p>
              </w:tc>
            </w:tr>
          </w:tbl>
          <w:bookmarkEnd w:id="96"/>
          <w:p/>
        </w:tc>
      </w:tr>
    </w:tbl>
    <w:p>
      <w:pPr>
        <w:pStyle w:val="BodyText"/>
      </w:pPr>
      <w:r>
        <w:t xml:space="preserve">Each additional 10 percentage points of green space multiplied the expected count by 0.73 (27% fewer cases; 95% CI 0.59 to 0.89; likelihood ratio p = 0.001;</w:t>
      </w:r>
      <w:r>
        <w:t xml:space="preserve"> </w:t>
      </w:r>
      <w:hyperlink w:anchor="tbl-glm">
        <w:r>
          <w:rPr>
            <w:rStyle w:val="Hyperlink"/>
          </w:rPr>
          <w:t xml:space="preserve">Table 10</w:t>
        </w:r>
      </w:hyperlink>
      <w:r>
        <w:t xml:space="preserve">,</w:t>
      </w:r>
      <w:r>
        <w:t xml:space="preserve"> </w:t>
      </w:r>
      <w:hyperlink w:anchor="fig-green">
        <w:r>
          <w:rPr>
            <w:rStyle w:val="Hyperlink"/>
          </w:rPr>
          <w:t xml:space="preserve">Figure 12</w:t>
        </w:r>
      </w:hyperlink>
      <w:r>
        <w:t xml:space="preserve"> </w:t>
      </w:r>
      <w:r>
        <w:t xml:space="preserve">A). The intercept lies outside the observed range of green space and has no substantive meaning. The Pearson dispersion statistic was 1.30, and a quasi-Poisson fit widened the interval only slightly (Wald interval 0.58 to 0.92). Green space explained 19% of the null deviance. Without a denominator, the ratio compares expected counts at sites, not incidence rates.</w:t>
      </w:r>
    </w:p>
    <w:tbl>
      <w:tblPr>
        <w:tblStyle w:val="Table"/>
        <w:tblW w:type="pct" w:w="5000"/>
        <w:tblLayout w:type="fixed"/>
        <w:tblLook w:firstRow="0" w:lastRow="0" w:firstColumn="0" w:lastColumn="0" w:noHBand="0" w:noVBand="0" w:val="0000"/>
      </w:tblPr>
      <w:tblGrid>
        <w:gridCol w:w="7920"/>
      </w:tblGrid>
      <w:tr>
        <w:tc>
          <w:tcPr/>
          <w:bookmarkStart w:id="100" w:name="fig-overlay"/>
          <w:p>
            <w:pPr>
              <w:pStyle w:val="Compact"/>
              <w:jc w:val="center"/>
            </w:pPr>
            <w:r>
              <w:drawing>
                <wp:inline>
                  <wp:extent cx="4373880" cy="2915920"/>
                  <wp:effectExtent b="0" l="0" r="0" t="0"/>
                  <wp:docPr descr="" title="" id="98" name="Picture"/>
                  <a:graphic>
                    <a:graphicData uri="http://schemas.openxmlformats.org/drawingml/2006/picture">
                      <pic:pic>
                        <pic:nvPicPr>
                          <pic:cNvPr descr="outputs/figures/fig11_greenspace_overlay.png" id="99" name="Picture"/>
                          <pic:cNvPicPr>
                            <a:picLocks noChangeArrowheads="1" noChangeAspect="1"/>
                          </pic:cNvPicPr>
                        </pic:nvPicPr>
                        <pic:blipFill>
                          <a:blip r:embed="rId97"/>
                          <a:stretch>
                            <a:fillRect/>
                          </a:stretch>
                        </pic:blipFill>
                        <pic:spPr bwMode="auto">
                          <a:xfrm>
                            <a:off x="0" y="0"/>
                            <a:ext cx="4373880" cy="2915920"/>
                          </a:xfrm>
                          <a:prstGeom prst="rect">
                            <a:avLst/>
                          </a:prstGeom>
                          <a:noFill/>
                          <a:ln w="9525">
                            <a:noFill/>
                            <a:headEnd/>
                            <a:tailEnd/>
                          </a:ln>
                        </pic:spPr>
                      </pic:pic>
                    </a:graphicData>
                  </a:graphic>
                </wp:inline>
              </w:drawing>
            </w:r>
          </w:p>
          <w:p>
            <w:pPr>
              <w:jc w:val="center"/>
            </w:pPr>
            <w:pPr>
              <w:jc w:val="start"/>
              <w:spacing w:before="200"/>
              <w:pStyle w:val="ImageCaption"/>
            </w:pPr>
            <w:r>
              <w:t xml:space="preserve">Figure 11: Green space at each site overlaid on the kriged surface within the sampled area.</w:t>
            </w:r>
          </w:p>
          <w:bookmarkEnd w:id="100"/>
        </w:tc>
      </w:tr>
    </w:tbl>
    <w:bookmarkEnd w:id="101"/>
    <w:bookmarkStart w:id="107" w:name="sec-residual"/>
    <w:p>
      <w:pPr>
        <w:pStyle w:val="Heading2"/>
      </w:pPr>
      <w:r>
        <w:t xml:space="preserve">6.2 Residual spatial dependence</w:t>
      </w:r>
    </w:p>
    <w:p>
      <w:pPr>
        <w:pStyle w:val="FirstParagraph"/>
      </w:pPr>
      <w:r>
        <w:t xml:space="preserve">The shortest distance band that leaves no site without a neighbor was 4.06 km.</w:t>
      </w:r>
    </w:p>
    <w:tbl>
      <w:tblPr>
        <w:tblStyle w:val="Table"/>
        <w:tblW w:type="pct" w:w="5000"/>
        <w:tblLayout w:type="fixed"/>
        <w:tblLook w:firstRow="0" w:lastRow="0" w:firstColumn="0" w:lastColumn="0" w:noHBand="0" w:noVBand="0" w:val="0000"/>
      </w:tblPr>
      <w:tblGrid>
        <w:gridCol w:w="7920"/>
      </w:tblGrid>
      <w:tr>
        <w:tc>
          <w:tcPr/>
          <w:bookmarkStart w:id="102" w:name="tbl-moran"/>
          <w:p>
            <w:pPr>
              <w:jc w:val="center"/>
            </w:pPr>
            <w:pPr>
              <w:jc w:val="start"/>
              <w:spacing w:before="200"/>
              <w:pStyle w:val="ImageCaption"/>
            </w:pPr>
            <w:r>
              <w:t xml:space="preserve">Table 11: Moran’s I (p-value) for the case counts, the Pearson residuals of the Poisson model and the residuals of a linear model, with robust LM test p-values for the linear model. Links: mean number of neighbors. All Moran p-values are one-sided for positive autocorrelation. Counts and Poisson residuals use 9,999 permutations; linear-model values are from spdep::lm.morantest and spdep::lm.RStests (adjusted statistics).</w:t>
            </w:r>
          </w:p>
          <w:tbl>
            <w:tblPr>
              <w:tblStyle w:val="Table"/>
              <w:tblW w:type="pct" w:w="5000"/>
              <w:tblLayout w:type="fixed"/>
              <w:tblLook w:firstRow="1" w:lastRow="0" w:firstColumn="0" w:lastColumn="0" w:noHBand="0" w:noVBand="0" w:val="0020"/>
            </w:tblPr>
            <w:tblGrid>
              <w:gridCol w:w="1303"/>
              <w:gridCol w:w="601"/>
              <w:gridCol w:w="1503"/>
              <w:gridCol w:w="1503"/>
              <w:gridCol w:w="1403"/>
              <w:gridCol w:w="902"/>
              <w:gridCol w:w="701"/>
            </w:tblGrid>
            <w:tr>
              <w:trPr>
                <w:tblHeader w:val="on"/>
              </w:trPr>
              <w:tc>
                <w:tcPr/>
                <w:p>
                  <w:pPr>
                    <w:pStyle w:val="Compact"/>
                    <w:jc w:val="left"/>
                    <w:jc w:val="center"/>
                  </w:pPr>
                  <w:r>
                    <w:t xml:space="preserve">Neighbors</w:t>
                  </w:r>
                </w:p>
              </w:tc>
              <w:tc>
                <w:tcPr/>
                <w:p>
                  <w:pPr>
                    <w:pStyle w:val="Compact"/>
                    <w:jc w:val="right"/>
                    <w:jc w:val="center"/>
                  </w:pPr>
                  <w:r>
                    <w:t xml:space="preserve">Links</w:t>
                  </w:r>
                </w:p>
              </w:tc>
              <w:tc>
                <w:tcPr/>
                <w:p>
                  <w:pPr>
                    <w:pStyle w:val="Compact"/>
                    <w:jc w:val="right"/>
                    <w:jc w:val="center"/>
                  </w:pPr>
                  <w:r>
                    <w:t xml:space="preserve">Counts</w:t>
                  </w:r>
                </w:p>
              </w:tc>
              <w:tc>
                <w:tcPr/>
                <w:p>
                  <w:pPr>
                    <w:pStyle w:val="Compact"/>
                    <w:jc w:val="right"/>
                    <w:jc w:val="center"/>
                  </w:pPr>
                  <w:r>
                    <w:t xml:space="preserve">Poisson resid.</w:t>
                  </w:r>
                </w:p>
              </w:tc>
              <w:tc>
                <w:tcPr/>
                <w:p>
                  <w:pPr>
                    <w:pStyle w:val="Compact"/>
                    <w:jc w:val="right"/>
                    <w:jc w:val="center"/>
                  </w:pPr>
                  <w:r>
                    <w:t xml:space="preserve">Linear resid.</w:t>
                  </w:r>
                </w:p>
              </w:tc>
              <w:tc>
                <w:tcPr/>
                <w:p>
                  <w:pPr>
                    <w:pStyle w:val="Compact"/>
                    <w:jc w:val="right"/>
                    <w:jc w:val="center"/>
                  </w:pPr>
                  <w:r>
                    <w:t xml:space="preserve">LM error</w:t>
                  </w:r>
                </w:p>
              </w:tc>
              <w:tc>
                <w:tcPr/>
                <w:p>
                  <w:pPr>
                    <w:pStyle w:val="Compact"/>
                    <w:jc w:val="right"/>
                    <w:jc w:val="center"/>
                  </w:pPr>
                  <w:r>
                    <w:t xml:space="preserve">LM lag</w:t>
                  </w:r>
                </w:p>
              </w:tc>
            </w:tr>
            <w:tr>
              <w:tc>
                <w:tcPr/>
                <w:p>
                  <w:pPr>
                    <w:pStyle w:val="Compact"/>
                    <w:jc w:val="left"/>
                    <w:jc w:val="center"/>
                  </w:pPr>
                  <w:r>
                    <w:t xml:space="preserve">4 nearest</w:t>
                  </w:r>
                </w:p>
              </w:tc>
              <w:tc>
                <w:tcPr/>
                <w:p>
                  <w:pPr>
                    <w:pStyle w:val="Compact"/>
                    <w:jc w:val="right"/>
                    <w:jc w:val="center"/>
                  </w:pPr>
                  <w:r>
                    <w:t xml:space="preserve">5.1</w:t>
                  </w:r>
                </w:p>
              </w:tc>
              <w:tc>
                <w:tcPr/>
                <w:p>
                  <w:pPr>
                    <w:pStyle w:val="Compact"/>
                    <w:jc w:val="right"/>
                    <w:jc w:val="center"/>
                  </w:pPr>
                  <w:r>
                    <w:t xml:space="preserve">0.422 (&lt;0.001)</w:t>
                  </w:r>
                </w:p>
              </w:tc>
              <w:tc>
                <w:tcPr/>
                <w:p>
                  <w:pPr>
                    <w:pStyle w:val="Compact"/>
                    <w:jc w:val="right"/>
                    <w:jc w:val="center"/>
                  </w:pPr>
                  <w:r>
                    <w:t xml:space="preserve">0.017 (0.281)</w:t>
                  </w:r>
                </w:p>
              </w:tc>
              <w:tc>
                <w:tcPr/>
                <w:p>
                  <w:pPr>
                    <w:pStyle w:val="Compact"/>
                    <w:jc w:val="right"/>
                    <w:jc w:val="center"/>
                  </w:pPr>
                  <w:r>
                    <w:t xml:space="preserve">0.098 (0.055)</w:t>
                  </w:r>
                </w:p>
              </w:tc>
              <w:tc>
                <w:tcPr/>
                <w:p>
                  <w:pPr>
                    <w:pStyle w:val="Compact"/>
                    <w:jc w:val="right"/>
                    <w:jc w:val="center"/>
                  </w:pPr>
                  <w:r>
                    <w:t xml:space="preserve">0.024</w:t>
                  </w:r>
                </w:p>
              </w:tc>
              <w:tc>
                <w:tcPr/>
                <w:p>
                  <w:pPr>
                    <w:pStyle w:val="Compact"/>
                    <w:jc w:val="right"/>
                    <w:jc w:val="center"/>
                  </w:pPr>
                  <w:r>
                    <w:t xml:space="preserve">0.007</w:t>
                  </w:r>
                </w:p>
              </w:tc>
            </w:tr>
            <w:tr>
              <w:tc>
                <w:tcPr/>
                <w:p>
                  <w:pPr>
                    <w:pStyle w:val="Compact"/>
                    <w:jc w:val="left"/>
                    <w:jc w:val="center"/>
                  </w:pPr>
                  <w:r>
                    <w:t xml:space="preserve">4.06 km band</w:t>
                  </w:r>
                </w:p>
              </w:tc>
              <w:tc>
                <w:tcPr/>
                <w:p>
                  <w:pPr>
                    <w:pStyle w:val="Compact"/>
                    <w:jc w:val="right"/>
                    <w:jc w:val="center"/>
                  </w:pPr>
                  <w:r>
                    <w:t xml:space="preserve">4.3</w:t>
                  </w:r>
                </w:p>
              </w:tc>
              <w:tc>
                <w:tcPr/>
                <w:p>
                  <w:pPr>
                    <w:pStyle w:val="Compact"/>
                    <w:jc w:val="right"/>
                    <w:jc w:val="center"/>
                  </w:pPr>
                  <w:r>
                    <w:t xml:space="preserve">0.424 (&lt;0.001)</w:t>
                  </w:r>
                </w:p>
              </w:tc>
              <w:tc>
                <w:tcPr/>
                <w:p>
                  <w:pPr>
                    <w:pStyle w:val="Compact"/>
                    <w:jc w:val="right"/>
                    <w:jc w:val="center"/>
                  </w:pPr>
                  <w:r>
                    <w:t xml:space="preserve">-0.032 (0.468)</w:t>
                  </w:r>
                </w:p>
              </w:tc>
              <w:tc>
                <w:tcPr/>
                <w:p>
                  <w:pPr>
                    <w:pStyle w:val="Compact"/>
                    <w:jc w:val="right"/>
                    <w:jc w:val="center"/>
                  </w:pPr>
                  <w:r>
                    <w:t xml:space="preserve">0.064 (0.158)</w:t>
                  </w:r>
                </w:p>
              </w:tc>
              <w:tc>
                <w:tcPr/>
                <w:p>
                  <w:pPr>
                    <w:pStyle w:val="Compact"/>
                    <w:jc w:val="right"/>
                    <w:jc w:val="center"/>
                  </w:pPr>
                  <w:r>
                    <w:t xml:space="preserve">0.024</w:t>
                  </w:r>
                </w:p>
              </w:tc>
              <w:tc>
                <w:tcPr/>
                <w:p>
                  <w:pPr>
                    <w:pStyle w:val="Compact"/>
                    <w:jc w:val="right"/>
                    <w:jc w:val="center"/>
                  </w:pPr>
                  <w:r>
                    <w:t xml:space="preserve">0.010</w:t>
                  </w:r>
                </w:p>
              </w:tc>
            </w:tr>
          </w:tbl>
          <w:bookmarkEnd w:id="102"/>
          <w:p/>
        </w:tc>
      </w:tr>
    </w:tbl>
    <w:p>
      <w:pPr>
        <w:pStyle w:val="BodyText"/>
      </w:pPr>
      <w:r>
        <w:t xml:space="preserve">The counts were clearly clustered (I = 0.422 and 0.424, both p</w:t>
      </w:r>
      <w:r>
        <w:t xml:space="preserve"> </w:t>
      </w:r>
      <m:oMath>
        <m:r>
          <m:rPr>
            <m:sty m:val="p"/>
          </m:rPr>
          <m:t>≤</m:t>
        </m:r>
      </m:oMath>
      <w:r>
        <w:t xml:space="preserve"> </w:t>
      </w:r>
      <w:r>
        <w:t xml:space="preserve">0.001;</w:t>
      </w:r>
      <w:r>
        <w:t xml:space="preserve"> </w:t>
      </w:r>
      <w:hyperlink w:anchor="tbl-moran">
        <w:r>
          <w:rPr>
            <w:rStyle w:val="Hyperlink"/>
          </w:rPr>
          <w:t xml:space="preserve">Table 11</w:t>
        </w:r>
      </w:hyperlink>
      <w:r>
        <w:t xml:space="preserve">), but positive autocorrelation was not detected in the Pearson residuals of the Poisson model (I = 0.017 and -0.032, p</w:t>
      </w:r>
      <w:r>
        <w:t xml:space="preserve"> </w:t>
      </w:r>
      <m:oMath>
        <m:r>
          <m:rPr>
            <m:sty m:val="p"/>
          </m:rPr>
          <m:t>≥</m:t>
        </m:r>
      </m:oMath>
      <w:r>
        <w:t xml:space="preserve"> </w:t>
      </w:r>
      <w:r>
        <w:t xml:space="preserve">0.28). The linear model gave a less clear result. Its residual Moran’s I was borderline (p = 0.055 and 0.158), but the robust LM tests for both error and lag dependence were significant (p = 0.007 to 0.024). A straight line misfits the convex relationship between counts and green space (</w:t>
      </w:r>
      <w:hyperlink w:anchor="fig-green">
        <w:r>
          <w:rPr>
            <w:rStyle w:val="Hyperlink"/>
          </w:rPr>
          <w:t xml:space="preserve">Figure 12</w:t>
        </w:r>
      </w:hyperlink>
      <w:r>
        <w:t xml:space="preserve"> </w:t>
      </w:r>
      <w:r>
        <w:t xml:space="preserve">A), which leaves structure in its residuals, and all of these tests have low power with 30 sites. Consistent with the Poisson result, the variogram of residuals from a linear green-space trend is flat at their variance (2.31 cases</w:t>
      </w:r>
      <w:r>
        <w:rPr>
          <w:vertAlign w:val="superscript"/>
        </w:rPr>
        <w:t xml:space="preserve">2</w:t>
      </w:r>
      <w:r>
        <w:t xml:space="preserve">), whereas that of the raw counts rises with distance (</w:t>
      </w:r>
      <w:hyperlink w:anchor="fig-green">
        <w:r>
          <w:rPr>
            <w:rStyle w:val="Hyperlink"/>
          </w:rPr>
          <w:t xml:space="preserve">Figure 12</w:t>
        </w:r>
      </w:hyperlink>
      <w:r>
        <w:t xml:space="preserve"> </w:t>
      </w:r>
      <w:r>
        <w:t xml:space="preserve">B).</w:t>
      </w:r>
    </w:p>
    <w:p>
      <w:pPr>
        <w:pStyle w:val="BodyText"/>
      </w:pPr>
      <w:r>
        <w:t xml:space="preserve">Green space therefore accounts for most of the spatial clustering described by the kriging model, but some residual dependence cannot be excluded. The course heuristic recommends considering a spatial Durbin model when both robust tests are significant</w:t>
      </w:r>
      <w:r>
        <w:t xml:space="preserve"> </w:t>
      </w:r>
      <w:r>
        <w:t xml:space="preserve">(Dickens 2026a)</w:t>
      </w:r>
      <w:r>
        <w:t xml:space="preserve">, but these tests do not identify it uniquely; for counts at 30 sites, a spatial Poisson model is the more appropriate extension (</w:t>
      </w:r>
      <w:hyperlink w:anchor="sec-more-data">
        <w:r>
          <w:rPr>
            <w:rStyle w:val="Hyperlink"/>
          </w:rPr>
          <w:t xml:space="preserve">Section 8.3</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06" w:name="fig-green"/>
          <w:p>
            <w:pPr>
              <w:pStyle w:val="Compact"/>
              <w:jc w:val="center"/>
            </w:pPr>
            <w:r>
              <w:drawing>
                <wp:inline>
                  <wp:extent cx="5334000" cy="2133600"/>
                  <wp:effectExtent b="0" l="0" r="0" t="0"/>
                  <wp:docPr descr="" title="" id="104" name="Picture"/>
                  <a:graphic>
                    <a:graphicData uri="http://schemas.openxmlformats.org/drawingml/2006/picture">
                      <pic:pic>
                        <pic:nvPicPr>
                          <pic:cNvPr descr="outputs/figures/fig10_greenspace_association.png" id="105" name="Picture"/>
                          <pic:cNvPicPr>
                            <a:picLocks noChangeArrowheads="1" noChangeAspect="1"/>
                          </pic:cNvPicPr>
                        </pic:nvPicPr>
                        <pic:blipFill>
                          <a:blip r:embed="rId103"/>
                          <a:stretch>
                            <a:fillRect/>
                          </a:stretch>
                        </pic:blipFill>
                        <pic:spPr bwMode="auto">
                          <a:xfrm>
                            <a:off x="0" y="0"/>
                            <a:ext cx="5334000" cy="21336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12: (A) Case counts against green space, with the fitted Poisson curve and 95% confidence band (points slightly jittered vertically). (B) Empirical variograms of the counts and of the residuals from a linear green-space trend (3 km bins); dashed lines mark each series’ variance.</w:t>
            </w:r>
          </w:p>
          <w:bookmarkEnd w:id="106"/>
        </w:tc>
      </w:tr>
    </w:tbl>
    <w:bookmarkEnd w:id="107"/>
    <w:bookmarkEnd w:id="108"/>
    <w:bookmarkStart w:id="117" w:name="sec-outbreak"/>
    <w:p>
      <w:pPr>
        <w:pStyle w:val="Heading1"/>
      </w:pPr>
      <w:r>
        <w:t xml:space="preserve">7. Outbreak profiling and intervention targeting</w:t>
      </w:r>
    </w:p>
    <w:bookmarkStart w:id="110" w:name="sec-size"/>
    <w:p>
      <w:pPr>
        <w:pStyle w:val="Heading2"/>
      </w:pPr>
      <w:r>
        <w:t xml:space="preserve">7.1 Outbreak size</w:t>
      </w:r>
    </w:p>
    <w:p>
      <w:pPr>
        <w:pStyle w:val="FirstParagraph"/>
      </w:pPr>
      <w:r>
        <w:t xml:space="preserve">Under the assumption that each count reflects about 1 km</w:t>
      </w:r>
      <w:r>
        <w:rPr>
          <w:vertAlign w:val="superscript"/>
        </w:rPr>
        <w:t xml:space="preserve">2</w:t>
      </w:r>
      <w:r>
        <w:t xml:space="preserve"> </w:t>
      </w:r>
      <w:r>
        <w:t xml:space="preserve">around its site (</w:t>
      </w:r>
      <w:hyperlink w:anchor="tbl-outbreak">
        <w:r>
          <w:rPr>
            <w:rStyle w:val="Hyperlink"/>
          </w:rPr>
          <w:t xml:space="preserve">Table 12</w:t>
        </w:r>
      </w:hyperlink>
      <w:r>
        <w:t xml:space="preserve">), integrating the surface over the top-25% zone gives 143 cases, or 2.6 per km</w:t>
      </w:r>
      <w:r>
        <w:rPr>
          <w:vertAlign w:val="superscript"/>
        </w:rPr>
        <w:t xml:space="preserve">2</w:t>
      </w:r>
      <w:r>
        <w:t xml:space="preserve">. Block kriging of the same squares gives 143.0 cases against 143.5 from point predictions, so point and block estimates of this total are similar under the fitted model. If each count instead reflects the 6.4 km</w:t>
      </w:r>
      <w:r>
        <w:rPr>
          <w:vertAlign w:val="superscript"/>
        </w:rPr>
        <w:t xml:space="preserve">2</w:t>
      </w:r>
      <w:r>
        <w:t xml:space="preserve"> </w:t>
      </w:r>
      <w:r>
        <w:t xml:space="preserve">of sampled land per site (land inside the convex hull divided by 30), all densities fall by that factor, to 0.4 per km</w:t>
      </w:r>
      <w:r>
        <w:rPr>
          <w:vertAlign w:val="superscript"/>
        </w:rPr>
        <w:t xml:space="preserve">2</w:t>
      </w:r>
      <w:r>
        <w:t xml:space="preserve"> </w:t>
      </w:r>
      <w:r>
        <w:t xml:space="preserve">(23 cases). For comparison, the 10 sites inside the zone recorded 36 of the 56 cases (0.65 per km</w:t>
      </w:r>
      <w:r>
        <w:rPr>
          <w:vertAlign w:val="superscript"/>
        </w:rPr>
        <w:t xml:space="preserve">2</w:t>
      </w:r>
      <w:r>
        <w:t xml:space="preserve"> </w:t>
      </w:r>
      <w:r>
        <w:t xml:space="preserve">of zone).</w:t>
      </w:r>
    </w:p>
    <w:tbl>
      <w:tblPr>
        <w:tblStyle w:val="Table"/>
        <w:tblW w:type="pct" w:w="5000"/>
        <w:tblLayout w:type="fixed"/>
        <w:tblLook w:firstRow="0" w:lastRow="0" w:firstColumn="0" w:lastColumn="0" w:noHBand="0" w:noVBand="0" w:val="0000"/>
      </w:tblPr>
      <w:tblGrid>
        <w:gridCol w:w="7920"/>
      </w:tblGrid>
      <w:tr>
        <w:tc>
          <w:tcPr/>
          <w:bookmarkStart w:id="109" w:name="tbl-outbreak"/>
          <w:p>
            <w:pPr>
              <w:jc w:val="center"/>
            </w:pPr>
            <w:pPr>
              <w:jc w:val="start"/>
              <w:spacing w:before="200"/>
              <w:pStyle w:val="ImageCaption"/>
            </w:pPr>
            <w:r>
              <w:t xml:space="preserve">Table 12: Outbreak profile of the high-risk zones under two assumptions about the area each count represents.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jc w:val="center"/>
                  </w:pPr>
                  <w:r>
                    <w:t xml:space="preserve">Measure</w:t>
                  </w:r>
                </w:p>
              </w:tc>
              <w:tc>
                <w:tcPr/>
                <w:p>
                  <w:pPr>
                    <w:pStyle w:val="Compact"/>
                    <w:jc w:val="right"/>
                    <w:jc w:val="center"/>
                  </w:pPr>
                  <w:r>
                    <w:t xml:space="preserve">Top-25% zone</w:t>
                  </w:r>
                </w:p>
              </w:tc>
              <w:tc>
                <w:tcPr/>
                <w:p>
                  <w:pPr>
                    <w:pStyle w:val="Compact"/>
                    <w:jc w:val="right"/>
                    <w:jc w:val="center"/>
                  </w:pPr>
                  <w:r>
                    <w:t xml:space="preserve">Top-10% core</w:t>
                  </w:r>
                </w:p>
              </w:tc>
            </w:tr>
            <w:tr>
              <w:tc>
                <w:tcPr/>
                <w:p>
                  <w:pPr>
                    <w:pStyle w:val="Compact"/>
                    <w:jc w:val="left"/>
                    <w:jc w:val="center"/>
                  </w:pPr>
                  <w:r>
                    <w:t xml:space="preserve">Area (km²)</w:t>
                  </w:r>
                </w:p>
              </w:tc>
              <w:tc>
                <w:tcPr/>
                <w:p>
                  <w:pPr>
                    <w:pStyle w:val="Compact"/>
                    <w:jc w:val="right"/>
                    <w:jc w:val="center"/>
                  </w:pPr>
                  <w:r>
                    <w:t xml:space="preserve">55.7</w:t>
                  </w:r>
                </w:p>
              </w:tc>
              <w:tc>
                <w:tcPr/>
                <w:p>
                  <w:pPr>
                    <w:pStyle w:val="Compact"/>
                    <w:jc w:val="right"/>
                    <w:jc w:val="center"/>
                  </w:pPr>
                  <w:r>
                    <w:t xml:space="preserve">22.7</w:t>
                  </w:r>
                </w:p>
              </w:tc>
            </w:tr>
            <w:tr>
              <w:tc>
                <w:tcPr/>
                <w:p>
                  <w:pPr>
                    <w:pStyle w:val="Compact"/>
                    <w:jc w:val="left"/>
                    <w:jc w:val="center"/>
                  </w:pPr>
                  <w:r>
                    <w:t xml:space="preserve">1 km squares</w:t>
                  </w:r>
                </w:p>
              </w:tc>
              <w:tc>
                <w:tcPr/>
                <w:p>
                  <w:pPr>
                    <w:pStyle w:val="Compact"/>
                    <w:jc w:val="right"/>
                    <w:jc w:val="center"/>
                  </w:pPr>
                  <w:r>
                    <w:t xml:space="preserve">56</w:t>
                  </w:r>
                </w:p>
              </w:tc>
              <w:tc>
                <w:tcPr/>
                <w:p>
                  <w:pPr>
                    <w:pStyle w:val="Compact"/>
                    <w:jc w:val="right"/>
                    <w:jc w:val="center"/>
                  </w:pPr>
                  <w:r>
                    <w:t xml:space="preserve">23</w:t>
                  </w:r>
                </w:p>
              </w:tc>
            </w:tr>
            <w:tr>
              <w:tc>
                <w:tcPr/>
                <w:p>
                  <w:pPr>
                    <w:pStyle w:val="Compact"/>
                    <w:jc w:val="left"/>
                    <w:jc w:val="center"/>
                  </w:pPr>
                  <w:r>
                    <w:t xml:space="preserve">Mean predicted value</w:t>
                  </w:r>
                </w:p>
              </w:tc>
              <w:tc>
                <w:tcPr/>
                <w:p>
                  <w:pPr>
                    <w:pStyle w:val="Compact"/>
                    <w:jc w:val="right"/>
                    <w:jc w:val="center"/>
                  </w:pPr>
                  <w:r>
                    <w:t xml:space="preserve">2.58</w:t>
                  </w:r>
                </w:p>
              </w:tc>
              <w:tc>
                <w:tcPr/>
                <w:p>
                  <w:pPr>
                    <w:pStyle w:val="Compact"/>
                    <w:jc w:val="right"/>
                    <w:jc w:val="center"/>
                  </w:pPr>
                  <w:r>
                    <w:t xml:space="preserve">3.18</w:t>
                  </w:r>
                </w:p>
              </w:tc>
            </w:tr>
            <w:tr>
              <w:tc>
                <w:tcPr/>
                <w:p>
                  <w:pPr>
                    <w:pStyle w:val="Compact"/>
                    <w:jc w:val="left"/>
                    <w:jc w:val="center"/>
                  </w:pPr>
                  <w:r>
                    <w:t xml:space="preserve">Estimated cases, 1 km² catchment</w:t>
                  </w:r>
                </w:p>
              </w:tc>
              <w:tc>
                <w:tcPr/>
                <w:p>
                  <w:pPr>
                    <w:pStyle w:val="Compact"/>
                    <w:jc w:val="right"/>
                    <w:jc w:val="center"/>
                  </w:pPr>
                  <w:r>
                    <w:t xml:space="preserve">143</w:t>
                  </w:r>
                </w:p>
              </w:tc>
              <w:tc>
                <w:tcPr/>
                <w:p>
                  <w:pPr>
                    <w:pStyle w:val="Compact"/>
                    <w:jc w:val="right"/>
                    <w:jc w:val="center"/>
                  </w:pPr>
                  <w:r>
                    <w:t xml:space="preserve">72</w:t>
                  </w:r>
                </w:p>
              </w:tc>
            </w:tr>
            <w:tr>
              <w:tc>
                <w:tcPr/>
                <w:p>
                  <w:pPr>
                    <w:pStyle w:val="Compact"/>
                    <w:jc w:val="left"/>
                    <w:jc w:val="center"/>
                  </w:pPr>
                  <w:r>
                    <w:t xml:space="preserve">Estimated per km², 1 km² catchment</w:t>
                  </w:r>
                </w:p>
              </w:tc>
              <w:tc>
                <w:tcPr/>
                <w:p>
                  <w:pPr>
                    <w:pStyle w:val="Compact"/>
                    <w:jc w:val="right"/>
                    <w:jc w:val="center"/>
                  </w:pPr>
                  <w:r>
                    <w:t xml:space="preserve">2.57</w:t>
                  </w:r>
                </w:p>
              </w:tc>
              <w:tc>
                <w:tcPr/>
                <w:p>
                  <w:pPr>
                    <w:pStyle w:val="Compact"/>
                    <w:jc w:val="right"/>
                    <w:jc w:val="center"/>
                  </w:pPr>
                  <w:r>
                    <w:t xml:space="preserve">3.18</w:t>
                  </w:r>
                </w:p>
              </w:tc>
            </w:tr>
            <w:tr>
              <w:tc>
                <w:tcPr/>
                <w:p>
                  <w:pPr>
                    <w:pStyle w:val="Compact"/>
                    <w:jc w:val="left"/>
                    <w:jc w:val="center"/>
                  </w:pPr>
                  <w:r>
                    <w:t xml:space="preserve">Estimated cases, 6.4 km² catchment</w:t>
                  </w:r>
                </w:p>
              </w:tc>
              <w:tc>
                <w:tcPr/>
                <w:p>
                  <w:pPr>
                    <w:pStyle w:val="Compact"/>
                    <w:jc w:val="right"/>
                    <w:jc w:val="center"/>
                  </w:pPr>
                  <w:r>
                    <w:t xml:space="preserve">23</w:t>
                  </w:r>
                </w:p>
              </w:tc>
              <w:tc>
                <w:tcPr/>
                <w:p>
                  <w:pPr>
                    <w:pStyle w:val="Compact"/>
                    <w:jc w:val="right"/>
                    <w:jc w:val="center"/>
                  </w:pPr>
                  <w:r>
                    <w:t xml:space="preserve">11</w:t>
                  </w:r>
                </w:p>
              </w:tc>
            </w:tr>
            <w:tr>
              <w:tc>
                <w:tcPr/>
                <w:p>
                  <w:pPr>
                    <w:pStyle w:val="Compact"/>
                    <w:jc w:val="left"/>
                    <w:jc w:val="center"/>
                  </w:pPr>
                  <w:r>
                    <w:t xml:space="preserve">Estimated per km², 6.4 km² catchment</w:t>
                  </w:r>
                </w:p>
              </w:tc>
              <w:tc>
                <w:tcPr/>
                <w:p>
                  <w:pPr>
                    <w:pStyle w:val="Compact"/>
                    <w:jc w:val="right"/>
                    <w:jc w:val="center"/>
                  </w:pPr>
                  <w:r>
                    <w:t xml:space="preserve">0.40</w:t>
                  </w:r>
                </w:p>
              </w:tc>
              <w:tc>
                <w:tcPr/>
                <w:p>
                  <w:pPr>
                    <w:pStyle w:val="Compact"/>
                    <w:jc w:val="right"/>
                    <w:jc w:val="center"/>
                  </w:pPr>
                  <w:r>
                    <w:t xml:space="preserve">0.50</w:t>
                  </w:r>
                </w:p>
              </w:tc>
            </w:tr>
            <w:tr>
              <w:tc>
                <w:tcPr/>
                <w:p>
                  <w:pPr>
                    <w:pStyle w:val="Compact"/>
                    <w:jc w:val="left"/>
                    <w:jc w:val="center"/>
                  </w:pPr>
                  <w:r>
                    <w:t xml:space="preserve">Intensity relative to lower 75%</w:t>
                  </w:r>
                </w:p>
              </w:tc>
              <w:tc>
                <w:tcPr/>
                <w:p>
                  <w:pPr>
                    <w:pStyle w:val="Compact"/>
                    <w:jc w:val="right"/>
                    <w:jc w:val="center"/>
                  </w:pPr>
                  <w:r>
                    <w:t xml:space="preserve">1.9</w:t>
                  </w:r>
                </w:p>
              </w:tc>
              <w:tc>
                <w:tcPr/>
                <w:p>
                  <w:pPr>
                    <w:pStyle w:val="Compact"/>
                    <w:jc w:val="right"/>
                    <w:jc w:val="center"/>
                  </w:pPr>
                  <w:r>
                    <w:t xml:space="preserve">2.4</w:t>
                  </w:r>
                </w:p>
              </w:tc>
            </w:tr>
            <w:tr>
              <w:tc>
                <w:tcPr/>
                <w:p>
                  <w:pPr>
                    <w:pStyle w:val="Compact"/>
                    <w:jc w:val="left"/>
                    <w:jc w:val="center"/>
                  </w:pPr>
                  <w:r>
                    <w:t xml:space="preserve">Sampled sites inside</w:t>
                  </w:r>
                </w:p>
              </w:tc>
              <w:tc>
                <w:tcPr/>
                <w:p>
                  <w:pPr>
                    <w:pStyle w:val="Compact"/>
                    <w:jc w:val="right"/>
                    <w:jc w:val="center"/>
                  </w:pPr>
                  <w:r>
                    <w:t xml:space="preserve">10</w:t>
                  </w:r>
                </w:p>
              </w:tc>
              <w:tc>
                <w:tcPr/>
                <w:p>
                  <w:pPr>
                    <w:pStyle w:val="Compact"/>
                    <w:jc w:val="right"/>
                    <w:jc w:val="center"/>
                  </w:pPr>
                  <w:r>
                    <w:t xml:space="preserve">7</w:t>
                  </w:r>
                </w:p>
              </w:tc>
            </w:tr>
            <w:tr>
              <w:tc>
                <w:tcPr/>
                <w:p>
                  <w:pPr>
                    <w:pStyle w:val="Compact"/>
                    <w:jc w:val="left"/>
                    <w:jc w:val="center"/>
                  </w:pPr>
                  <w:r>
                    <w:t xml:space="preserve">Recorded cases</w:t>
                  </w:r>
                </w:p>
              </w:tc>
              <w:tc>
                <w:tcPr/>
                <w:p>
                  <w:pPr>
                    <w:pStyle w:val="Compact"/>
                    <w:jc w:val="right"/>
                    <w:jc w:val="center"/>
                  </w:pPr>
                  <w:r>
                    <w:t xml:space="preserve">36</w:t>
                  </w:r>
                </w:p>
              </w:tc>
              <w:tc>
                <w:tcPr/>
                <w:p>
                  <w:pPr>
                    <w:pStyle w:val="Compact"/>
                    <w:jc w:val="right"/>
                    <w:jc w:val="center"/>
                  </w:pPr>
                  <w:r>
                    <w:t xml:space="preserve">28</w:t>
                  </w:r>
                </w:p>
              </w:tc>
            </w:tr>
            <w:tr>
              <w:tc>
                <w:tcPr/>
                <w:p>
                  <w:pPr>
                    <w:pStyle w:val="Compact"/>
                    <w:jc w:val="left"/>
                    <w:jc w:val="center"/>
                  </w:pPr>
                  <w:r>
                    <w:t xml:space="preserve">Recorded cases per km²</w:t>
                  </w:r>
                </w:p>
              </w:tc>
              <w:tc>
                <w:tcPr/>
                <w:p>
                  <w:pPr>
                    <w:pStyle w:val="Compact"/>
                    <w:jc w:val="right"/>
                    <w:jc w:val="center"/>
                  </w:pPr>
                  <w:r>
                    <w:t xml:space="preserve">0.65</w:t>
                  </w:r>
                </w:p>
              </w:tc>
              <w:tc>
                <w:tcPr/>
                <w:p>
                  <w:pPr>
                    <w:pStyle w:val="Compact"/>
                    <w:jc w:val="right"/>
                    <w:jc w:val="center"/>
                  </w:pPr>
                  <w:r>
                    <w:t xml:space="preserve">1.23</w:t>
                  </w:r>
                </w:p>
              </w:tc>
            </w:tr>
          </w:tbl>
          <w:bookmarkEnd w:id="109"/>
          <w:p/>
        </w:tc>
      </w:tr>
    </w:tbl>
    <w:p>
      <w:pPr>
        <w:pStyle w:val="BodyText"/>
      </w:pPr>
      <w:r>
        <w:t xml:space="preserve">The zone’s predicted intensity is 1.9 times the area-weighted mean of the lower 75% of the sampled area and the core’s is 2.4 times; the core covers 22.7 km</w:t>
      </w:r>
      <w:r>
        <w:rPr>
          <w:vertAlign w:val="superscript"/>
        </w:rPr>
        <w:t xml:space="preserve">2</w:t>
      </w:r>
      <w:r>
        <w:t xml:space="preserve"> </w:t>
      </w:r>
      <w:r>
        <w:t xml:space="preserve">and contains 7 sites with 28 recorded cases.</w:t>
      </w:r>
    </w:p>
    <w:bookmarkEnd w:id="110"/>
    <w:bookmarkStart w:id="116" w:name="two-temporary-intervention-centers"/>
    <w:p>
      <w:pPr>
        <w:pStyle w:val="Heading2"/>
      </w:pPr>
      <w:r>
        <w:t xml:space="preserve">7.2 Two temporary intervention centers</w:t>
      </w:r>
    </w:p>
    <w:p>
      <w:pPr>
        <w:pStyle w:val="FirstParagraph"/>
      </w:pPr>
      <w:r>
        <w:t xml:space="preserve">The 2024 club dataset flags five clubs near the zone as under construction or pending upgrading or relocation (Braddell Heights, Paya Lebar Kovan, Toa Payoh Central, Mountbatten and Bidadari), but the current official directory lists all of them as operating</w:t>
      </w:r>
      <w:r>
        <w:t xml:space="preserve"> </w:t>
      </w:r>
      <w:r>
        <w:t xml:space="preserve">(People’s Association 2026)</w:t>
      </w:r>
      <w:r>
        <w:t xml:space="preserve">, so the flags were disregarded. After removing one superseded address and venues that are not community clubs, 116 clubs remained, of which 32 lay within 500 m of an MRT exit and within 1 km of the top-25% zone, giving 496 candidate pairs.</w:t>
      </w:r>
    </w:p>
    <w:tbl>
      <w:tblPr>
        <w:tblStyle w:val="Table"/>
        <w:tblW w:type="pct" w:w="5000"/>
        <w:tblLayout w:type="fixed"/>
        <w:tblLook w:firstRow="0" w:lastRow="0" w:firstColumn="0" w:lastColumn="0" w:noHBand="0" w:noVBand="0" w:val="0000"/>
      </w:tblPr>
      <w:tblGrid>
        <w:gridCol w:w="7920"/>
      </w:tblGrid>
      <w:tr>
        <w:tc>
          <w:tcPr/>
          <w:bookmarkStart w:id="114" w:name="fig-centers"/>
          <w:p>
            <w:pPr>
              <w:pStyle w:val="Compact"/>
              <w:jc w:val="center"/>
            </w:pPr>
            <w:r>
              <w:drawing>
                <wp:inline>
                  <wp:extent cx="4373880" cy="3061716"/>
                  <wp:effectExtent b="0" l="0" r="0" t="0"/>
                  <wp:docPr descr="" title="" id="112" name="Picture"/>
                  <a:graphic>
                    <a:graphicData uri="http://schemas.openxmlformats.org/drawingml/2006/picture">
                      <pic:pic>
                        <pic:nvPicPr>
                          <pic:cNvPr descr="outputs/figures/fig12_intervention_centers.png" id="113" name="Picture"/>
                          <pic:cNvPicPr>
                            <a:picLocks noChangeArrowheads="1" noChangeAspect="1"/>
                          </pic:cNvPicPr>
                        </pic:nvPicPr>
                        <pic:blipFill>
                          <a:blip r:embed="rId111"/>
                          <a:stretch>
                            <a:fillRect/>
                          </a:stretch>
                        </pic:blipFill>
                        <pic:spPr bwMode="auto">
                          <a:xfrm>
                            <a:off x="0" y="0"/>
                            <a:ext cx="4373880" cy="3061716"/>
                          </a:xfrm>
                          <a:prstGeom prst="rect">
                            <a:avLst/>
                          </a:prstGeom>
                          <a:noFill/>
                          <a:ln w="9525">
                            <a:noFill/>
                            <a:headEnd/>
                            <a:tailEnd/>
                          </a:ln>
                        </pic:spPr>
                      </pic:pic>
                    </a:graphicData>
                  </a:graphic>
                </wp:inline>
              </w:drawing>
            </w:r>
          </w:p>
          <w:p>
            <w:pPr>
              <w:jc w:val="center"/>
            </w:pPr>
            <w:pPr>
              <w:jc w:val="start"/>
              <w:spacing w:before="200"/>
              <w:pStyle w:val="ImageCaption"/>
            </w:pPr>
            <w:r>
              <w:t xml:space="preserve">Figure 13: Proposed intervention centers (blue diamonds) with 2 km rings, shortlisted community clubs (triangles), MRT exits (gray points) and the high-risk zone.</w:t>
            </w:r>
          </w:p>
          <w:bookmarkEnd w:id="114"/>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15" w:name="tbl-centers"/>
          <w:p>
            <w:pPr>
              <w:jc w:val="center"/>
            </w:pPr>
            <w:pPr>
              <w:jc w:val="start"/>
              <w:spacing w:before="200"/>
              <w:pStyle w:val="ImageCaption"/>
            </w:pPr>
            <w:r>
              <w:t xml:space="preserve">Table 13: Proposed temporary intervention centers.</w:t>
            </w:r>
          </w:p>
          <w:tbl>
            <w:tblPr>
              <w:tblStyle w:val="Table"/>
              <w:tblW w:type="pct" w:w="5000"/>
              <w:tblLayout w:type="fixed"/>
              <w:tblLook w:firstRow="1" w:lastRow="0" w:firstColumn="0" w:lastColumn="0" w:noHBand="0" w:noVBand="0" w:val="0020"/>
            </w:tblPr>
            <w:tblGrid>
              <w:gridCol w:w="2640"/>
              <w:gridCol w:w="2944"/>
              <w:gridCol w:w="2335"/>
            </w:tblGrid>
            <w:tr>
              <w:trPr>
                <w:tblHeader w:val="on"/>
              </w:trPr>
              <w:tc>
                <w:tcPr/>
                <w:p>
                  <w:pPr>
                    <w:pStyle w:val="Compact"/>
                  </w:pPr>
                </w:p>
              </w:tc>
              <w:tc>
                <w:tcPr/>
                <w:p>
                  <w:pPr>
                    <w:pStyle w:val="Compact"/>
                    <w:jc w:val="left"/>
                    <w:jc w:val="center"/>
                  </w:pPr>
                  <w:r>
                    <w:t xml:space="preserve">Braddell Heights CC</w:t>
                  </w:r>
                </w:p>
              </w:tc>
              <w:tc>
                <w:tcPr/>
                <w:p>
                  <w:pPr>
                    <w:pStyle w:val="Compact"/>
                    <w:jc w:val="left"/>
                    <w:jc w:val="center"/>
                  </w:pPr>
                  <w:r>
                    <w:t xml:space="preserve">Kampong Glam CC</w:t>
                  </w:r>
                </w:p>
              </w:tc>
            </w:tr>
            <w:tr>
              <w:tc>
                <w:tcPr/>
                <w:p>
                  <w:pPr>
                    <w:pStyle w:val="Compact"/>
                    <w:jc w:val="left"/>
                    <w:jc w:val="center"/>
                  </w:pPr>
                  <w:r>
                    <w:t xml:space="preserve">Address</w:t>
                  </w:r>
                </w:p>
              </w:tc>
              <w:tc>
                <w:tcPr/>
                <w:p>
                  <w:pPr>
                    <w:pStyle w:val="Compact"/>
                    <w:jc w:val="left"/>
                    <w:jc w:val="center"/>
                  </w:pPr>
                  <w:r>
                    <w:t xml:space="preserve">50 Serangoon Avenue 2 556129</w:t>
                  </w:r>
                </w:p>
              </w:tc>
              <w:tc>
                <w:tcPr/>
                <w:p>
                  <w:pPr>
                    <w:pStyle w:val="Compact"/>
                    <w:jc w:val="left"/>
                    <w:jc w:val="center"/>
                  </w:pPr>
                  <w:r>
                    <w:t xml:space="preserve">385 Beach Road 199581</w:t>
                  </w:r>
                </w:p>
              </w:tc>
            </w:tr>
            <w:tr>
              <w:tc>
                <w:tcPr/>
                <w:p>
                  <w:pPr>
                    <w:pStyle w:val="Compact"/>
                    <w:jc w:val="left"/>
                    <w:jc w:val="center"/>
                  </w:pPr>
                  <w:r>
                    <w:t xml:space="preserve">Planning area</w:t>
                  </w:r>
                </w:p>
              </w:tc>
              <w:tc>
                <w:tcPr/>
                <w:p>
                  <w:pPr>
                    <w:pStyle w:val="Compact"/>
                    <w:jc w:val="left"/>
                    <w:jc w:val="center"/>
                  </w:pPr>
                  <w:r>
                    <w:t xml:space="preserve">Serangoon</w:t>
                  </w:r>
                </w:p>
              </w:tc>
              <w:tc>
                <w:tcPr/>
                <w:p>
                  <w:pPr>
                    <w:pStyle w:val="Compact"/>
                    <w:jc w:val="left"/>
                    <w:jc w:val="center"/>
                  </w:pPr>
                  <w:r>
                    <w:t xml:space="preserve">Kallang</w:t>
                  </w:r>
                </w:p>
              </w:tc>
            </w:tr>
            <w:tr>
              <w:tc>
                <w:tcPr/>
                <w:p>
                  <w:pPr>
                    <w:pStyle w:val="Compact"/>
                    <w:jc w:val="left"/>
                    <w:jc w:val="center"/>
                  </w:pPr>
                  <w:r>
                    <w:t xml:space="preserve">Nearest MRT exit</w:t>
                  </w:r>
                </w:p>
              </w:tc>
              <w:tc>
                <w:tcPr/>
                <w:p>
                  <w:pPr>
                    <w:pStyle w:val="Compact"/>
                    <w:jc w:val="left"/>
                    <w:jc w:val="center"/>
                  </w:pPr>
                  <w:r>
                    <w:t xml:space="preserve">Serangoon, Exit F</w:t>
                  </w:r>
                </w:p>
              </w:tc>
              <w:tc>
                <w:tcPr/>
                <w:p>
                  <w:pPr>
                    <w:pStyle w:val="Compact"/>
                    <w:jc w:val="left"/>
                    <w:jc w:val="center"/>
                  </w:pPr>
                  <w:r>
                    <w:t xml:space="preserve">Nicoll Highway, Exit A</w:t>
                  </w:r>
                </w:p>
              </w:tc>
            </w:tr>
            <w:tr>
              <w:tc>
                <w:tcPr/>
                <w:p>
                  <w:pPr>
                    <w:pStyle w:val="Compact"/>
                    <w:jc w:val="left"/>
                    <w:jc w:val="center"/>
                  </w:pPr>
                  <w:r>
                    <w:t xml:space="preserve">Distance to exit (m)</w:t>
                  </w:r>
                </w:p>
              </w:tc>
              <w:tc>
                <w:tcPr/>
                <w:p>
                  <w:pPr>
                    <w:pStyle w:val="Compact"/>
                    <w:jc w:val="left"/>
                    <w:jc w:val="center"/>
                  </w:pPr>
                  <w:r>
                    <w:t xml:space="preserve">141</w:t>
                  </w:r>
                </w:p>
              </w:tc>
              <w:tc>
                <w:tcPr/>
                <w:p>
                  <w:pPr>
                    <w:pStyle w:val="Compact"/>
                    <w:jc w:val="left"/>
                    <w:jc w:val="center"/>
                  </w:pPr>
                  <w:r>
                    <w:t xml:space="preserve">290</w:t>
                  </w:r>
                </w:p>
              </w:tc>
            </w:tr>
            <w:tr>
              <w:tc>
                <w:tcPr/>
                <w:p>
                  <w:pPr>
                    <w:pStyle w:val="Compact"/>
                    <w:jc w:val="left"/>
                    <w:jc w:val="center"/>
                  </w:pPr>
                  <w:r>
                    <w:t xml:space="preserve">High-risk squares served</w:t>
                  </w:r>
                </w:p>
              </w:tc>
              <w:tc>
                <w:tcPr/>
                <w:p>
                  <w:pPr>
                    <w:pStyle w:val="Compact"/>
                    <w:jc w:val="left"/>
                    <w:jc w:val="center"/>
                  </w:pPr>
                  <w:r>
                    <w:t xml:space="preserve">23</w:t>
                  </w:r>
                </w:p>
              </w:tc>
              <w:tc>
                <w:tcPr/>
                <w:p>
                  <w:pPr>
                    <w:pStyle w:val="Compact"/>
                    <w:jc w:val="left"/>
                    <w:jc w:val="center"/>
                  </w:pPr>
                  <w:r>
                    <w:t xml:space="preserve">33</w:t>
                  </w:r>
                </w:p>
              </w:tc>
            </w:tr>
            <w:tr>
              <w:tc>
                <w:tcPr/>
                <w:p>
                  <w:pPr>
                    <w:pStyle w:val="Compact"/>
                    <w:jc w:val="left"/>
                    <w:jc w:val="center"/>
                  </w:pPr>
                  <w:r>
                    <w:t xml:space="preserve">Estimated cases served</w:t>
                  </w:r>
                </w:p>
              </w:tc>
              <w:tc>
                <w:tcPr/>
                <w:p>
                  <w:pPr>
                    <w:pStyle w:val="Compact"/>
                    <w:jc w:val="left"/>
                    <w:jc w:val="center"/>
                  </w:pPr>
                  <w:r>
                    <w:t xml:space="preserve">49</w:t>
                  </w:r>
                </w:p>
              </w:tc>
              <w:tc>
                <w:tcPr/>
                <w:p>
                  <w:pPr>
                    <w:pStyle w:val="Compact"/>
                    <w:jc w:val="left"/>
                    <w:jc w:val="center"/>
                  </w:pPr>
                  <w:r>
                    <w:t xml:space="preserve">95</w:t>
                  </w:r>
                </w:p>
              </w:tc>
            </w:tr>
            <w:tr>
              <w:tc>
                <w:tcPr/>
                <w:p>
                  <w:pPr>
                    <w:pStyle w:val="Compact"/>
                    <w:jc w:val="left"/>
                    <w:jc w:val="center"/>
                  </w:pPr>
                  <w:r>
                    <w:t xml:space="preserve">Mean distance served (km)</w:t>
                  </w:r>
                </w:p>
              </w:tc>
              <w:tc>
                <w:tcPr/>
                <w:p>
                  <w:pPr>
                    <w:pStyle w:val="Compact"/>
                    <w:jc w:val="left"/>
                    <w:jc w:val="center"/>
                  </w:pPr>
                  <w:r>
                    <w:t xml:space="preserve">2.15</w:t>
                  </w:r>
                </w:p>
              </w:tc>
              <w:tc>
                <w:tcPr/>
                <w:p>
                  <w:pPr>
                    <w:pStyle w:val="Compact"/>
                    <w:jc w:val="left"/>
                    <w:jc w:val="center"/>
                  </w:pPr>
                  <w:r>
                    <w:t xml:space="preserve">2.13</w:t>
                  </w:r>
                </w:p>
              </w:tc>
            </w:tr>
          </w:tbl>
          <w:bookmarkEnd w:id="115"/>
          <w:p/>
        </w:tc>
      </w:tr>
    </w:tbl>
    <w:p>
      <w:pPr>
        <w:pStyle w:val="BodyText"/>
      </w:pPr>
      <w:r>
        <w:t xml:space="preserve">Braddell Heights Community Club (50 Serangoon Avenue 2) lies in the northern part of the zone, 141 m from Exit F of Serangoon MRT station, an interchange of the North East and Circle lines next to Serangoon bus interchange. It is the nearer center for 23 squares holding about 49 estimated cases in the Serangoon, Hougang and Toa Payoh estates. Kampong Glam Community Club (385 Beach Road) lies inside the top-10% core, 290 m from Exit A of Nicoll Highway MRT station. It is the nearer center for 33 squares holding about 95 estimated cases, between the city center, Kampong Glam and Kallang, and is within reach of the daytime workforce around Marina Bay. The official directory, checked on 7 and 8 October 2026, lists both clubs at these addresses as wheelchair accessible</w:t>
      </w:r>
      <w:r>
        <w:t xml:space="preserve"> </w:t>
      </w:r>
      <w:r>
        <w:t xml:space="preserve">(People’s Association 2026)</w:t>
      </w:r>
      <w:r>
        <w:t xml:space="preserve">.</w:t>
      </w:r>
    </w:p>
    <w:p>
      <w:pPr>
        <w:pStyle w:val="BodyText"/>
      </w:pPr>
      <w:r>
        <w:t xml:space="preserve">The case-weighted mean distance to the nearer center is 2.14 km; 40% of the zone’s estimated cases lie within 2 km of a center, and the farthest square is 4.4 km away (</w:t>
      </w:r>
      <w:hyperlink w:anchor="fig-centers">
        <w:r>
          <w:rPr>
            <w:rStyle w:val="Hyperlink"/>
          </w:rPr>
          <w:t xml:space="preserve">Figure 13</w:t>
        </w:r>
      </w:hyperlink>
      <w:r>
        <w:t xml:space="preserve">). The same pair was selected under every alternative variogram model and without site 25 (</w:t>
      </w:r>
      <w:hyperlink w:anchor="tbl-sensitivity">
        <w:r>
          <w:rPr>
            <w:rStyle w:val="Hyperlink"/>
          </w:rPr>
          <w:t xml:space="preserve">Table 14</w:t>
        </w:r>
      </w:hyperlink>
      <w:r>
        <w:t xml:space="preserve">). The objective is flat near its minimum, however: replacing Kampong Glam with Jalan Besar CC adds 51 m to the mean distance, and replacing Braddell Heights with Paya Lebar Kovan CC adds 82 m. Either is a reasonable substitute if a proposed venue is unavailable.</w:t>
      </w:r>
    </w:p>
    <w:bookmarkEnd w:id="116"/>
    <w:bookmarkEnd w:id="117"/>
    <w:bookmarkStart w:id="123" w:name="sec-discussion"/>
    <w:p>
      <w:pPr>
        <w:pStyle w:val="Heading1"/>
      </w:pPr>
      <w:r>
        <w:t xml:space="preserve">8. Interpretation and limitations</w:t>
      </w:r>
    </w:p>
    <w:bookmarkStart w:id="119" w:name="sec-limits"/>
    <w:p>
      <w:pPr>
        <w:pStyle w:val="Heading2"/>
      </w:pPr>
      <w:r>
        <w:t xml:space="preserve">8.1 Strengths and limitations of kriging with 30 sites</w:t>
      </w:r>
    </w:p>
    <w:p>
      <w:pPr>
        <w:pStyle w:val="FirstParagraph"/>
      </w:pPr>
      <w:r>
        <w:t xml:space="preserve">Kriging derives its weights from the spatial correlation of the data rather than from an arbitrary inverse-distance power, shares weight among clustered sites (such as the four around Marina Bay) instead of counting each in full, and provides a prediction variance that separates supported predictions from extrapolations. Here it reduced cross-validated error by 20% relative to the mean-only model, with z-score SDs near one in every sensitivity scenario ( 0.95 to 1.04). The top-25% zone was largely stable across alternative variograms (Jaccard overlap 0.84 or more), and the same centers were chosen each time (</w:t>
      </w:r>
      <w:hyperlink w:anchor="tbl-sensitivity">
        <w:r>
          <w:rPr>
            <w:rStyle w:val="Hyperlink"/>
          </w:rPr>
          <w:t xml:space="preserve">Table 14</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18" w:name="tbl-sensitivity"/>
          <w:p>
            <w:pPr>
              <w:jc w:val="center"/>
            </w:pPr>
            <w:pPr>
              <w:jc w:val="start"/>
              <w:spacing w:before="200"/>
              <w:pStyle w:val="ImageCaption"/>
            </w:pPr>
            <w:r>
              <w:t xml:space="preserve">Table 14: Sensitivity of the results to the variogram and data choices. Range: practical range (km). Overlap: Jaccard index between each scenario’s top-25% squares and those of the selected model. Same centers: whether the p-median again chose Braddell Heights CC and Kampong Glam CC.</w:t>
            </w:r>
          </w:p>
          <w:tbl>
            <w:tblPr>
              <w:tblStyle w:val="Table"/>
              <w:tblW w:type="pct" w:w="5000"/>
              <w:tblLayout w:type="fixed"/>
              <w:tblLook w:firstRow="1" w:lastRow="0" w:firstColumn="0" w:lastColumn="0" w:noHBand="0" w:noVBand="0" w:val="0020"/>
            </w:tblPr>
            <w:tblGrid>
              <w:gridCol w:w="2605"/>
              <w:gridCol w:w="729"/>
              <w:gridCol w:w="625"/>
              <w:gridCol w:w="625"/>
              <w:gridCol w:w="625"/>
              <w:gridCol w:w="521"/>
              <w:gridCol w:w="833"/>
              <w:gridCol w:w="1354"/>
            </w:tblGrid>
            <w:tr>
              <w:trPr>
                <w:tblHeader w:val="on"/>
              </w:trPr>
              <w:tc>
                <w:tcPr/>
                <w:p>
                  <w:pPr>
                    <w:pStyle w:val="Compact"/>
                    <w:jc w:val="left"/>
                    <w:jc w:val="center"/>
                  </w:pPr>
                  <w:r>
                    <w:t xml:space="preserve">Scenario</w:t>
                  </w:r>
                </w:p>
              </w:tc>
              <w:tc>
                <w:tcPr/>
                <w:p>
                  <w:pPr>
                    <w:pStyle w:val="Compact"/>
                    <w:jc w:val="right"/>
                    <w:jc w:val="center"/>
                  </w:pPr>
                  <w:r>
                    <w:t xml:space="preserve">Nugget</w:t>
                  </w:r>
                </w:p>
              </w:tc>
              <w:tc>
                <w:tcPr/>
                <w:p>
                  <w:pPr>
                    <w:pStyle w:val="Compact"/>
                    <w:jc w:val="right"/>
                    <w:jc w:val="center"/>
                  </w:pPr>
                  <w:r>
                    <w:t xml:space="preserve">Psill</w:t>
                  </w:r>
                </w:p>
              </w:tc>
              <w:tc>
                <w:tcPr/>
                <w:p>
                  <w:pPr>
                    <w:pStyle w:val="Compact"/>
                    <w:jc w:val="right"/>
                    <w:jc w:val="center"/>
                  </w:pPr>
                  <w:r>
                    <w:t xml:space="preserve">Range</w:t>
                  </w:r>
                </w:p>
              </w:tc>
              <w:tc>
                <w:tcPr/>
                <w:p>
                  <w:pPr>
                    <w:pStyle w:val="Compact"/>
                    <w:jc w:val="right"/>
                    <w:jc w:val="center"/>
                  </w:pPr>
                  <w:r>
                    <w:t xml:space="preserve">RMSE</w:t>
                  </w:r>
                </w:p>
              </w:tc>
              <w:tc>
                <w:tcPr/>
                <w:p>
                  <w:pPr>
                    <w:pStyle w:val="Compact"/>
                    <w:jc w:val="right"/>
                    <w:jc w:val="center"/>
                  </w:pPr>
                  <w:r>
                    <w:t xml:space="preserve">z SD</w:t>
                  </w:r>
                </w:p>
              </w:tc>
              <w:tc>
                <w:tcPr/>
                <w:p>
                  <w:pPr>
                    <w:pStyle w:val="Compact"/>
                    <w:jc w:val="right"/>
                    <w:jc w:val="center"/>
                  </w:pPr>
                  <w:r>
                    <w:t xml:space="preserve">Overlap</w:t>
                  </w:r>
                </w:p>
              </w:tc>
              <w:tc>
                <w:tcPr/>
                <w:p>
                  <w:pPr>
                    <w:pStyle w:val="Compact"/>
                    <w:jc w:val="left"/>
                    <w:jc w:val="center"/>
                  </w:pPr>
                  <w:r>
                    <w:t xml:space="preserve">Same centers</w:t>
                  </w:r>
                </w:p>
              </w:tc>
            </w:tr>
            <w:tr>
              <w:tc>
                <w:tcPr/>
                <w:p>
                  <w:pPr>
                    <w:pStyle w:val="Compact"/>
                    <w:jc w:val="left"/>
                    <w:jc w:val="center"/>
                  </w:pPr>
                  <w:r>
                    <w:t xml:space="preserve">Spherical (selected)</w:t>
                  </w:r>
                </w:p>
              </w:tc>
              <w:tc>
                <w:tcPr/>
                <w:p>
                  <w:pPr>
                    <w:pStyle w:val="Compact"/>
                    <w:jc w:val="right"/>
                    <w:jc w:val="center"/>
                  </w:pPr>
                  <w:r>
                    <w:t xml:space="preserve">1.47</w:t>
                  </w:r>
                </w:p>
              </w:tc>
              <w:tc>
                <w:tcPr/>
                <w:p>
                  <w:pPr>
                    <w:pStyle w:val="Compact"/>
                    <w:jc w:val="right"/>
                    <w:jc w:val="center"/>
                  </w:pPr>
                  <w:r>
                    <w:t xml:space="preserve">1.09</w:t>
                  </w:r>
                </w:p>
              </w:tc>
              <w:tc>
                <w:tcPr/>
                <w:p>
                  <w:pPr>
                    <w:pStyle w:val="Compact"/>
                    <w:jc w:val="right"/>
                    <w:jc w:val="center"/>
                  </w:pPr>
                  <w:r>
                    <w:t xml:space="preserve">7.1</w:t>
                  </w:r>
                </w:p>
              </w:tc>
              <w:tc>
                <w:tcPr/>
                <w:p>
                  <w:pPr>
                    <w:pStyle w:val="Compact"/>
                    <w:jc w:val="right"/>
                    <w:jc w:val="center"/>
                  </w:pPr>
                  <w:r>
                    <w:t xml:space="preserve">1.402</w:t>
                  </w:r>
                </w:p>
              </w:tc>
              <w:tc>
                <w:tcPr/>
                <w:p>
                  <w:pPr>
                    <w:pStyle w:val="Compact"/>
                    <w:jc w:val="right"/>
                    <w:jc w:val="center"/>
                  </w:pPr>
                  <w:r>
                    <w:t xml:space="preserve">0.97</w:t>
                  </w:r>
                </w:p>
              </w:tc>
              <w:tc>
                <w:tcPr/>
                <w:p>
                  <w:pPr>
                    <w:pStyle w:val="Compact"/>
                    <w:jc w:val="right"/>
                    <w:jc w:val="center"/>
                  </w:pPr>
                  <w:r>
                    <w:t xml:space="preserve">1.00</w:t>
                  </w:r>
                </w:p>
              </w:tc>
              <w:tc>
                <w:tcPr/>
                <w:p>
                  <w:pPr>
                    <w:pStyle w:val="Compact"/>
                    <w:jc w:val="left"/>
                    <w:jc w:val="center"/>
                  </w:pPr>
                  <w:r>
                    <w:t xml:space="preserve">Yes</w:t>
                  </w:r>
                </w:p>
              </w:tc>
            </w:tr>
            <w:tr>
              <w:tc>
                <w:tcPr/>
                <w:p>
                  <w:pPr>
                    <w:pStyle w:val="Compact"/>
                    <w:jc w:val="left"/>
                    <w:jc w:val="center"/>
                  </w:pPr>
                  <w:r>
                    <w:t xml:space="preserve">Exponential, same bins</w:t>
                  </w:r>
                </w:p>
              </w:tc>
              <w:tc>
                <w:tcPr/>
                <w:p>
                  <w:pPr>
                    <w:pStyle w:val="Compact"/>
                    <w:jc w:val="right"/>
                    <w:jc w:val="center"/>
                  </w:pPr>
                  <w:r>
                    <w:t xml:space="preserve">1.17</w:t>
                  </w:r>
                </w:p>
              </w:tc>
              <w:tc>
                <w:tcPr/>
                <w:p>
                  <w:pPr>
                    <w:pStyle w:val="Compact"/>
                    <w:jc w:val="right"/>
                    <w:jc w:val="center"/>
                  </w:pPr>
                  <w:r>
                    <w:t xml:space="preserve">1.51</w:t>
                  </w:r>
                </w:p>
              </w:tc>
              <w:tc>
                <w:tcPr/>
                <w:p>
                  <w:pPr>
                    <w:pStyle w:val="Compact"/>
                    <w:jc w:val="right"/>
                    <w:jc w:val="center"/>
                  </w:pPr>
                  <w:r>
                    <w:t xml:space="preserve">8.9</w:t>
                  </w:r>
                </w:p>
              </w:tc>
              <w:tc>
                <w:tcPr/>
                <w:p>
                  <w:pPr>
                    <w:pStyle w:val="Compact"/>
                    <w:jc w:val="right"/>
                    <w:jc w:val="center"/>
                  </w:pPr>
                  <w:r>
                    <w:t xml:space="preserve">1.413</w:t>
                  </w:r>
                </w:p>
              </w:tc>
              <w:tc>
                <w:tcPr/>
                <w:p>
                  <w:pPr>
                    <w:pStyle w:val="Compact"/>
                    <w:jc w:val="right"/>
                    <w:jc w:val="center"/>
                  </w:pPr>
                  <w:r>
                    <w:t xml:space="preserve">0.99</w:t>
                  </w:r>
                </w:p>
              </w:tc>
              <w:tc>
                <w:tcPr/>
                <w:p>
                  <w:pPr>
                    <w:pStyle w:val="Compact"/>
                    <w:jc w:val="right"/>
                    <w:jc w:val="center"/>
                  </w:pPr>
                  <w:r>
                    <w:t xml:space="preserve">0.84</w:t>
                  </w:r>
                </w:p>
              </w:tc>
              <w:tc>
                <w:tcPr/>
                <w:p>
                  <w:pPr>
                    <w:pStyle w:val="Compact"/>
                    <w:jc w:val="left"/>
                    <w:jc w:val="center"/>
                  </w:pPr>
                  <w:r>
                    <w:t xml:space="preserve">Yes</w:t>
                  </w:r>
                </w:p>
              </w:tc>
            </w:tr>
            <w:tr>
              <w:tc>
                <w:tcPr/>
                <w:p>
                  <w:pPr>
                    <w:pStyle w:val="Compact"/>
                    <w:jc w:val="left"/>
                    <w:jc w:val="center"/>
                  </w:pPr>
                  <w:r>
                    <w:t xml:space="preserve">Gaussian, same bins</w:t>
                  </w:r>
                </w:p>
              </w:tc>
              <w:tc>
                <w:tcPr/>
                <w:p>
                  <w:pPr>
                    <w:pStyle w:val="Compact"/>
                    <w:jc w:val="right"/>
                    <w:jc w:val="center"/>
                  </w:pPr>
                  <w:r>
                    <w:t xml:space="preserve">1.76</w:t>
                  </w:r>
                </w:p>
              </w:tc>
              <w:tc>
                <w:tcPr/>
                <w:p>
                  <w:pPr>
                    <w:pStyle w:val="Compact"/>
                    <w:jc w:val="right"/>
                    <w:jc w:val="center"/>
                  </w:pPr>
                  <w:r>
                    <w:t xml:space="preserve">0.86</w:t>
                  </w:r>
                </w:p>
              </w:tc>
              <w:tc>
                <w:tcPr/>
                <w:p>
                  <w:pPr>
                    <w:pStyle w:val="Compact"/>
                    <w:jc w:val="right"/>
                    <w:jc w:val="center"/>
                  </w:pPr>
                  <w:r>
                    <w:t xml:space="preserve">7.5</w:t>
                  </w:r>
                </w:p>
              </w:tc>
              <w:tc>
                <w:tcPr/>
                <w:p>
                  <w:pPr>
                    <w:pStyle w:val="Compact"/>
                    <w:jc w:val="right"/>
                    <w:jc w:val="center"/>
                  </w:pPr>
                  <w:r>
                    <w:t xml:space="preserve">1.406</w:t>
                  </w:r>
                </w:p>
              </w:tc>
              <w:tc>
                <w:tcPr/>
                <w:p>
                  <w:pPr>
                    <w:pStyle w:val="Compact"/>
                    <w:jc w:val="right"/>
                    <w:jc w:val="center"/>
                  </w:pPr>
                  <w:r>
                    <w:t xml:space="preserve">0.95</w:t>
                  </w:r>
                </w:p>
              </w:tc>
              <w:tc>
                <w:tcPr/>
                <w:p>
                  <w:pPr>
                    <w:pStyle w:val="Compact"/>
                    <w:jc w:val="right"/>
                    <w:jc w:val="center"/>
                  </w:pPr>
                  <w:r>
                    <w:t xml:space="preserve">0.84</w:t>
                  </w:r>
                </w:p>
              </w:tc>
              <w:tc>
                <w:tcPr/>
                <w:p>
                  <w:pPr>
                    <w:pStyle w:val="Compact"/>
                    <w:jc w:val="left"/>
                    <w:jc w:val="center"/>
                  </w:pPr>
                  <w:r>
                    <w:t xml:space="preserve">Yes</w:t>
                  </w:r>
                </w:p>
              </w:tc>
            </w:tr>
            <w:tr>
              <w:tc>
                <w:tcPr/>
                <w:p>
                  <w:pPr>
                    <w:pStyle w:val="Compact"/>
                    <w:jc w:val="left"/>
                    <w:jc w:val="center"/>
                  </w:pPr>
                  <w:r>
                    <w:t xml:space="preserve">Spherical, 2.5 km bins</w:t>
                  </w:r>
                </w:p>
              </w:tc>
              <w:tc>
                <w:tcPr/>
                <w:p>
                  <w:pPr>
                    <w:pStyle w:val="Compact"/>
                    <w:jc w:val="right"/>
                    <w:jc w:val="center"/>
                  </w:pPr>
                  <w:r>
                    <w:t xml:space="preserve">1.40</w:t>
                  </w:r>
                </w:p>
              </w:tc>
              <w:tc>
                <w:tcPr/>
                <w:p>
                  <w:pPr>
                    <w:pStyle w:val="Compact"/>
                    <w:jc w:val="right"/>
                    <w:jc w:val="center"/>
                  </w:pPr>
                  <w:r>
                    <w:t xml:space="preserve">1.30</w:t>
                  </w:r>
                </w:p>
              </w:tc>
              <w:tc>
                <w:tcPr/>
                <w:p>
                  <w:pPr>
                    <w:pStyle w:val="Compact"/>
                    <w:jc w:val="right"/>
                    <w:jc w:val="center"/>
                  </w:pPr>
                  <w:r>
                    <w:t xml:space="preserve">9.1</w:t>
                  </w:r>
                </w:p>
              </w:tc>
              <w:tc>
                <w:tcPr/>
                <w:p>
                  <w:pPr>
                    <w:pStyle w:val="Compact"/>
                    <w:jc w:val="right"/>
                    <w:jc w:val="center"/>
                  </w:pPr>
                  <w:r>
                    <w:t xml:space="preserve">1.438</w:t>
                  </w:r>
                </w:p>
              </w:tc>
              <w:tc>
                <w:tcPr/>
                <w:p>
                  <w:pPr>
                    <w:pStyle w:val="Compact"/>
                    <w:jc w:val="right"/>
                    <w:jc w:val="center"/>
                  </w:pPr>
                  <w:r>
                    <w:t xml:space="preserve">1.01</w:t>
                  </w:r>
                </w:p>
              </w:tc>
              <w:tc>
                <w:tcPr/>
                <w:p>
                  <w:pPr>
                    <w:pStyle w:val="Compact"/>
                    <w:jc w:val="right"/>
                    <w:jc w:val="center"/>
                  </w:pPr>
                  <w:r>
                    <w:t xml:space="preserve">0.84</w:t>
                  </w:r>
                </w:p>
              </w:tc>
              <w:tc>
                <w:tcPr/>
                <w:p>
                  <w:pPr>
                    <w:pStyle w:val="Compact"/>
                    <w:jc w:val="left"/>
                    <w:jc w:val="center"/>
                  </w:pPr>
                  <w:r>
                    <w:t xml:space="preserve">Yes</w:t>
                  </w:r>
                </w:p>
              </w:tc>
            </w:tr>
            <w:tr>
              <w:tc>
                <w:tcPr/>
                <w:p>
                  <w:pPr>
                    <w:pStyle w:val="Compact"/>
                    <w:jc w:val="left"/>
                    <w:jc w:val="center"/>
                  </w:pPr>
                  <w:r>
                    <w:t xml:space="preserve">Without site 25</w:t>
                  </w:r>
                </w:p>
              </w:tc>
              <w:tc>
                <w:tcPr/>
                <w:p>
                  <w:pPr>
                    <w:pStyle w:val="Compact"/>
                    <w:jc w:val="right"/>
                    <w:jc w:val="center"/>
                  </w:pPr>
                  <w:r>
                    <w:t xml:space="preserve">0.79</w:t>
                  </w:r>
                </w:p>
              </w:tc>
              <w:tc>
                <w:tcPr/>
                <w:p>
                  <w:pPr>
                    <w:pStyle w:val="Compact"/>
                    <w:jc w:val="right"/>
                    <w:jc w:val="center"/>
                  </w:pPr>
                  <w:r>
                    <w:t xml:space="preserve">1.75</w:t>
                  </w:r>
                </w:p>
              </w:tc>
              <w:tc>
                <w:tcPr/>
                <w:p>
                  <w:pPr>
                    <w:pStyle w:val="Compact"/>
                    <w:jc w:val="right"/>
                    <w:jc w:val="center"/>
                  </w:pPr>
                  <w:r>
                    <w:t xml:space="preserve">6.3</w:t>
                  </w:r>
                </w:p>
              </w:tc>
              <w:tc>
                <w:tcPr/>
                <w:p>
                  <w:pPr>
                    <w:pStyle w:val="Compact"/>
                    <w:jc w:val="right"/>
                    <w:jc w:val="center"/>
                  </w:pPr>
                  <w:r>
                    <w:t xml:space="preserve">1.273</w:t>
                  </w:r>
                </w:p>
              </w:tc>
              <w:tc>
                <w:tcPr/>
                <w:p>
                  <w:pPr>
                    <w:pStyle w:val="Compact"/>
                    <w:jc w:val="right"/>
                    <w:jc w:val="center"/>
                  </w:pPr>
                  <w:r>
                    <w:t xml:space="preserve">0.96</w:t>
                  </w:r>
                </w:p>
              </w:tc>
              <w:tc>
                <w:tcPr/>
                <w:p>
                  <w:pPr>
                    <w:pStyle w:val="Compact"/>
                    <w:jc w:val="right"/>
                    <w:jc w:val="center"/>
                  </w:pPr>
                  <w:r>
                    <w:t xml:space="preserve">0.84</w:t>
                  </w:r>
                </w:p>
              </w:tc>
              <w:tc>
                <w:tcPr/>
                <w:p>
                  <w:pPr>
                    <w:pStyle w:val="Compact"/>
                    <w:jc w:val="left"/>
                    <w:jc w:val="center"/>
                  </w:pPr>
                  <w:r>
                    <w:t xml:space="preserve">Yes</w:t>
                  </w:r>
                </w:p>
              </w:tc>
            </w:tr>
            <w:tr>
              <w:tc>
                <w:tcPr/>
                <w:p>
                  <w:pPr>
                    <w:pStyle w:val="Compact"/>
                    <w:jc w:val="left"/>
                    <w:jc w:val="center"/>
                  </w:pPr>
                  <w:r>
                    <w:t xml:space="preserve">Universal kriging (x, y)</w:t>
                  </w:r>
                </w:p>
              </w:tc>
              <w:tc>
                <w:tcPr/>
                <w:p>
                  <w:pPr>
                    <w:pStyle w:val="Compact"/>
                    <w:jc w:val="right"/>
                    <w:jc w:val="center"/>
                  </w:pPr>
                  <w:r>
                    <w:t xml:space="preserve">2.02</w:t>
                  </w:r>
                </w:p>
              </w:tc>
              <w:tc>
                <w:tcPr/>
                <w:p>
                  <w:pPr>
                    <w:pStyle w:val="Compact"/>
                    <w:jc w:val="right"/>
                    <w:jc w:val="center"/>
                  </w:pPr>
                  <w:r>
                    <w:t xml:space="preserve">0.00</w:t>
                  </w:r>
                </w:p>
              </w:tc>
              <w:tc>
                <w:tcPr/>
                <w:p>
                  <w:pPr>
                    <w:pStyle w:val="Compact"/>
                    <w:jc w:val="right"/>
                    <w:jc w:val="center"/>
                  </w:pPr>
                  <w:r>
                    <w:t xml:space="preserve">none</w:t>
                  </w:r>
                </w:p>
              </w:tc>
              <w:tc>
                <w:tcPr/>
                <w:p>
                  <w:pPr>
                    <w:pStyle w:val="Compact"/>
                    <w:jc w:val="right"/>
                    <w:jc w:val="center"/>
                  </w:pPr>
                  <w:r>
                    <w:t xml:space="preserve">1.541</w:t>
                  </w:r>
                </w:p>
              </w:tc>
              <w:tc>
                <w:tcPr/>
                <w:p>
                  <w:pPr>
                    <w:pStyle w:val="Compact"/>
                    <w:jc w:val="right"/>
                    <w:jc w:val="center"/>
                  </w:pPr>
                  <w:r>
                    <w:t xml:space="preserve">1.04</w:t>
                  </w:r>
                </w:p>
              </w:tc>
              <w:tc>
                <w:tcPr/>
                <w:p>
                  <w:pPr>
                    <w:pStyle w:val="Compact"/>
                    <w:jc w:val="right"/>
                    <w:jc w:val="center"/>
                  </w:pPr>
                  <w:r>
                    <w:t xml:space="preserve">0.45</w:t>
                  </w:r>
                </w:p>
              </w:tc>
              <w:tc>
                <w:tcPr/>
                <w:p>
                  <w:pPr>
                    <w:pStyle w:val="Compact"/>
                    <w:jc w:val="left"/>
                    <w:jc w:val="center"/>
                  </w:pPr>
                  <w:r>
                    <w:t xml:space="preserve">No</w:t>
                  </w:r>
                </w:p>
              </w:tc>
            </w:tr>
          </w:tbl>
          <w:bookmarkEnd w:id="118"/>
          <w:p/>
        </w:tc>
      </w:tr>
    </w:tbl>
    <w:p>
      <w:pPr>
        <w:pStyle w:val="BodyText"/>
      </w:pPr>
      <w:r>
        <w:t xml:space="preserve">Most limitations follow from the sample size. The variogram is barely estimable: only 38 pairs are closer than 3 km, the 30-pair rule leaves four bins for three parameters, and 134 of 180 settings failed to converge. Across the stable fits the nugget ranged from 1.17 to 1.76 and the practical range from 7.1 to 9.1 km. Thirty sites is far below the 100 to 150 recommended for variogram estimation</w:t>
      </w:r>
      <w:r>
        <w:t xml:space="preserve"> </w:t>
      </w:r>
      <w:r>
        <w:t xml:space="preserve">(Webster and Oliver 1992)</w:t>
      </w:r>
      <w:r>
        <w:t xml:space="preserve"> </w:t>
      </w:r>
      <w:r>
        <w:t xml:space="preserve">and at the lower limit of 30 to 50 well-spread points below which a stable variogram is rarely obtained</w:t>
      </w:r>
      <w:r>
        <w:t xml:space="preserve"> </w:t>
      </w:r>
      <w:r>
        <w:t xml:space="preserve">(Dickens 2026b)</w:t>
      </w:r>
      <w:r>
        <w:t xml:space="preserve">. Single sites are influential: site 25 reported 3 cases while the five sites within 3 km of it reported 0 or 1, and removing it nearly halved the nugget (1.47 to 0.79) and raised the maximum prediction from 3.96 to 4.70. With a nugget of 57% of the sill and a median spacing of 1.9 km, the surface cannot resolve hotspots smaller than a few kilometers, and 78% of the squares are extrapolations.</w:t>
      </w:r>
    </w:p>
    <w:p>
      <w:pPr>
        <w:pStyle w:val="BodyText"/>
      </w:pPr>
      <w:r>
        <w:t xml:space="preserve">The model is also misspecified for counts. Ordinary kriging is a linear predictor that ignores the discreteness of counts and the dependence of their variance on the mean, and Gaussian assumptions enter its intervals and the simulations. Without denominators it cannot separate risk from the number of people present, and the unknown support of the counts changes outbreak densities about six-fold</w:t>
      </w:r>
      <w:r>
        <w:t xml:space="preserve"> </w:t>
      </w:r>
      <w:r>
        <w:t xml:space="preserve">(Gotway and Young 2002)</w:t>
      </w:r>
      <w:r>
        <w:t xml:space="preserve">. The constant-mean assumption is doubtful given the large-scale gradient, but universal kriging with a linear trend in the coordinates performed worse: its residual variogram could only be fitted as a pure nugget, its RMSE was higher (1.54), and it predicted negative values (minimum -2.00) in extrapolated areas. Green space explains much of the gradient but cannot serve as a trend variable, because it is known only at the sites</w:t>
      </w:r>
      <w:r>
        <w:t xml:space="preserve"> </w:t>
      </w:r>
      <w:r>
        <w:t xml:space="preserve">(Dickens 2026b)</w:t>
      </w:r>
      <w:r>
        <w:t xml:space="preserve">. Isotropy cannot be tested with so few pairs per direction, and if sites were chosen because of high counts, preferential sampling would bias both the mean and the variogram</w:t>
      </w:r>
      <w:r>
        <w:t xml:space="preserve"> </w:t>
      </w:r>
      <w:r>
        <w:t xml:space="preserve">(Diggle et al. 2010)</w:t>
      </w:r>
      <w:r>
        <w:t xml:space="preserve">.</w:t>
      </w:r>
    </w:p>
    <w:bookmarkEnd w:id="119"/>
    <w:bookmarkStart w:id="120" w:name="X27953a58f20b28a141f405cfce960478ee4cacf"/>
    <w:p>
      <w:pPr>
        <w:pStyle w:val="Heading2"/>
      </w:pPr>
      <w:r>
        <w:t xml:space="preserve">8.2 Green space as an environmental facilitator or barrier</w:t>
      </w:r>
    </w:p>
    <w:p>
      <w:pPr>
        <w:pStyle w:val="FirstParagraph"/>
      </w:pPr>
      <w:r>
        <w:t xml:space="preserve">The illness is not named, and green space could act in either direction depending on how it is transmitted. The observed negative association is consistent with green space as a barrier. Greener areas have fewer residents, workers and buildings, so contact rates for person-to-person transmission are lower. For dengue, transmission in Singapore is urban:</w:t>
      </w:r>
      <w:r>
        <w:t xml:space="preserve"> </w:t>
      </w:r>
      <w:r>
        <w:rPr>
          <w:i/>
          <w:iCs/>
        </w:rPr>
        <w:t xml:space="preserve">Aedes aegypti</w:t>
      </w:r>
      <w:r>
        <w:t xml:space="preserve"> </w:t>
      </w:r>
      <w:r>
        <w:t xml:space="preserve">breeds mainly in domestic containers</w:t>
      </w:r>
      <w:r>
        <w:t xml:space="preserve"> </w:t>
      </w:r>
      <w:r>
        <w:t xml:space="preserve">(Ooi et al. 2006)</w:t>
      </w:r>
      <w:r>
        <w:t xml:space="preserve"> </w:t>
      </w:r>
      <w:r>
        <w:t xml:space="preserve">and in outdoor drains, and incidence is highest in low-rise housing, where drainage networks are densest</w:t>
      </w:r>
      <w:r>
        <w:t xml:space="preserve"> </w:t>
      </w:r>
      <w:r>
        <w:t xml:space="preserve">(Seidahmed et al. 2018)</w:t>
      </w:r>
      <w:r>
        <w:t xml:space="preserve">. Green space is also associated with better general health and lower physiological stress</w:t>
      </w:r>
      <w:r>
        <w:t xml:space="preserve"> </w:t>
      </w:r>
      <w:r>
        <w:t xml:space="preserve">(Twohig-Bennett and Jones 2018)</w:t>
      </w:r>
      <w:r>
        <w:t xml:space="preserve">, which could reduce susceptibility or severity.</w:t>
      </w:r>
    </w:p>
    <w:p>
      <w:pPr>
        <w:pStyle w:val="BodyText"/>
      </w:pPr>
      <w:r>
        <w:t xml:space="preserve">Vegetation can instead facilitate transmission by sheltering vectors and reservoir hosts.</w:t>
      </w:r>
      <w:r>
        <w:t xml:space="preserve"> </w:t>
      </w:r>
      <w:r>
        <w:rPr>
          <w:i/>
          <w:iCs/>
        </w:rPr>
        <w:t xml:space="preserve">Aedes albopictus</w:t>
      </w:r>
      <w:r>
        <w:t xml:space="preserve">, originally a forest species, breeds in natural containers such as tree holes</w:t>
      </w:r>
      <w:r>
        <w:t xml:space="preserve"> </w:t>
      </w:r>
      <w:r>
        <w:t xml:space="preserve">(Paupy et al. 2009)</w:t>
      </w:r>
      <w:r>
        <w:t xml:space="preserve">, and leptospirosis is sustained by rodent reservoirs, contaminated soil and water, and recreational exposure</w:t>
      </w:r>
      <w:r>
        <w:t xml:space="preserve"> </w:t>
      </w:r>
      <w:r>
        <w:t xml:space="preserve">(Bharti et al. 2003)</w:t>
      </w:r>
      <w:r>
        <w:t xml:space="preserve">. These mechanisms could produce a positive association. The negative ecological association here cannot identify the transmission mechanism; population density could conceal a positive effect of vegetation.</w:t>
      </w:r>
    </w:p>
    <w:p>
      <w:pPr>
        <w:pStyle w:val="BodyText"/>
      </w:pPr>
      <w:r>
        <w:t xml:space="preserve">A more parsimonious explanation is confounding by urban form. The least green sites are in the city center and dense estates and the greenest in nature reserves and the western green belt, so without denominators the count ratio of 0.73 cannot distinguish lower risk per person from fewer people at risk. The lack of detected positive residual autocorrelation is consistent with green space capturing part of the spatial gradient, but does not establish causality. Factors with a similar gradient, such as housing type or daytime population, could also explain the pattern. The association is ecological and cross-sectional and cannot be transferred to individuals</w:t>
      </w:r>
      <w:r>
        <w:t xml:space="preserve"> </w:t>
      </w:r>
      <w:r>
        <w:t xml:space="preserve">(Morgenstern 1995)</w:t>
      </w:r>
      <w:r>
        <w:t xml:space="preserve">. The buffer radius and type of green cover (managed parks or forest) are also unknown, and both bear on the mechanism.</w:t>
      </w:r>
    </w:p>
    <w:bookmarkEnd w:id="120"/>
    <w:bookmarkStart w:id="121" w:name="sec-more-data"/>
    <w:p>
      <w:pPr>
        <w:pStyle w:val="Heading2"/>
      </w:pPr>
      <w:r>
        <w:t xml:space="preserve">8.3 Additional data</w:t>
      </w:r>
    </w:p>
    <w:p>
      <w:pPr>
        <w:pStyle w:val="FirstParagraph"/>
      </w:pPr>
      <w:r>
        <w:t xml:space="preserve">Population denominators (resident population by subzone and daytime working population) would convert counts to rates and allow Poisson kriging</w:t>
      </w:r>
      <w:r>
        <w:t xml:space="preserve"> </w:t>
      </w:r>
      <w:r>
        <w:t xml:space="preserve">(Goovaerts 2005)</w:t>
      </w:r>
      <w:r>
        <w:t xml:space="preserve"> </w:t>
      </w:r>
      <w:r>
        <w:t xml:space="preserve">or model-based geostatistics with an offset</w:t>
      </w:r>
      <w:r>
        <w:t xml:space="preserve"> </w:t>
      </w:r>
      <w:r>
        <w:t xml:space="preserve">(Diggle et al. 1998)</w:t>
      </w:r>
      <w:r>
        <w:t xml:space="preserve">. Information on the area or population each count represents would also fix the conversion to cases per km</w:t>
      </w:r>
      <w:r>
        <w:rPr>
          <w:vertAlign w:val="superscript"/>
        </w:rPr>
        <w:t xml:space="preserve">2</w:t>
      </w:r>
      <w:r>
        <w:t xml:space="preserve">, which currently varies six-fold. Island-wide covariates, such as satellite vegetation indices or land-cover maps, housing type and building density, would allow kriging with external drift, so that the green-space association could inform predictions in the unsampled north, west and east. A denser design of about 100 to 150 sites</w:t>
      </w:r>
      <w:r>
        <w:t xml:space="preserve"> </w:t>
      </w:r>
      <w:r>
        <w:t xml:space="preserve">(Webster and Oliver 1992)</w:t>
      </w:r>
      <w:r>
        <w:t xml:space="preserve">, including pairs less than 1 km apart and sites in the unsampled regions, would stabilize the variogram and remove most of the extrapolation.</w:t>
      </w:r>
    </w:p>
    <w:p>
      <w:pPr>
        <w:pStyle w:val="BodyText"/>
      </w:pPr>
      <w:r>
        <w:t xml:space="preserve">Case addresses, onset dates and the observation period would allow a space-time analysis of whether the zone is growing, moving or waning. If the illness is vector-borne, entomological surveillance, rainfall and temperature would allow the facilitator and barrier mechanisms to be tested directly. Bayesian disease-mapping models at subzone level</w:t>
      </w:r>
      <w:r>
        <w:t xml:space="preserve"> </w:t>
      </w:r>
      <w:r>
        <w:t xml:space="preserve">(Besag et al. 1991; Waller and Gotway 2004)</w:t>
      </w:r>
      <w:r>
        <w:t xml:space="preserve"> </w:t>
      </w:r>
      <w:r>
        <w:t xml:space="preserve">or continuous spatial count models fitted by the SPDE approach</w:t>
      </w:r>
      <w:r>
        <w:t xml:space="preserve"> </w:t>
      </w:r>
      <w:r>
        <w:t xml:space="preserve">(Lindgren et al. 2011)</w:t>
      </w:r>
      <w:r>
        <w:t xml:space="preserve"> </w:t>
      </w:r>
      <w:r>
        <w:t xml:space="preserve">would accommodate the residual dependence noted in</w:t>
      </w:r>
      <w:r>
        <w:t xml:space="preserve"> </w:t>
      </w:r>
      <w:hyperlink w:anchor="sec-residual">
        <w:r>
          <w:rPr>
            <w:rStyle w:val="Hyperlink"/>
          </w:rPr>
          <w:t xml:space="preserve">Section 6.2</w:t>
        </w:r>
      </w:hyperlink>
      <w:r>
        <w:t xml:space="preserve"> </w:t>
      </w:r>
      <w:r>
        <w:t xml:space="preserve">and propagate uncertainty to zone boundaries and outbreak size. Finally, walking and public transport travel times, hall capacity, opening hours and operator agreement are needed before the proposed centers can be confirmed.</w:t>
      </w:r>
    </w:p>
    <w:bookmarkEnd w:id="121"/>
    <w:bookmarkStart w:id="122" w:name="conclusion"/>
    <w:p>
      <w:pPr>
        <w:pStyle w:val="Heading2"/>
      </w:pPr>
      <w:r>
        <w:t xml:space="preserve">8.4 Conclusion</w:t>
      </w:r>
    </w:p>
    <w:p>
      <w:pPr>
        <w:pStyle w:val="FirstParagraph"/>
      </w:pPr>
      <w:r>
        <w:t xml:space="preserve">With 30 sites, spatial correlation could be estimated only under carefully chosen settings, and most automated fits failed. A spherical variogram with 3 km bins converged and improved cross-validated prediction over a no-correlation model, with standardized error SD near one. Kriging identified one high-risk zone from Marina Bay to Hougang, consistent across alternative variograms, with about twice the predicted intensity of the rest of the sampled area. Green cover is lowest in this zone and accounts for most of the spatial clustering, although without denominators the association cannot be read causally. Braddell Heights and Kampong Glam Community Clubs are accessible, well-placed venues for temporary intervention centers. Uncertainty in the variogram, the unknown support of the counts and the large unsampled area limit the operational use of the map.</w:t>
      </w:r>
    </w:p>
    <w:bookmarkEnd w:id="122"/>
    <w:bookmarkEnd w:id="123"/>
    <w:bookmarkStart w:id="124" w:name="declaration-of-ai-use"/>
    <w:p>
      <w:pPr>
        <w:pStyle w:val="Heading1"/>
      </w:pPr>
      <w:r>
        <w:t xml:space="preserve">Declaration of AI use</w:t>
      </w:r>
    </w:p>
    <w:p>
      <w:pPr>
        <w:pStyle w:val="FirstParagraph"/>
      </w:pPr>
      <w:r>
        <w:t xml:space="preserve">Claude Code (Anthropic) and Codex (OpenAI) were used extensively in the preparation of this assignment: to write and debug the R code, to draft and revise the report, and to help me understand the background material and lectures required to perform the tasks. I take full responsibility for the submitted work.</w:t>
      </w:r>
    </w:p>
    <w:bookmarkEnd w:id="124"/>
    <w:bookmarkStart w:id="193" w:name="references"/>
    <w:p>
      <w:pPr>
        <w:pStyle w:val="Heading1"/>
      </w:pPr>
      <w:r>
        <w:t xml:space="preserve">References</w:t>
      </w:r>
    </w:p>
    <w:bookmarkStart w:id="192" w:name="refs"/>
    <w:bookmarkStart w:id="126" w:name="ref-anselin1996"/>
    <w:p>
      <w:pPr>
        <w:pStyle w:val="Bibliography"/>
      </w:pPr>
      <w:r>
        <w:t xml:space="preserve">Anselin, Luc, Anil K. Bera, Raymond Florax, and Mann J. Yoon. 1996.</w:t>
      </w:r>
      <w:r>
        <w:t xml:space="preserve"> </w:t>
      </w:r>
      <w:r>
        <w:t xml:space="preserve">“Simple Diagnostic Tests for Spatial Dependence.”</w:t>
      </w:r>
      <w:r>
        <w:t xml:space="preserve"> </w:t>
      </w:r>
      <w:r>
        <w:rPr>
          <w:i/>
          <w:iCs/>
        </w:rPr>
        <w:t xml:space="preserve">Regional Science and Urban Economics</w:t>
      </w:r>
      <w:r>
        <w:t xml:space="preserve"> </w:t>
      </w:r>
      <w:r>
        <w:t xml:space="preserve">26 (1): 77-104.</w:t>
      </w:r>
      <w:r>
        <w:t xml:space="preserve"> </w:t>
      </w:r>
      <w:hyperlink r:id="rId125">
        <w:r>
          <w:rPr>
            <w:rStyle w:val="Hyperlink"/>
          </w:rPr>
          <w:t xml:space="preserve">https://doi.org/10.1016/0166-0462(95)02111-6</w:t>
        </w:r>
      </w:hyperlink>
      <w:r>
        <w:t xml:space="preserve">.</w:t>
      </w:r>
    </w:p>
    <w:bookmarkEnd w:id="126"/>
    <w:bookmarkStart w:id="128" w:name="ref-besag1991"/>
    <w:p>
      <w:pPr>
        <w:pStyle w:val="Bibliography"/>
      </w:pPr>
      <w:r>
        <w:t xml:space="preserve">Besag, Julian, Jeremy York, and Annie Mollié. 1991.</w:t>
      </w:r>
      <w:r>
        <w:t xml:space="preserve"> </w:t>
      </w:r>
      <w:r>
        <w:t xml:space="preserve">“Bayesian Image Restoration, with Two Applications in Spatial Statistics.”</w:t>
      </w:r>
      <w:r>
        <w:t xml:space="preserve"> </w:t>
      </w:r>
      <w:r>
        <w:rPr>
          <w:i/>
          <w:iCs/>
        </w:rPr>
        <w:t xml:space="preserve">Annals of the Institute of Statistical Mathematics</w:t>
      </w:r>
      <w:r>
        <w:t xml:space="preserve"> </w:t>
      </w:r>
      <w:r>
        <w:t xml:space="preserve">43 (1): 1-20.</w:t>
      </w:r>
      <w:r>
        <w:t xml:space="preserve"> </w:t>
      </w:r>
      <w:hyperlink r:id="rId127">
        <w:r>
          <w:rPr>
            <w:rStyle w:val="Hyperlink"/>
          </w:rPr>
          <w:t xml:space="preserve">https://doi.org/10.1007/BF00116466</w:t>
        </w:r>
      </w:hyperlink>
      <w:r>
        <w:t xml:space="preserve">.</w:t>
      </w:r>
    </w:p>
    <w:bookmarkEnd w:id="128"/>
    <w:bookmarkStart w:id="130" w:name="ref-bharti2003"/>
    <w:p>
      <w:pPr>
        <w:pStyle w:val="Bibliography"/>
      </w:pPr>
      <w:r>
        <w:t xml:space="preserve">Bharti, Ajay R., Jarlath E. Nally, Jessica N. Ricaldi, et al. 2003.</w:t>
      </w:r>
      <w:r>
        <w:t xml:space="preserve"> </w:t>
      </w:r>
      <w:r>
        <w:t xml:space="preserve">“Leptospirosis: A Zoonotic Disease of Global Importance.”</w:t>
      </w:r>
      <w:r>
        <w:t xml:space="preserve"> </w:t>
      </w:r>
      <w:r>
        <w:rPr>
          <w:i/>
          <w:iCs/>
        </w:rPr>
        <w:t xml:space="preserve">The Lancet Infectious Diseases</w:t>
      </w:r>
      <w:r>
        <w:t xml:space="preserve"> </w:t>
      </w:r>
      <w:r>
        <w:t xml:space="preserve">3 (12): 757-71.</w:t>
      </w:r>
      <w:r>
        <w:t xml:space="preserve"> </w:t>
      </w:r>
      <w:hyperlink r:id="rId129">
        <w:r>
          <w:rPr>
            <w:rStyle w:val="Hyperlink"/>
          </w:rPr>
          <w:t xml:space="preserve">https://doi.org/10.1016/S1473-3099(03)00830-2</w:t>
        </w:r>
      </w:hyperlink>
      <w:r>
        <w:t xml:space="preserve">.</w:t>
      </w:r>
    </w:p>
    <w:bookmarkEnd w:id="130"/>
    <w:bookmarkStart w:id="132" w:name="ref-bivand2018"/>
    <w:p>
      <w:pPr>
        <w:pStyle w:val="Bibliography"/>
      </w:pPr>
      <w:r>
        <w:t xml:space="preserve">Bivand, Roger S., and David W. S. Wong. 2018.</w:t>
      </w:r>
      <w:r>
        <w:t xml:space="preserve"> </w:t>
      </w:r>
      <w:r>
        <w:t xml:space="preserve">“Comparing Implementations of Global and Local Indicators of Spatial Association.”</w:t>
      </w:r>
      <w:r>
        <w:t xml:space="preserve"> </w:t>
      </w:r>
      <w:r>
        <w:rPr>
          <w:i/>
          <w:iCs/>
        </w:rPr>
        <w:t xml:space="preserve">TEST</w:t>
      </w:r>
      <w:r>
        <w:t xml:space="preserve"> </w:t>
      </w:r>
      <w:r>
        <w:t xml:space="preserve">27 (3): 716-48.</w:t>
      </w:r>
      <w:r>
        <w:t xml:space="preserve"> </w:t>
      </w:r>
      <w:hyperlink r:id="rId131">
        <w:r>
          <w:rPr>
            <w:rStyle w:val="Hyperlink"/>
          </w:rPr>
          <w:t xml:space="preserve">https://doi.org/10.1007/s11749-018-0599-x</w:t>
        </w:r>
      </w:hyperlink>
      <w:r>
        <w:t xml:space="preserve">.</w:t>
      </w:r>
    </w:p>
    <w:bookmarkEnd w:id="132"/>
    <w:bookmarkStart w:id="134" w:name="ref-cambardella1994"/>
    <w:p>
      <w:pPr>
        <w:pStyle w:val="Bibliography"/>
      </w:pPr>
      <w:r>
        <w:t xml:space="preserve">Cambardella, C. A., T. B. Moorman, J. M. Novak, et al. 1994.</w:t>
      </w:r>
      <w:r>
        <w:t xml:space="preserve"> </w:t>
      </w:r>
      <w:r>
        <w:t xml:space="preserve">“Field-Scale Variability of Soil Properties in Central</w:t>
      </w:r>
      <w:r>
        <w:t xml:space="preserve"> </w:t>
      </w:r>
      <w:r>
        <w:t xml:space="preserve">Iowa</w:t>
      </w:r>
      <w:r>
        <w:t xml:space="preserve"> </w:t>
      </w:r>
      <w:r>
        <w:t xml:space="preserve">Soils.”</w:t>
      </w:r>
      <w:r>
        <w:t xml:space="preserve"> </w:t>
      </w:r>
      <w:r>
        <w:rPr>
          <w:i/>
          <w:iCs/>
        </w:rPr>
        <w:t xml:space="preserve">Soil Science Society of America Journal</w:t>
      </w:r>
      <w:r>
        <w:t xml:space="preserve"> </w:t>
      </w:r>
      <w:r>
        <w:t xml:space="preserve">58 (5): 1501-11.</w:t>
      </w:r>
      <w:r>
        <w:t xml:space="preserve"> </w:t>
      </w:r>
      <w:hyperlink r:id="rId133">
        <w:r>
          <w:rPr>
            <w:rStyle w:val="Hyperlink"/>
          </w:rPr>
          <w:t xml:space="preserve">https://doi.org/10.2136/sssaj1994.03615995005800050033x</w:t>
        </w:r>
      </w:hyperlink>
      <w:r>
        <w:t xml:space="preserve">.</w:t>
      </w:r>
    </w:p>
    <w:bookmarkEnd w:id="134"/>
    <w:bookmarkStart w:id="136" w:name="ref-cressie1985"/>
    <w:p>
      <w:pPr>
        <w:pStyle w:val="Bibliography"/>
      </w:pPr>
      <w:r>
        <w:t xml:space="preserve">Cressie, Noel. 1985.</w:t>
      </w:r>
      <w:r>
        <w:t xml:space="preserve"> </w:t>
      </w:r>
      <w:r>
        <w:t xml:space="preserve">“Fitting Variogram Models by Weighted Least Squares.”</w:t>
      </w:r>
      <w:r>
        <w:t xml:space="preserve"> </w:t>
      </w:r>
      <w:r>
        <w:rPr>
          <w:i/>
          <w:iCs/>
        </w:rPr>
        <w:t xml:space="preserve">Journal of the International Association for Mathematical Geology</w:t>
      </w:r>
      <w:r>
        <w:t xml:space="preserve"> </w:t>
      </w:r>
      <w:r>
        <w:t xml:space="preserve">17 (5): 563-86.</w:t>
      </w:r>
      <w:r>
        <w:t xml:space="preserve"> </w:t>
      </w:r>
      <w:hyperlink r:id="rId135">
        <w:r>
          <w:rPr>
            <w:rStyle w:val="Hyperlink"/>
          </w:rPr>
          <w:t xml:space="preserve">https://doi.org/10.1007/BF01032109</w:t>
        </w:r>
      </w:hyperlink>
      <w:r>
        <w:t xml:space="preserve">.</w:t>
      </w:r>
    </w:p>
    <w:bookmarkEnd w:id="136"/>
    <w:bookmarkStart w:id="138" w:name="ref-cressie1993"/>
    <w:p>
      <w:pPr>
        <w:pStyle w:val="Bibliography"/>
      </w:pPr>
      <w:r>
        <w:t xml:space="preserve">Cressie, Noel. 1993.</w:t>
      </w:r>
      <w:r>
        <w:t xml:space="preserve"> </w:t>
      </w:r>
      <w:r>
        <w:rPr>
          <w:i/>
          <w:iCs/>
        </w:rPr>
        <w:t xml:space="preserve">Statistics for Spatial Data</w:t>
      </w:r>
      <w:r>
        <w:t xml:space="preserve">. Revised. Wiley.</w:t>
      </w:r>
      <w:r>
        <w:t xml:space="preserve"> </w:t>
      </w:r>
      <w:hyperlink r:id="rId137">
        <w:r>
          <w:rPr>
            <w:rStyle w:val="Hyperlink"/>
          </w:rPr>
          <w:t xml:space="preserve">https://doi.org/10.1002/9781119115151</w:t>
        </w:r>
      </w:hyperlink>
      <w:r>
        <w:t xml:space="preserve">.</w:t>
      </w:r>
    </w:p>
    <w:bookmarkEnd w:id="138"/>
    <w:bookmarkStart w:id="139" w:name="ref-dickens2026b"/>
    <w:p>
      <w:pPr>
        <w:pStyle w:val="Bibliography"/>
      </w:pPr>
      <w:r>
        <w:t xml:space="preserve">Dickens, Borame L. 2026a.</w:t>
      </w:r>
      <w:r>
        <w:t xml:space="preserve"> </w:t>
      </w:r>
      <w:r>
        <w:rPr>
          <w:i/>
          <w:iCs/>
        </w:rPr>
        <w:t xml:space="preserve">SPH5105</w:t>
      </w:r>
      <w:r>
        <w:rPr>
          <w:i/>
          <w:iCs/>
        </w:rPr>
        <w:t xml:space="preserve"> </w:t>
      </w:r>
      <w:r>
        <w:rPr>
          <w:i/>
          <w:iCs/>
        </w:rPr>
        <w:t xml:space="preserve">Session 5: Spatial Regression Models (Lecture, Code and Worked Answers)</w:t>
      </w:r>
      <w:r>
        <w:t xml:space="preserve">. Course materials, Saw Swee Hock School of Public Health, National University of Singapore.</w:t>
      </w:r>
    </w:p>
    <w:bookmarkEnd w:id="139"/>
    <w:bookmarkStart w:id="140" w:name="ref-dickens2026"/>
    <w:p>
      <w:pPr>
        <w:pStyle w:val="Bibliography"/>
      </w:pPr>
      <w:r>
        <w:t xml:space="preserve">Dickens, Borame L. 2026b.</w:t>
      </w:r>
      <w:r>
        <w:t xml:space="preserve"> </w:t>
      </w:r>
      <w:r>
        <w:rPr>
          <w:i/>
          <w:iCs/>
        </w:rPr>
        <w:t xml:space="preserve">SPH5105</w:t>
      </w:r>
      <w:r>
        <w:rPr>
          <w:i/>
          <w:iCs/>
        </w:rPr>
        <w:t xml:space="preserve"> </w:t>
      </w:r>
      <w:r>
        <w:rPr>
          <w:i/>
          <w:iCs/>
        </w:rPr>
        <w:t xml:space="preserve">Session 6: Kriging and Interpolation (Lecture, Code Handbook, Exercises and Worked Answers)</w:t>
      </w:r>
      <w:r>
        <w:t xml:space="preserve">. Course materials, Saw Swee Hock School of Public Health, National University of Singapore.</w:t>
      </w:r>
    </w:p>
    <w:bookmarkEnd w:id="140"/>
    <w:bookmarkStart w:id="142" w:name="ref-diggle2010"/>
    <w:p>
      <w:pPr>
        <w:pStyle w:val="Bibliography"/>
      </w:pPr>
      <w:r>
        <w:t xml:space="preserve">Diggle, Peter J., Raquel Menezes, and Ting-li Su. 2010.</w:t>
      </w:r>
      <w:r>
        <w:t xml:space="preserve"> </w:t>
      </w:r>
      <w:r>
        <w:t xml:space="preserve">“Geostatistical Inference Under Preferential Sampling.”</w:t>
      </w:r>
      <w:r>
        <w:t xml:space="preserve"> </w:t>
      </w:r>
      <w:r>
        <w:rPr>
          <w:i/>
          <w:iCs/>
        </w:rPr>
        <w:t xml:space="preserve">Journal of the Royal Statistical Society: Series C (Applied Statistics)</w:t>
      </w:r>
      <w:r>
        <w:t xml:space="preserve"> </w:t>
      </w:r>
      <w:r>
        <w:t xml:space="preserve">59 (2): 191-232.</w:t>
      </w:r>
      <w:r>
        <w:t xml:space="preserve"> </w:t>
      </w:r>
      <w:hyperlink r:id="rId141">
        <w:r>
          <w:rPr>
            <w:rStyle w:val="Hyperlink"/>
          </w:rPr>
          <w:t xml:space="preserve">https://doi.org/10.1111/j.1467-9876.2009.00701.x</w:t>
        </w:r>
      </w:hyperlink>
      <w:r>
        <w:t xml:space="preserve">.</w:t>
      </w:r>
    </w:p>
    <w:bookmarkEnd w:id="142"/>
    <w:bookmarkStart w:id="144" w:name="ref-diggle1998"/>
    <w:p>
      <w:pPr>
        <w:pStyle w:val="Bibliography"/>
      </w:pPr>
      <w:r>
        <w:t xml:space="preserve">Diggle, Peter J., J. A. Tawn, and R. A. Moyeed. 1998.</w:t>
      </w:r>
      <w:r>
        <w:t xml:space="preserve"> </w:t>
      </w:r>
      <w:r>
        <w:t xml:space="preserve">“Model-Based Geostatistics.”</w:t>
      </w:r>
      <w:r>
        <w:t xml:space="preserve"> </w:t>
      </w:r>
      <w:r>
        <w:rPr>
          <w:i/>
          <w:iCs/>
        </w:rPr>
        <w:t xml:space="preserve">Journal of the Royal Statistical Society: Series C (Applied Statistics)</w:t>
      </w:r>
      <w:r>
        <w:t xml:space="preserve"> </w:t>
      </w:r>
      <w:r>
        <w:t xml:space="preserve">47 (3): 299-350.</w:t>
      </w:r>
      <w:r>
        <w:t xml:space="preserve"> </w:t>
      </w:r>
      <w:hyperlink r:id="rId143">
        <w:r>
          <w:rPr>
            <w:rStyle w:val="Hyperlink"/>
          </w:rPr>
          <w:t xml:space="preserve">https://doi.org/10.1111/1467-9876.00113</w:t>
        </w:r>
      </w:hyperlink>
      <w:r>
        <w:t xml:space="preserve">.</w:t>
      </w:r>
    </w:p>
    <w:bookmarkEnd w:id="144"/>
    <w:bookmarkStart w:id="146" w:name="ref-goovaerts1997"/>
    <w:p>
      <w:pPr>
        <w:pStyle w:val="Bibliography"/>
      </w:pPr>
      <w:r>
        <w:t xml:space="preserve">Goovaerts, Pierre. 1997.</w:t>
      </w:r>
      <w:r>
        <w:t xml:space="preserve"> </w:t>
      </w:r>
      <w:r>
        <w:rPr>
          <w:i/>
          <w:iCs/>
        </w:rPr>
        <w:t xml:space="preserve">Geostatistics for Natural Resources Evaluation</w:t>
      </w:r>
      <w:r>
        <w:t xml:space="preserve">. Oxford University Press.</w:t>
      </w:r>
      <w:r>
        <w:t xml:space="preserve"> </w:t>
      </w:r>
      <w:hyperlink r:id="rId145">
        <w:r>
          <w:rPr>
            <w:rStyle w:val="Hyperlink"/>
          </w:rPr>
          <w:t xml:space="preserve">https://doi.org/10.1093/oso/9780195115383.001.0001</w:t>
        </w:r>
      </w:hyperlink>
      <w:r>
        <w:t xml:space="preserve">.</w:t>
      </w:r>
    </w:p>
    <w:bookmarkEnd w:id="146"/>
    <w:bookmarkStart w:id="148" w:name="ref-goovaerts2005"/>
    <w:p>
      <w:pPr>
        <w:pStyle w:val="Bibliography"/>
      </w:pPr>
      <w:r>
        <w:t xml:space="preserve">Goovaerts, Pierre. 2005.</w:t>
      </w:r>
      <w:r>
        <w:t xml:space="preserve"> </w:t>
      </w:r>
      <w:r>
        <w:t xml:space="preserve">“Geostatistical Analysis of Disease Data: Estimation of Cancer Mortality Risk from Empirical Frequencies Using</w:t>
      </w:r>
      <w:r>
        <w:t xml:space="preserve"> </w:t>
      </w:r>
      <w:r>
        <w:t xml:space="preserve">Poisson</w:t>
      </w:r>
      <w:r>
        <w:t xml:space="preserve"> </w:t>
      </w:r>
      <w:r>
        <w:t xml:space="preserve">Kriging.”</w:t>
      </w:r>
      <w:r>
        <w:t xml:space="preserve"> </w:t>
      </w:r>
      <w:r>
        <w:rPr>
          <w:i/>
          <w:iCs/>
        </w:rPr>
        <w:t xml:space="preserve">International Journal of Health Geographics</w:t>
      </w:r>
      <w:r>
        <w:t xml:space="preserve"> </w:t>
      </w:r>
      <w:r>
        <w:t xml:space="preserve">4: 31.</w:t>
      </w:r>
      <w:r>
        <w:t xml:space="preserve"> </w:t>
      </w:r>
      <w:hyperlink r:id="rId147">
        <w:r>
          <w:rPr>
            <w:rStyle w:val="Hyperlink"/>
          </w:rPr>
          <w:t xml:space="preserve">https://doi.org/10.1186/1476-072X-4-31</w:t>
        </w:r>
      </w:hyperlink>
      <w:r>
        <w:t xml:space="preserve">.</w:t>
      </w:r>
    </w:p>
    <w:bookmarkEnd w:id="148"/>
    <w:bookmarkStart w:id="150" w:name="ref-gotway2002"/>
    <w:p>
      <w:pPr>
        <w:pStyle w:val="Bibliography"/>
      </w:pPr>
      <w:r>
        <w:t xml:space="preserve">Gotway, Carol A., and Linda J. Young. 2002.</w:t>
      </w:r>
      <w:r>
        <w:t xml:space="preserve"> </w:t>
      </w:r>
      <w:r>
        <w:t xml:space="preserve">“Combining Incompatible Spatial Data.”</w:t>
      </w:r>
      <w:r>
        <w:t xml:space="preserve"> </w:t>
      </w:r>
      <w:r>
        <w:rPr>
          <w:i/>
          <w:iCs/>
        </w:rPr>
        <w:t xml:space="preserve">Journal of the American Statistical Association</w:t>
      </w:r>
      <w:r>
        <w:t xml:space="preserve"> </w:t>
      </w:r>
      <w:r>
        <w:t xml:space="preserve">97 (458): 632-48.</w:t>
      </w:r>
      <w:r>
        <w:t xml:space="preserve"> </w:t>
      </w:r>
      <w:hyperlink r:id="rId149">
        <w:r>
          <w:rPr>
            <w:rStyle w:val="Hyperlink"/>
          </w:rPr>
          <w:t xml:space="preserve">https://doi.org/10.1198/016214502760047140</w:t>
        </w:r>
      </w:hyperlink>
      <w:r>
        <w:t xml:space="preserve">.</w:t>
      </w:r>
    </w:p>
    <w:bookmarkEnd w:id="150"/>
    <w:bookmarkStart w:id="152" w:name="ref-graler2016"/>
    <w:p>
      <w:pPr>
        <w:pStyle w:val="Bibliography"/>
      </w:pPr>
      <w:r>
        <w:t xml:space="preserve">Gräler, Benedikt, Edzer Pebesma, and Gerard Heuvelink. 2016.</w:t>
      </w:r>
      <w:r>
        <w:t xml:space="preserve"> </w:t>
      </w:r>
      <w:r>
        <w:t xml:space="preserve">“Spatio-Temporal Interpolation Using</w:t>
      </w:r>
      <w:r>
        <w:t xml:space="preserve"> </w:t>
      </w:r>
      <w:r>
        <w:t xml:space="preserve">gstat</w:t>
      </w:r>
      <w:r>
        <w:t xml:space="preserve">.”</w:t>
      </w:r>
      <w:r>
        <w:t xml:space="preserve"> </w:t>
      </w:r>
      <w:r>
        <w:rPr>
          <w:i/>
          <w:iCs/>
        </w:rPr>
        <w:t xml:space="preserve">The R Journal</w:t>
      </w:r>
      <w:r>
        <w:t xml:space="preserve"> </w:t>
      </w:r>
      <w:r>
        <w:t xml:space="preserve">8 (1): 204-18.</w:t>
      </w:r>
      <w:r>
        <w:t xml:space="preserve"> </w:t>
      </w:r>
      <w:hyperlink r:id="rId151">
        <w:r>
          <w:rPr>
            <w:rStyle w:val="Hyperlink"/>
          </w:rPr>
          <w:t xml:space="preserve">https://doi.org/10.32614/RJ-2016-014</w:t>
        </w:r>
      </w:hyperlink>
      <w:r>
        <w:t xml:space="preserve">.</w:t>
      </w:r>
    </w:p>
    <w:bookmarkEnd w:id="152"/>
    <w:bookmarkStart w:id="154" w:name="ref-hakimi1965"/>
    <w:p>
      <w:pPr>
        <w:pStyle w:val="Bibliography"/>
      </w:pPr>
      <w:r>
        <w:t xml:space="preserve">Hakimi, S. L. 1965.</w:t>
      </w:r>
      <w:r>
        <w:t xml:space="preserve"> </w:t>
      </w:r>
      <w:r>
        <w:t xml:space="preserve">“Optimum Distribution of Switching Centers in a Communication Network and Some Related Graph Theoretic Problems.”</w:t>
      </w:r>
      <w:r>
        <w:t xml:space="preserve"> </w:t>
      </w:r>
      <w:r>
        <w:rPr>
          <w:i/>
          <w:iCs/>
        </w:rPr>
        <w:t xml:space="preserve">Operations Research</w:t>
      </w:r>
      <w:r>
        <w:t xml:space="preserve"> </w:t>
      </w:r>
      <w:r>
        <w:t xml:space="preserve">13 (3): 462-75.</w:t>
      </w:r>
      <w:r>
        <w:t xml:space="preserve"> </w:t>
      </w:r>
      <w:hyperlink r:id="rId153">
        <w:r>
          <w:rPr>
            <w:rStyle w:val="Hyperlink"/>
          </w:rPr>
          <w:t xml:space="preserve">https://doi.org/10.1287/opre.13.3.462</w:t>
        </w:r>
      </w:hyperlink>
      <w:r>
        <w:t xml:space="preserve">.</w:t>
      </w:r>
    </w:p>
    <w:bookmarkEnd w:id="154"/>
    <w:bookmarkStart w:id="155" w:name="ref-journel1978"/>
    <w:p>
      <w:pPr>
        <w:pStyle w:val="Bibliography"/>
      </w:pPr>
      <w:r>
        <w:t xml:space="preserve">Journel, Andre G., and Charles J. Huijbregts. 1978.</w:t>
      </w:r>
      <w:r>
        <w:t xml:space="preserve"> </w:t>
      </w:r>
      <w:r>
        <w:rPr>
          <w:i/>
          <w:iCs/>
        </w:rPr>
        <w:t xml:space="preserve">Mining Geostatistics</w:t>
      </w:r>
      <w:r>
        <w:t xml:space="preserve">. Academic Press.</w:t>
      </w:r>
    </w:p>
    <w:bookmarkEnd w:id="155"/>
    <w:bookmarkStart w:id="157" w:name="ref-lta2026"/>
    <w:p>
      <w:pPr>
        <w:pStyle w:val="Bibliography"/>
      </w:pPr>
      <w:r>
        <w:t xml:space="preserve">Land Transport Authority. 2026.</w:t>
      </w:r>
      <w:r>
        <w:t xml:space="preserve"> </w:t>
      </w:r>
      <w:r>
        <w:rPr>
          <w:i/>
          <w:iCs/>
        </w:rPr>
        <w:t xml:space="preserve">LTA</w:t>
      </w:r>
      <w:r>
        <w:rPr>
          <w:i/>
          <w:iCs/>
        </w:rPr>
        <w:t xml:space="preserve"> </w:t>
      </w:r>
      <w:r>
        <w:rPr>
          <w:i/>
          <w:iCs/>
        </w:rPr>
        <w:t xml:space="preserve">MRT</w:t>
      </w:r>
      <w:r>
        <w:rPr>
          <w:i/>
          <w:iCs/>
        </w:rPr>
        <w:t xml:space="preserve"> </w:t>
      </w:r>
      <w:r>
        <w:rPr>
          <w:i/>
          <w:iCs/>
        </w:rPr>
        <w:t xml:space="preserve">Station Exit</w:t>
      </w:r>
      <w:r>
        <w:t xml:space="preserve">. Data.gov.sg.</w:t>
      </w:r>
      <w:r>
        <w:t xml:space="preserve"> </w:t>
      </w:r>
      <w:hyperlink r:id="rId156">
        <w:r>
          <w:rPr>
            <w:rStyle w:val="Hyperlink"/>
          </w:rPr>
          <w:t xml:space="preserve">https://data.gov.sg/datasets/d_b39d3a0871985372d7e1637193335da5/view</w:t>
        </w:r>
      </w:hyperlink>
      <w:r>
        <w:t xml:space="preserve">.</w:t>
      </w:r>
    </w:p>
    <w:bookmarkEnd w:id="157"/>
    <w:bookmarkStart w:id="159" w:name="ref-lindgren2011"/>
    <w:p>
      <w:pPr>
        <w:pStyle w:val="Bibliography"/>
      </w:pPr>
      <w:r>
        <w:t xml:space="preserve">Lindgren, Finn, Håvard Rue, and Johan Lindström. 2011.</w:t>
      </w:r>
      <w:r>
        <w:t xml:space="preserve"> </w:t>
      </w:r>
      <w:r>
        <w:t xml:space="preserve">“An Explicit Link Between</w:t>
      </w:r>
      <w:r>
        <w:t xml:space="preserve"> </w:t>
      </w:r>
      <w:r>
        <w:t xml:space="preserve">Gaussian</w:t>
      </w:r>
      <w:r>
        <w:t xml:space="preserve"> </w:t>
      </w:r>
      <w:r>
        <w:t xml:space="preserve">Fields and</w:t>
      </w:r>
      <w:r>
        <w:t xml:space="preserve"> </w:t>
      </w:r>
      <w:r>
        <w:t xml:space="preserve">Gaussian</w:t>
      </w:r>
      <w:r>
        <w:t xml:space="preserve"> </w:t>
      </w:r>
      <w:r>
        <w:t xml:space="preserve">Markov</w:t>
      </w:r>
      <w:r>
        <w:t xml:space="preserve"> </w:t>
      </w:r>
      <w:r>
        <w:t xml:space="preserve">Random Fields: The Stochastic Partial Differential Equation Approach.”</w:t>
      </w:r>
      <w:r>
        <w:t xml:space="preserve"> </w:t>
      </w:r>
      <w:r>
        <w:rPr>
          <w:i/>
          <w:iCs/>
        </w:rPr>
        <w:t xml:space="preserve">Journal of the Royal Statistical Society: Series B (Statistical Methodology)</w:t>
      </w:r>
      <w:r>
        <w:t xml:space="preserve"> </w:t>
      </w:r>
      <w:r>
        <w:t xml:space="preserve">73 (4): 423-98.</w:t>
      </w:r>
      <w:r>
        <w:t xml:space="preserve"> </w:t>
      </w:r>
      <w:hyperlink r:id="rId158">
        <w:r>
          <w:rPr>
            <w:rStyle w:val="Hyperlink"/>
          </w:rPr>
          <w:t xml:space="preserve">https://doi.org/10.1111/j.1467-9868.2011.00777.x</w:t>
        </w:r>
      </w:hyperlink>
      <w:r>
        <w:t xml:space="preserve">.</w:t>
      </w:r>
    </w:p>
    <w:bookmarkEnd w:id="159"/>
    <w:bookmarkStart w:id="161" w:name="ref-matheron1963"/>
    <w:p>
      <w:pPr>
        <w:pStyle w:val="Bibliography"/>
      </w:pPr>
      <w:r>
        <w:t xml:space="preserve">Matheron, Georges. 1963.</w:t>
      </w:r>
      <w:r>
        <w:t xml:space="preserve"> </w:t>
      </w:r>
      <w:r>
        <w:t xml:space="preserve">“Principles of Geostatistics.”</w:t>
      </w:r>
      <w:r>
        <w:t xml:space="preserve"> </w:t>
      </w:r>
      <w:r>
        <w:rPr>
          <w:i/>
          <w:iCs/>
        </w:rPr>
        <w:t xml:space="preserve">Economic Geology</w:t>
      </w:r>
      <w:r>
        <w:t xml:space="preserve"> </w:t>
      </w:r>
      <w:r>
        <w:t xml:space="preserve">58 (8): 1246-66.</w:t>
      </w:r>
      <w:r>
        <w:t xml:space="preserve"> </w:t>
      </w:r>
      <w:hyperlink r:id="rId160">
        <w:r>
          <w:rPr>
            <w:rStyle w:val="Hyperlink"/>
          </w:rPr>
          <w:t xml:space="preserve">https://doi.org/10.2113/gsecongeo.58.8.1246</w:t>
        </w:r>
      </w:hyperlink>
      <w:r>
        <w:t xml:space="preserve">.</w:t>
      </w:r>
    </w:p>
    <w:bookmarkEnd w:id="161"/>
    <w:bookmarkStart w:id="163" w:name="ref-moran1950"/>
    <w:p>
      <w:pPr>
        <w:pStyle w:val="Bibliography"/>
      </w:pPr>
      <w:r>
        <w:t xml:space="preserve">Moran, P. A. P. 1950.</w:t>
      </w:r>
      <w:r>
        <w:t xml:space="preserve"> </w:t>
      </w:r>
      <w:r>
        <w:t xml:space="preserve">“Notes on Continuous Stochastic Phenomena.”</w:t>
      </w:r>
      <w:r>
        <w:t xml:space="preserve"> </w:t>
      </w:r>
      <w:r>
        <w:rPr>
          <w:i/>
          <w:iCs/>
        </w:rPr>
        <w:t xml:space="preserve">Biometrika</w:t>
      </w:r>
      <w:r>
        <w:t xml:space="preserve"> </w:t>
      </w:r>
      <w:r>
        <w:t xml:space="preserve">37 (1/2): 17-23.</w:t>
      </w:r>
      <w:r>
        <w:t xml:space="preserve"> </w:t>
      </w:r>
      <w:hyperlink r:id="rId162">
        <w:r>
          <w:rPr>
            <w:rStyle w:val="Hyperlink"/>
          </w:rPr>
          <w:t xml:space="preserve">https://doi.org/10.2307/2332142</w:t>
        </w:r>
      </w:hyperlink>
      <w:r>
        <w:t xml:space="preserve">.</w:t>
      </w:r>
    </w:p>
    <w:bookmarkEnd w:id="163"/>
    <w:bookmarkStart w:id="165" w:name="ref-morgenstern1995"/>
    <w:p>
      <w:pPr>
        <w:pStyle w:val="Bibliography"/>
      </w:pPr>
      <w:r>
        <w:t xml:space="preserve">Morgenstern, Hal. 1995.</w:t>
      </w:r>
      <w:r>
        <w:t xml:space="preserve"> </w:t>
      </w:r>
      <w:r>
        <w:t xml:space="preserve">“Ecologic Studies in Epidemiology: Concepts, Principles, and Methods.”</w:t>
      </w:r>
      <w:r>
        <w:t xml:space="preserve"> </w:t>
      </w:r>
      <w:r>
        <w:rPr>
          <w:i/>
          <w:iCs/>
        </w:rPr>
        <w:t xml:space="preserve">Annual Review of Public Health</w:t>
      </w:r>
      <w:r>
        <w:t xml:space="preserve"> </w:t>
      </w:r>
      <w:r>
        <w:t xml:space="preserve">16: 61-81.</w:t>
      </w:r>
      <w:r>
        <w:t xml:space="preserve"> </w:t>
      </w:r>
      <w:hyperlink r:id="rId164">
        <w:r>
          <w:rPr>
            <w:rStyle w:val="Hyperlink"/>
          </w:rPr>
          <w:t xml:space="preserve">https://doi.org/10.1146/annurev.pu.16.050195.000425</w:t>
        </w:r>
      </w:hyperlink>
      <w:r>
        <w:t xml:space="preserve">.</w:t>
      </w:r>
    </w:p>
    <w:bookmarkEnd w:id="165"/>
    <w:bookmarkStart w:id="167" w:name="ref-oliver2014"/>
    <w:p>
      <w:pPr>
        <w:pStyle w:val="Bibliography"/>
      </w:pPr>
      <w:r>
        <w:t xml:space="preserve">Oliver, M. A., and R. Webster. 2014.</w:t>
      </w:r>
      <w:r>
        <w:t xml:space="preserve"> </w:t>
      </w:r>
      <w:r>
        <w:t xml:space="preserve">“A Tutorial Guide to Geostatistics: Computing and Modelling Variograms and Kriging.”</w:t>
      </w:r>
      <w:r>
        <w:t xml:space="preserve"> </w:t>
      </w:r>
      <w:r>
        <w:rPr>
          <w:i/>
          <w:iCs/>
        </w:rPr>
        <w:t xml:space="preserve">Catena</w:t>
      </w:r>
      <w:r>
        <w:t xml:space="preserve"> </w:t>
      </w:r>
      <w:r>
        <w:t xml:space="preserve">113: 56-69.</w:t>
      </w:r>
      <w:r>
        <w:t xml:space="preserve"> </w:t>
      </w:r>
      <w:hyperlink r:id="rId166">
        <w:r>
          <w:rPr>
            <w:rStyle w:val="Hyperlink"/>
          </w:rPr>
          <w:t xml:space="preserve">https://doi.org/10.1016/j.catena.2013.09.006</w:t>
        </w:r>
      </w:hyperlink>
      <w:r>
        <w:t xml:space="preserve">.</w:t>
      </w:r>
    </w:p>
    <w:bookmarkEnd w:id="167"/>
    <w:bookmarkStart w:id="169" w:name="ref-ooi2006"/>
    <w:p>
      <w:pPr>
        <w:pStyle w:val="Bibliography"/>
      </w:pPr>
      <w:r>
        <w:t xml:space="preserve">Ooi, Eng-Eong, Kee-Tai Goh, and Duane J. Gubler. 2006.</w:t>
      </w:r>
      <w:r>
        <w:t xml:space="preserve"> </w:t>
      </w:r>
      <w:r>
        <w:t xml:space="preserve">“Dengue Prevention and 35 Years of Vector Control in</w:t>
      </w:r>
      <w:r>
        <w:t xml:space="preserve"> </w:t>
      </w:r>
      <w:r>
        <w:t xml:space="preserve">Singapore</w:t>
      </w:r>
      <w:r>
        <w:t xml:space="preserve">.”</w:t>
      </w:r>
      <w:r>
        <w:t xml:space="preserve"> </w:t>
      </w:r>
      <w:r>
        <w:rPr>
          <w:i/>
          <w:iCs/>
        </w:rPr>
        <w:t xml:space="preserve">Emerging Infectious Diseases</w:t>
      </w:r>
      <w:r>
        <w:t xml:space="preserve"> </w:t>
      </w:r>
      <w:r>
        <w:t xml:space="preserve">12 (6): 887-93.</w:t>
      </w:r>
      <w:r>
        <w:t xml:space="preserve"> </w:t>
      </w:r>
      <w:hyperlink r:id="rId168">
        <w:r>
          <w:rPr>
            <w:rStyle w:val="Hyperlink"/>
          </w:rPr>
          <w:t xml:space="preserve">https://doi.org/10.3201/eid1206.051210</w:t>
        </w:r>
      </w:hyperlink>
      <w:r>
        <w:t xml:space="preserve">.</w:t>
      </w:r>
    </w:p>
    <w:bookmarkEnd w:id="169"/>
    <w:bookmarkStart w:id="171" w:name="ref-paupy2009"/>
    <w:p>
      <w:pPr>
        <w:pStyle w:val="Bibliography"/>
      </w:pPr>
      <w:r>
        <w:t xml:space="preserve">Paupy, C., H. Delatte, L. Bagny, V. Corbel, and D. Fontenille. 2009.</w:t>
      </w:r>
      <w:r>
        <w:t xml:space="preserve"> </w:t>
      </w:r>
      <w:r>
        <w:t xml:space="preserve">“</w:t>
      </w:r>
      <w:r>
        <w:rPr>
          <w:i/>
          <w:iCs/>
        </w:rPr>
        <w:t xml:space="preserve">Aedes albopictus</w:t>
      </w:r>
      <w:r>
        <w:t xml:space="preserve">, an Arbovirus Vector: From the Darkness to the Light.”</w:t>
      </w:r>
      <w:r>
        <w:t xml:space="preserve"> </w:t>
      </w:r>
      <w:r>
        <w:rPr>
          <w:i/>
          <w:iCs/>
        </w:rPr>
        <w:t xml:space="preserve">Microbes and Infection</w:t>
      </w:r>
      <w:r>
        <w:t xml:space="preserve"> </w:t>
      </w:r>
      <w:r>
        <w:t xml:space="preserve">11 (14-15): 1177-85.</w:t>
      </w:r>
      <w:r>
        <w:t xml:space="preserve"> </w:t>
      </w:r>
      <w:hyperlink r:id="rId170">
        <w:r>
          <w:rPr>
            <w:rStyle w:val="Hyperlink"/>
          </w:rPr>
          <w:t xml:space="preserve">https://doi.org/10.1016/j.micinf.2009.05.005</w:t>
        </w:r>
      </w:hyperlink>
      <w:r>
        <w:t xml:space="preserve">.</w:t>
      </w:r>
    </w:p>
    <w:bookmarkEnd w:id="171"/>
    <w:bookmarkStart w:id="173" w:name="ref-pebesma2004"/>
    <w:p>
      <w:pPr>
        <w:pStyle w:val="Bibliography"/>
      </w:pPr>
      <w:r>
        <w:t xml:space="preserve">Pebesma, Edzer J. 2004.</w:t>
      </w:r>
      <w:r>
        <w:t xml:space="preserve"> </w:t>
      </w:r>
      <w:r>
        <w:t xml:space="preserve">“Multivariable Geostatistics in</w:t>
      </w:r>
      <w:r>
        <w:t xml:space="preserve"> </w:t>
      </w:r>
      <w:r>
        <w:t xml:space="preserve">S</w:t>
      </w:r>
      <w:r>
        <w:t xml:space="preserve">: The</w:t>
      </w:r>
      <w:r>
        <w:t xml:space="preserve"> </w:t>
      </w:r>
      <w:r>
        <w:t xml:space="preserve">gstat</w:t>
      </w:r>
      <w:r>
        <w:t xml:space="preserve"> </w:t>
      </w:r>
      <w:r>
        <w:t xml:space="preserve">Package.”</w:t>
      </w:r>
      <w:r>
        <w:t xml:space="preserve"> </w:t>
      </w:r>
      <w:r>
        <w:rPr>
          <w:i/>
          <w:iCs/>
        </w:rPr>
        <w:t xml:space="preserve">Computers &amp; Geosciences</w:t>
      </w:r>
      <w:r>
        <w:t xml:space="preserve"> </w:t>
      </w:r>
      <w:r>
        <w:t xml:space="preserve">30 (7): 683-91.</w:t>
      </w:r>
      <w:r>
        <w:t xml:space="preserve"> </w:t>
      </w:r>
      <w:hyperlink r:id="rId172">
        <w:r>
          <w:rPr>
            <w:rStyle w:val="Hyperlink"/>
          </w:rPr>
          <w:t xml:space="preserve">https://doi.org/10.1016/j.cageo.2004.03.012</w:t>
        </w:r>
      </w:hyperlink>
      <w:r>
        <w:t xml:space="preserve">.</w:t>
      </w:r>
    </w:p>
    <w:bookmarkEnd w:id="173"/>
    <w:bookmarkStart w:id="175" w:name="ref-pebesma2018"/>
    <w:p>
      <w:pPr>
        <w:pStyle w:val="Bibliography"/>
      </w:pPr>
      <w:r>
        <w:t xml:space="preserve">Pebesma, Edzer J. 2018.</w:t>
      </w:r>
      <w:r>
        <w:t xml:space="preserve"> </w:t>
      </w:r>
      <w:r>
        <w:t xml:space="preserve">“Simple Features for</w:t>
      </w:r>
      <w:r>
        <w:t xml:space="preserve"> </w:t>
      </w:r>
      <w:r>
        <w:t xml:space="preserve">R</w:t>
      </w:r>
      <w:r>
        <w:t xml:space="preserve">: Standardized Support for Spatial Vector Data.”</w:t>
      </w:r>
      <w:r>
        <w:t xml:space="preserve"> </w:t>
      </w:r>
      <w:r>
        <w:rPr>
          <w:i/>
          <w:iCs/>
        </w:rPr>
        <w:t xml:space="preserve">The R Journal</w:t>
      </w:r>
      <w:r>
        <w:t xml:space="preserve"> </w:t>
      </w:r>
      <w:r>
        <w:t xml:space="preserve">10 (1): 439-46.</w:t>
      </w:r>
      <w:r>
        <w:t xml:space="preserve"> </w:t>
      </w:r>
      <w:hyperlink r:id="rId174">
        <w:r>
          <w:rPr>
            <w:rStyle w:val="Hyperlink"/>
          </w:rPr>
          <w:t xml:space="preserve">https://doi.org/10.32614/RJ-2018-009</w:t>
        </w:r>
      </w:hyperlink>
      <w:r>
        <w:t xml:space="preserve">.</w:t>
      </w:r>
    </w:p>
    <w:bookmarkEnd w:id="175"/>
    <w:bookmarkStart w:id="177" w:name="ref-gstatmanual"/>
    <w:p>
      <w:pPr>
        <w:pStyle w:val="Bibliography"/>
      </w:pPr>
      <w:r>
        <w:t xml:space="preserve">Pebesma, Edzer J., and Benedikt Gräler. 2026.</w:t>
      </w:r>
      <w:r>
        <w:t xml:space="preserve"> </w:t>
      </w:r>
      <w:r>
        <w:rPr>
          <w:i/>
          <w:iCs/>
        </w:rPr>
        <w:t xml:space="preserve">gstat</w:t>
      </w:r>
      <w:r>
        <w:rPr>
          <w:i/>
          <w:iCs/>
        </w:rPr>
        <w:t xml:space="preserve">: Spatial and Spatio-Temporal Geostatistical Modelling, Prediction and Simulation</w:t>
      </w:r>
      <w:r>
        <w:t xml:space="preserve">.</w:t>
      </w:r>
      <w:r>
        <w:t xml:space="preserve"> </w:t>
      </w:r>
      <w:hyperlink r:id="rId176">
        <w:r>
          <w:rPr>
            <w:rStyle w:val="Hyperlink"/>
          </w:rPr>
          <w:t xml:space="preserve">https://CRAN.R-project.org/package=gstat</w:t>
        </w:r>
      </w:hyperlink>
      <w:r>
        <w:t xml:space="preserve">.</w:t>
      </w:r>
    </w:p>
    <w:bookmarkEnd w:id="177"/>
    <w:bookmarkStart w:id="179" w:name="ref-pa2024"/>
    <w:p>
      <w:pPr>
        <w:pStyle w:val="Bibliography"/>
      </w:pPr>
      <w:r>
        <w:t xml:space="preserve">People’s Association. 2024.</w:t>
      </w:r>
      <w:r>
        <w:t xml:space="preserve"> </w:t>
      </w:r>
      <w:r>
        <w:rPr>
          <w:i/>
          <w:iCs/>
        </w:rPr>
        <w:t xml:space="preserve">Community Clubs</w:t>
      </w:r>
      <w:r>
        <w:t xml:space="preserve">. Data.gov.sg.</w:t>
      </w:r>
      <w:r>
        <w:t xml:space="preserve"> </w:t>
      </w:r>
      <w:hyperlink r:id="rId178">
        <w:r>
          <w:rPr>
            <w:rStyle w:val="Hyperlink"/>
          </w:rPr>
          <w:t xml:space="preserve">https://data.gov.sg/datasets/d_f706de1427279e61fe41e89e24d440fa/view</w:t>
        </w:r>
      </w:hyperlink>
      <w:r>
        <w:t xml:space="preserve">.</w:t>
      </w:r>
    </w:p>
    <w:bookmarkEnd w:id="179"/>
    <w:bookmarkStart w:id="181" w:name="ref-onepa2026"/>
    <w:p>
      <w:pPr>
        <w:pStyle w:val="Bibliography"/>
      </w:pPr>
      <w:r>
        <w:t xml:space="preserve">People’s Association. 2026.</w:t>
      </w:r>
      <w:r>
        <w:t xml:space="preserve"> </w:t>
      </w:r>
      <w:r>
        <w:rPr>
          <w:i/>
          <w:iCs/>
        </w:rPr>
        <w:t xml:space="preserve">onePA</w:t>
      </w:r>
      <w:r>
        <w:rPr>
          <w:i/>
          <w:iCs/>
        </w:rPr>
        <w:t xml:space="preserve"> </w:t>
      </w:r>
      <w:r>
        <w:rPr>
          <w:i/>
          <w:iCs/>
        </w:rPr>
        <w:t xml:space="preserve">Community Club Directory</w:t>
      </w:r>
      <w:r>
        <w:t xml:space="preserve">. Onepa.gov.sg.</w:t>
      </w:r>
      <w:r>
        <w:t xml:space="preserve"> </w:t>
      </w:r>
      <w:hyperlink r:id="rId180">
        <w:r>
          <w:rPr>
            <w:rStyle w:val="Hyperlink"/>
          </w:rPr>
          <w:t xml:space="preserve">https://www.onepa.gov.sg/cc</w:t>
        </w:r>
      </w:hyperlink>
      <w:r>
        <w:t xml:space="preserve">.</w:t>
      </w:r>
    </w:p>
    <w:bookmarkEnd w:id="181"/>
    <w:bookmarkStart w:id="183" w:name="ref-seidahmed2018"/>
    <w:p>
      <w:pPr>
        <w:pStyle w:val="Bibliography"/>
      </w:pPr>
      <w:r>
        <w:t xml:space="preserve">Seidahmed, Osama M. E., Deng Lu, Chee Seng Chong, Lee Ching Ng, and Elfatih A. B. Eltahir. 2018.</w:t>
      </w:r>
      <w:r>
        <w:t xml:space="preserve"> </w:t>
      </w:r>
      <w:r>
        <w:t xml:space="preserve">“Patterns of Urban Housing Shape Dengue Distribution in</w:t>
      </w:r>
      <w:r>
        <w:t xml:space="preserve"> </w:t>
      </w:r>
      <w:r>
        <w:t xml:space="preserve">Singapore</w:t>
      </w:r>
      <w:r>
        <w:t xml:space="preserve"> </w:t>
      </w:r>
      <w:r>
        <w:t xml:space="preserve">at Neighborhood and Country Scales.”</w:t>
      </w:r>
      <w:r>
        <w:t xml:space="preserve"> </w:t>
      </w:r>
      <w:r>
        <w:rPr>
          <w:i/>
          <w:iCs/>
        </w:rPr>
        <w:t xml:space="preserve">GeoHealth</w:t>
      </w:r>
      <w:r>
        <w:t xml:space="preserve"> </w:t>
      </w:r>
      <w:r>
        <w:t xml:space="preserve">2 (1): 54-67.</w:t>
      </w:r>
      <w:r>
        <w:t xml:space="preserve"> </w:t>
      </w:r>
      <w:hyperlink r:id="rId182">
        <w:r>
          <w:rPr>
            <w:rStyle w:val="Hyperlink"/>
          </w:rPr>
          <w:t xml:space="preserve">https://doi.org/10.1002/2017GH000080</w:t>
        </w:r>
      </w:hyperlink>
      <w:r>
        <w:t xml:space="preserve">.</w:t>
      </w:r>
    </w:p>
    <w:bookmarkEnd w:id="183"/>
    <w:bookmarkStart w:id="185" w:name="ref-twohig2018"/>
    <w:p>
      <w:pPr>
        <w:pStyle w:val="Bibliography"/>
      </w:pPr>
      <w:r>
        <w:t xml:space="preserve">Twohig-Bennett, Caoimhe, and Andy Jones. 2018.</w:t>
      </w:r>
      <w:r>
        <w:t xml:space="preserve"> </w:t>
      </w:r>
      <w:r>
        <w:t xml:space="preserve">“The Health Benefits of the Great Outdoors: A Systematic Review and Meta-Analysis of Greenspace Exposure and Health Outcomes.”</w:t>
      </w:r>
      <w:r>
        <w:t xml:space="preserve"> </w:t>
      </w:r>
      <w:r>
        <w:rPr>
          <w:i/>
          <w:iCs/>
        </w:rPr>
        <w:t xml:space="preserve">Environmental Research</w:t>
      </w:r>
      <w:r>
        <w:t xml:space="preserve"> </w:t>
      </w:r>
      <w:r>
        <w:t xml:space="preserve">166: 628-37.</w:t>
      </w:r>
      <w:r>
        <w:t xml:space="preserve"> </w:t>
      </w:r>
      <w:hyperlink r:id="rId184">
        <w:r>
          <w:rPr>
            <w:rStyle w:val="Hyperlink"/>
          </w:rPr>
          <w:t xml:space="preserve">https://doi.org/10.1016/j.envres.2018.06.030</w:t>
        </w:r>
      </w:hyperlink>
      <w:r>
        <w:t xml:space="preserve">.</w:t>
      </w:r>
    </w:p>
    <w:bookmarkEnd w:id="185"/>
    <w:bookmarkStart w:id="187" w:name="ref-ura2019"/>
    <w:p>
      <w:pPr>
        <w:pStyle w:val="Bibliography"/>
      </w:pPr>
      <w:r>
        <w:t xml:space="preserve">Urban Redevelopment Authority. 2019.</w:t>
      </w:r>
      <w:r>
        <w:t xml:space="preserve"> </w:t>
      </w:r>
      <w:r>
        <w:rPr>
          <w:i/>
          <w:iCs/>
        </w:rPr>
        <w:t xml:space="preserve">Master Plan 2019 Subzone Boundary (No Sea)</w:t>
      </w:r>
      <w:r>
        <w:t xml:space="preserve">. Data.gov.sg.</w:t>
      </w:r>
      <w:r>
        <w:t xml:space="preserve"> </w:t>
      </w:r>
      <w:hyperlink r:id="rId186">
        <w:r>
          <w:rPr>
            <w:rStyle w:val="Hyperlink"/>
          </w:rPr>
          <w:t xml:space="preserve">https://data.gov.sg/datasets/d_8594ae9ff96d0c708bc2af633048edfb/view</w:t>
        </w:r>
      </w:hyperlink>
      <w:r>
        <w:t xml:space="preserve">.</w:t>
      </w:r>
    </w:p>
    <w:bookmarkEnd w:id="187"/>
    <w:bookmarkStart w:id="189" w:name="ref-waller2004"/>
    <w:p>
      <w:pPr>
        <w:pStyle w:val="Bibliography"/>
      </w:pPr>
      <w:r>
        <w:t xml:space="preserve">Waller, Lance A., and Carol A. Gotway. 2004.</w:t>
      </w:r>
      <w:r>
        <w:t xml:space="preserve"> </w:t>
      </w:r>
      <w:r>
        <w:rPr>
          <w:i/>
          <w:iCs/>
        </w:rPr>
        <w:t xml:space="preserve">Applied Spatial Statistics for Public Health Data</w:t>
      </w:r>
      <w:r>
        <w:t xml:space="preserve">. Wiley.</w:t>
      </w:r>
      <w:r>
        <w:t xml:space="preserve"> </w:t>
      </w:r>
      <w:hyperlink r:id="rId188">
        <w:r>
          <w:rPr>
            <w:rStyle w:val="Hyperlink"/>
          </w:rPr>
          <w:t xml:space="preserve">https://doi.org/10.1002/0471662682</w:t>
        </w:r>
      </w:hyperlink>
      <w:r>
        <w:t xml:space="preserve">.</w:t>
      </w:r>
    </w:p>
    <w:bookmarkEnd w:id="189"/>
    <w:bookmarkStart w:id="191" w:name="ref-webster1992"/>
    <w:p>
      <w:pPr>
        <w:pStyle w:val="Bibliography"/>
      </w:pPr>
      <w:r>
        <w:t xml:space="preserve">Webster, R., and M. A. Oliver. 1992.</w:t>
      </w:r>
      <w:r>
        <w:t xml:space="preserve"> </w:t>
      </w:r>
      <w:r>
        <w:t xml:space="preserve">“Sample Adequately to Estimate Variograms of Soil Properties.”</w:t>
      </w:r>
      <w:r>
        <w:t xml:space="preserve"> </w:t>
      </w:r>
      <w:r>
        <w:rPr>
          <w:i/>
          <w:iCs/>
        </w:rPr>
        <w:t xml:space="preserve">Journal of Soil Science</w:t>
      </w:r>
      <w:r>
        <w:t xml:space="preserve"> </w:t>
      </w:r>
      <w:r>
        <w:t xml:space="preserve">43 (1): 177-92.</w:t>
      </w:r>
      <w:r>
        <w:t xml:space="preserve"> </w:t>
      </w:r>
      <w:hyperlink r:id="rId190">
        <w:r>
          <w:rPr>
            <w:rStyle w:val="Hyperlink"/>
          </w:rPr>
          <w:t xml:space="preserve">https://doi.org/10.1111/j.1365-2389.1992.tb00128.x</w:t>
        </w:r>
      </w:hyperlink>
      <w:r>
        <w:t xml:space="preserve">.</w:t>
      </w:r>
    </w:p>
    <w:bookmarkEnd w:id="191"/>
    <w:bookmarkEnd w:id="192"/>
    <w:bookmarkEnd w:id="193"/>
    <w:bookmarkStart w:id="196" w:name="appendix-a-reproducibility"/>
    <w:p>
      <w:pPr>
        <w:pStyle w:val="Heading1"/>
      </w:pPr>
      <w:r>
        <w:t xml:space="preserve">Appendix A: Reproducibility</w:t>
      </w:r>
    </w:p>
    <w:p>
      <w:pPr>
        <w:pStyle w:val="FirstParagraph"/>
      </w:pPr>
      <w:r>
        <w:t xml:space="preserve">The modular analysis code, input data, and report are available in the public</w:t>
      </w:r>
      <w:r>
        <w:t xml:space="preserve"> </w:t>
      </w:r>
      <w:hyperlink r:id="rId194">
        <w:r>
          <w:rPr>
            <w:rStyle w:val="Hyperlink"/>
          </w:rPr>
          <w:t xml:space="preserve">kriging-incidence repository</w:t>
        </w:r>
      </w:hyperlink>
      <w:r>
        <w:t xml:space="preserve">.</w:t>
      </w:r>
    </w:p>
    <w:p>
      <w:pPr>
        <w:pStyle w:val="BodyText"/>
      </w:pPr>
      <w:r>
        <w:t xml:space="preserve">The analysis runs through</w:t>
      </w:r>
      <w:r>
        <w:t xml:space="preserve"> </w:t>
      </w:r>
      <w:r>
        <w:rPr>
          <w:rStyle w:val="VerbatimChar"/>
        </w:rPr>
        <w:t xml:space="preserve">run_analysis.R</w:t>
      </w:r>
      <w:r>
        <w:t xml:space="preserve">, which calls the modules in</w:t>
      </w:r>
      <w:r>
        <w:t xml:space="preserve"> </w:t>
      </w:r>
      <w:r>
        <w:rPr>
          <w:rStyle w:val="VerbatimChar"/>
        </w:rPr>
        <w:t xml:space="preserve">R/</w:t>
      </w:r>
      <w:r>
        <w:t xml:space="preserve">, in about one minute (seed 5105), using R version 4.4.1 (2024-06-14), sf 1.1.3</w:t>
      </w:r>
      <w:r>
        <w:t xml:space="preserve"> </w:t>
      </w:r>
      <w:r>
        <w:t xml:space="preserve">(Pebesma 2018)</w:t>
      </w:r>
      <w:r>
        <w:t xml:space="preserve">, gstat 2.1.6</w:t>
      </w:r>
      <w:r>
        <w:t xml:space="preserve"> </w:t>
      </w:r>
      <w:r>
        <w:t xml:space="preserve">(Pebesma 2004; Gräler et al. 2016)</w:t>
      </w:r>
      <w:r>
        <w:t xml:space="preserve">, spdep 1.4.2</w:t>
      </w:r>
      <w:r>
        <w:t xml:space="preserve"> </w:t>
      </w:r>
      <w:r>
        <w:t xml:space="preserve">(Bivand and Wong 2018)</w:t>
      </w:r>
      <w:r>
        <w:t xml:space="preserve">, dplyr 1.1.4, ggplot2 4.0.0 and GDAL 3.8.4; the last run was 2026-10-09 14:06 +08. External layers were downloaded from data.gov.sg on 7 October 2026: the URA 2019 subzone boundary</w:t>
      </w:r>
      <w:r>
        <w:t xml:space="preserve"> </w:t>
      </w:r>
      <w:r>
        <w:t xml:space="preserve">(Urban Redevelopment Authority 2019)</w:t>
      </w:r>
      <w:r>
        <w:t xml:space="preserve">, People’s Association community clubs</w:t>
      </w:r>
      <w:r>
        <w:t xml:space="preserve"> </w:t>
      </w:r>
      <w:r>
        <w:t xml:space="preserve">(People’s Association 2024)</w:t>
      </w:r>
      <w:r>
        <w:t xml:space="preserve"> </w:t>
      </w:r>
      <w:r>
        <w:t xml:space="preserve">and LTA MRT station exits</w:t>
      </w:r>
      <w:r>
        <w:t xml:space="preserve"> </w:t>
      </w:r>
      <w:r>
        <w:t xml:space="preserve">(Land Transport Authority 2026)</w:t>
      </w:r>
      <w:r>
        <w:t xml:space="preserve">. Club status and accessibility were checked against the official directory</w:t>
      </w:r>
      <w:r>
        <w:t xml:space="preserve"> </w:t>
      </w:r>
      <w:r>
        <w:t xml:space="preserve">(People’s Association 2026)</w:t>
      </w:r>
      <w:r>
        <w:t xml:space="preserve">.</w:t>
      </w:r>
    </w:p>
    <w:p>
      <w:pPr>
        <w:pStyle w:val="BodyText"/>
      </w:pPr>
      <w:r>
        <w:t xml:space="preserve">A separate script,</w:t>
      </w:r>
      <w:r>
        <w:t xml:space="preserve"> </w:t>
      </w:r>
      <w:r>
        <w:rPr>
          <w:rStyle w:val="VerbatimChar"/>
        </w:rPr>
        <w:t xml:space="preserve">tests/check_outputs.R</w:t>
      </w:r>
      <w:r>
        <w:t xml:space="preserve">, independently recomputes key results, including the empirical variogram without gstat, the kriging predictions and variances from a direct solution of the kriging equations, the quantile thresholds and zone totals, the optimality of the chosen centers by brute force, the Poisson model and Moran’s I. All checks passed, and a fresh run in an empty folder reproduced every output table exactly.</w:t>
      </w:r>
    </w:p>
    <w:tbl>
      <w:tblPr>
        <w:tblStyle w:val="Table"/>
        <w:tblW w:type="pct" w:w="5000"/>
        <w:tblLayout w:type="fixed"/>
        <w:tblLook w:firstRow="0" w:lastRow="0" w:firstColumn="0" w:lastColumn="0" w:noHBand="0" w:noVBand="0" w:val="0000"/>
      </w:tblPr>
      <w:tblGrid>
        <w:gridCol w:w="7920"/>
      </w:tblGrid>
      <w:tr>
        <w:tc>
          <w:tcPr/>
          <w:bookmarkStart w:id="195" w:name="tbl-stable"/>
          <w:p>
            <w:pPr>
              <w:jc w:val="center"/>
            </w:pPr>
            <w:pPr>
              <w:jc w:val="start"/>
              <w:spacing w:before="200"/>
              <w:pStyle w:val="ImageCaption"/>
            </w:pPr>
            <w:r>
              <w:t xml:space="preserve">Table 15: All stable variogram fits, with leave-one-out cross-validation. Bins: width / cutoff (km). Starts: number of the four starting values that converged cleanly. Range: practical range (km).</w:t>
            </w:r>
          </w:p>
          <w:tbl>
            <w:tblPr>
              <w:tblStyle w:val="Table"/>
              <w:tblW w:type="pct" w:w="5000"/>
              <w:tblLayout w:type="fixed"/>
              <w:tblLook w:firstRow="1" w:lastRow="0" w:firstColumn="0" w:lastColumn="0" w:noHBand="0" w:noVBand="0" w:val="0020"/>
            </w:tblPr>
            <w:tblGrid>
              <w:gridCol w:w="1418"/>
              <w:gridCol w:w="1063"/>
              <w:gridCol w:w="945"/>
              <w:gridCol w:w="827"/>
              <w:gridCol w:w="827"/>
              <w:gridCol w:w="709"/>
              <w:gridCol w:w="709"/>
              <w:gridCol w:w="709"/>
              <w:gridCol w:w="709"/>
            </w:tblGrid>
            <w:tr>
              <w:trPr>
                <w:tblHeader w:val="on"/>
              </w:trPr>
              <w:tc>
                <w:tcPr/>
                <w:p>
                  <w:pPr>
                    <w:pStyle w:val="Compact"/>
                    <w:jc w:val="left"/>
                    <w:jc w:val="center"/>
                  </w:pPr>
                  <w:r>
                    <w:t xml:space="preserve">Model</w:t>
                  </w:r>
                </w:p>
              </w:tc>
              <w:tc>
                <w:tcPr/>
                <w:p>
                  <w:pPr>
                    <w:pStyle w:val="Compact"/>
                    <w:jc w:val="left"/>
                    <w:jc w:val="center"/>
                  </w:pPr>
                  <w:r>
                    <w:t xml:space="preserve">Bins</w:t>
                  </w:r>
                </w:p>
              </w:tc>
              <w:tc>
                <w:tcPr/>
                <w:p>
                  <w:pPr>
                    <w:pStyle w:val="Compact"/>
                    <w:jc w:val="left"/>
                    <w:jc w:val="center"/>
                  </w:pPr>
                  <w:r>
                    <w:t xml:space="preserve">Weights</w:t>
                  </w:r>
                </w:p>
              </w:tc>
              <w:tc>
                <w:tcPr/>
                <w:p>
                  <w:pPr>
                    <w:pStyle w:val="Compact"/>
                    <w:jc w:val="right"/>
                    <w:jc w:val="center"/>
                  </w:pPr>
                  <w:r>
                    <w:t xml:space="preserve">Starts</w:t>
                  </w:r>
                </w:p>
              </w:tc>
              <w:tc>
                <w:tcPr/>
                <w:p>
                  <w:pPr>
                    <w:pStyle w:val="Compact"/>
                    <w:jc w:val="right"/>
                    <w:jc w:val="center"/>
                  </w:pPr>
                  <w:r>
                    <w:t xml:space="preserve">Nugget</w:t>
                  </w:r>
                </w:p>
              </w:tc>
              <w:tc>
                <w:tcPr/>
                <w:p>
                  <w:pPr>
                    <w:pStyle w:val="Compact"/>
                    <w:jc w:val="right"/>
                    <w:jc w:val="center"/>
                  </w:pPr>
                  <w:r>
                    <w:t xml:space="preserve">Psill</w:t>
                  </w:r>
                </w:p>
              </w:tc>
              <w:tc>
                <w:tcPr/>
                <w:p>
                  <w:pPr>
                    <w:pStyle w:val="Compact"/>
                    <w:jc w:val="right"/>
                    <w:jc w:val="center"/>
                  </w:pPr>
                  <w:r>
                    <w:t xml:space="preserve">Range</w:t>
                  </w:r>
                </w:p>
              </w:tc>
              <w:tc>
                <w:tcPr/>
                <w:p>
                  <w:pPr>
                    <w:pStyle w:val="Compact"/>
                    <w:jc w:val="right"/>
                    <w:jc w:val="center"/>
                  </w:pPr>
                  <w:r>
                    <w:t xml:space="preserve">RMSE</w:t>
                  </w:r>
                </w:p>
              </w:tc>
              <w:tc>
                <w:tcPr/>
                <w:p>
                  <w:pPr>
                    <w:pStyle w:val="Compact"/>
                    <w:jc w:val="right"/>
                    <w:jc w:val="center"/>
                  </w:pPr>
                  <w:r>
                    <w:t xml:space="preserve">z SD</w:t>
                  </w:r>
                </w:p>
              </w:tc>
            </w:tr>
            <w:tr>
              <w:tc>
                <w:tcPr/>
                <w:p>
                  <w:pPr>
                    <w:pStyle w:val="Compact"/>
                    <w:jc w:val="left"/>
                    <w:jc w:val="center"/>
                  </w:pPr>
                  <w:r>
                    <w:t xml:space="preserve">Spherical</w:t>
                  </w:r>
                </w:p>
              </w:tc>
              <w:tc>
                <w:tcPr/>
                <w:p>
                  <w:pPr>
                    <w:pStyle w:val="Compact"/>
                    <w:jc w:val="left"/>
                    <w:jc w:val="center"/>
                  </w:pPr>
                  <w:r>
                    <w:t xml:space="preserve">3 / 10</w:t>
                  </w:r>
                </w:p>
              </w:tc>
              <w:tc>
                <w:tcPr/>
                <w:p>
                  <w:pPr>
                    <w:pStyle w:val="Compact"/>
                    <w:jc w:val="left"/>
                    <w:jc w:val="center"/>
                  </w:pPr>
                  <w:r>
                    <w:t xml:space="preserve">N/h²</w:t>
                  </w:r>
                </w:p>
              </w:tc>
              <w:tc>
                <w:tcPr/>
                <w:p>
                  <w:pPr>
                    <w:pStyle w:val="Compact"/>
                    <w:jc w:val="right"/>
                    <w:jc w:val="center"/>
                  </w:pPr>
                  <w:r>
                    <w:t xml:space="preserve">2</w:t>
                  </w:r>
                </w:p>
              </w:tc>
              <w:tc>
                <w:tcPr/>
                <w:p>
                  <w:pPr>
                    <w:pStyle w:val="Compact"/>
                    <w:jc w:val="right"/>
                    <w:jc w:val="center"/>
                  </w:pPr>
                  <w:r>
                    <w:t xml:space="preserve">1.47</w:t>
                  </w:r>
                </w:p>
              </w:tc>
              <w:tc>
                <w:tcPr/>
                <w:p>
                  <w:pPr>
                    <w:pStyle w:val="Compact"/>
                    <w:jc w:val="right"/>
                    <w:jc w:val="center"/>
                  </w:pPr>
                  <w:r>
                    <w:t xml:space="preserve">1.09</w:t>
                  </w:r>
                </w:p>
              </w:tc>
              <w:tc>
                <w:tcPr/>
                <w:p>
                  <w:pPr>
                    <w:pStyle w:val="Compact"/>
                    <w:jc w:val="right"/>
                    <w:jc w:val="center"/>
                  </w:pPr>
                  <w:r>
                    <w:t xml:space="preserve">7.1</w:t>
                  </w:r>
                </w:p>
              </w:tc>
              <w:tc>
                <w:tcPr/>
                <w:p>
                  <w:pPr>
                    <w:pStyle w:val="Compact"/>
                    <w:jc w:val="right"/>
                    <w:jc w:val="center"/>
                  </w:pPr>
                  <w:r>
                    <w:t xml:space="preserve">1.402</w:t>
                  </w:r>
                </w:p>
              </w:tc>
              <w:tc>
                <w:tcPr/>
                <w:p>
                  <w:pPr>
                    <w:pStyle w:val="Compact"/>
                    <w:jc w:val="right"/>
                    <w:jc w:val="center"/>
                  </w:pPr>
                  <w:r>
                    <w:t xml:space="preserve">0.965</w:t>
                  </w:r>
                </w:p>
              </w:tc>
            </w:tr>
            <w:tr>
              <w:tc>
                <w:tcPr/>
                <w:p>
                  <w:pPr>
                    <w:pStyle w:val="Compact"/>
                    <w:jc w:val="left"/>
                    <w:jc w:val="center"/>
                  </w:pPr>
                  <w:r>
                    <w:t xml:space="preserve">Gaussian</w:t>
                  </w:r>
                </w:p>
              </w:tc>
              <w:tc>
                <w:tcPr/>
                <w:p>
                  <w:pPr>
                    <w:pStyle w:val="Compact"/>
                    <w:jc w:val="left"/>
                    <w:jc w:val="center"/>
                  </w:pPr>
                  <w:r>
                    <w:t xml:space="preserve">3 / 10</w:t>
                  </w:r>
                </w:p>
              </w:tc>
              <w:tc>
                <w:tcPr/>
                <w:p>
                  <w:pPr>
                    <w:pStyle w:val="Compact"/>
                    <w:jc w:val="left"/>
                    <w:jc w:val="center"/>
                  </w:pPr>
                  <w:r>
                    <w:t xml:space="preserve">N</w:t>
                  </w:r>
                </w:p>
              </w:tc>
              <w:tc>
                <w:tcPr/>
                <w:p>
                  <w:pPr>
                    <w:pStyle w:val="Compact"/>
                    <w:jc w:val="right"/>
                    <w:jc w:val="center"/>
                  </w:pPr>
                  <w:r>
                    <w:t xml:space="preserve">3</w:t>
                  </w:r>
                </w:p>
              </w:tc>
              <w:tc>
                <w:tcPr/>
                <w:p>
                  <w:pPr>
                    <w:pStyle w:val="Compact"/>
                    <w:jc w:val="right"/>
                    <w:jc w:val="center"/>
                  </w:pPr>
                  <w:r>
                    <w:t xml:space="preserve">1.76</w:t>
                  </w:r>
                </w:p>
              </w:tc>
              <w:tc>
                <w:tcPr/>
                <w:p>
                  <w:pPr>
                    <w:pStyle w:val="Compact"/>
                    <w:jc w:val="right"/>
                    <w:jc w:val="center"/>
                  </w:pPr>
                  <w:r>
                    <w:t xml:space="preserve">0.86</w:t>
                  </w:r>
                </w:p>
              </w:tc>
              <w:tc>
                <w:tcPr/>
                <w:p>
                  <w:pPr>
                    <w:pStyle w:val="Compact"/>
                    <w:jc w:val="right"/>
                    <w:jc w:val="center"/>
                  </w:pPr>
                  <w:r>
                    <w:t xml:space="preserve">7.5</w:t>
                  </w:r>
                </w:p>
              </w:tc>
              <w:tc>
                <w:tcPr/>
                <w:p>
                  <w:pPr>
                    <w:pStyle w:val="Compact"/>
                    <w:jc w:val="right"/>
                    <w:jc w:val="center"/>
                  </w:pPr>
                  <w:r>
                    <w:t xml:space="preserve">1.406</w:t>
                  </w:r>
                </w:p>
              </w:tc>
              <w:tc>
                <w:tcPr/>
                <w:p>
                  <w:pPr>
                    <w:pStyle w:val="Compact"/>
                    <w:jc w:val="right"/>
                    <w:jc w:val="center"/>
                  </w:pPr>
                  <w:r>
                    <w:t xml:space="preserve">0.954</w:t>
                  </w:r>
                </w:p>
              </w:tc>
            </w:tr>
            <w:tr>
              <w:tc>
                <w:tcPr/>
                <w:p>
                  <w:pPr>
                    <w:pStyle w:val="Compact"/>
                    <w:jc w:val="left"/>
                    <w:jc w:val="center"/>
                  </w:pPr>
                  <w:r>
                    <w:t xml:space="preserve">Exponential</w:t>
                  </w:r>
                </w:p>
              </w:tc>
              <w:tc>
                <w:tcPr/>
                <w:p>
                  <w:pPr>
                    <w:pStyle w:val="Compact"/>
                    <w:jc w:val="left"/>
                    <w:jc w:val="center"/>
                  </w:pPr>
                  <w:r>
                    <w:t xml:space="preserve">3 / 10</w:t>
                  </w:r>
                </w:p>
              </w:tc>
              <w:tc>
                <w:tcPr/>
                <w:p>
                  <w:pPr>
                    <w:pStyle w:val="Compact"/>
                    <w:jc w:val="left"/>
                    <w:jc w:val="center"/>
                  </w:pPr>
                  <w:r>
                    <w:t xml:space="preserve">N/h²</w:t>
                  </w:r>
                </w:p>
              </w:tc>
              <w:tc>
                <w:tcPr/>
                <w:p>
                  <w:pPr>
                    <w:pStyle w:val="Compact"/>
                    <w:jc w:val="right"/>
                    <w:jc w:val="center"/>
                  </w:pPr>
                  <w:r>
                    <w:t xml:space="preserve">3</w:t>
                  </w:r>
                </w:p>
              </w:tc>
              <w:tc>
                <w:tcPr/>
                <w:p>
                  <w:pPr>
                    <w:pStyle w:val="Compact"/>
                    <w:jc w:val="right"/>
                    <w:jc w:val="center"/>
                  </w:pPr>
                  <w:r>
                    <w:t xml:space="preserve">1.17</w:t>
                  </w:r>
                </w:p>
              </w:tc>
              <w:tc>
                <w:tcPr/>
                <w:p>
                  <w:pPr>
                    <w:pStyle w:val="Compact"/>
                    <w:jc w:val="right"/>
                    <w:jc w:val="center"/>
                  </w:pPr>
                  <w:r>
                    <w:t xml:space="preserve">1.51</w:t>
                  </w:r>
                </w:p>
              </w:tc>
              <w:tc>
                <w:tcPr/>
                <w:p>
                  <w:pPr>
                    <w:pStyle w:val="Compact"/>
                    <w:jc w:val="right"/>
                    <w:jc w:val="center"/>
                  </w:pPr>
                  <w:r>
                    <w:t xml:space="preserve">8.9</w:t>
                  </w:r>
                </w:p>
              </w:tc>
              <w:tc>
                <w:tcPr/>
                <w:p>
                  <w:pPr>
                    <w:pStyle w:val="Compact"/>
                    <w:jc w:val="right"/>
                    <w:jc w:val="center"/>
                  </w:pPr>
                  <w:r>
                    <w:t xml:space="preserve">1.413</w:t>
                  </w:r>
                </w:p>
              </w:tc>
              <w:tc>
                <w:tcPr/>
                <w:p>
                  <w:pPr>
                    <w:pStyle w:val="Compact"/>
                    <w:jc w:val="right"/>
                    <w:jc w:val="center"/>
                  </w:pPr>
                  <w:r>
                    <w:t xml:space="preserve">0.988</w:t>
                  </w:r>
                </w:p>
              </w:tc>
            </w:tr>
            <w:tr>
              <w:tc>
                <w:tcPr/>
                <w:p>
                  <w:pPr>
                    <w:pStyle w:val="Compact"/>
                    <w:jc w:val="left"/>
                    <w:jc w:val="center"/>
                  </w:pPr>
                  <w:r>
                    <w:t xml:space="preserve">Spherical</w:t>
                  </w:r>
                </w:p>
              </w:tc>
              <w:tc>
                <w:tcPr/>
                <w:p>
                  <w:pPr>
                    <w:pStyle w:val="Compact"/>
                    <w:jc w:val="left"/>
                    <w:jc w:val="center"/>
                  </w:pPr>
                  <w:r>
                    <w:t xml:space="preserve">2.5 / 9</w:t>
                  </w:r>
                </w:p>
              </w:tc>
              <w:tc>
                <w:tcPr/>
                <w:p>
                  <w:pPr>
                    <w:pStyle w:val="Compact"/>
                    <w:jc w:val="left"/>
                    <w:jc w:val="center"/>
                  </w:pPr>
                  <w:r>
                    <w:t xml:space="preserve">N</w:t>
                  </w:r>
                </w:p>
              </w:tc>
              <w:tc>
                <w:tcPr/>
                <w:p>
                  <w:pPr>
                    <w:pStyle w:val="Compact"/>
                    <w:jc w:val="right"/>
                    <w:jc w:val="center"/>
                  </w:pPr>
                  <w:r>
                    <w:t xml:space="preserve">2</w:t>
                  </w:r>
                </w:p>
              </w:tc>
              <w:tc>
                <w:tcPr/>
                <w:p>
                  <w:pPr>
                    <w:pStyle w:val="Compact"/>
                    <w:jc w:val="right"/>
                    <w:jc w:val="center"/>
                  </w:pPr>
                  <w:r>
                    <w:t xml:space="preserve">1.39</w:t>
                  </w:r>
                </w:p>
              </w:tc>
              <w:tc>
                <w:tcPr/>
                <w:p>
                  <w:pPr>
                    <w:pStyle w:val="Compact"/>
                    <w:jc w:val="right"/>
                    <w:jc w:val="center"/>
                  </w:pPr>
                  <w:r>
                    <w:t xml:space="preserve">1.23</w:t>
                  </w:r>
                </w:p>
              </w:tc>
              <w:tc>
                <w:tcPr/>
                <w:p>
                  <w:pPr>
                    <w:pStyle w:val="Compact"/>
                    <w:jc w:val="right"/>
                    <w:jc w:val="center"/>
                  </w:pPr>
                  <w:r>
                    <w:t xml:space="preserve">8.4</w:t>
                  </w:r>
                </w:p>
              </w:tc>
              <w:tc>
                <w:tcPr/>
                <w:p>
                  <w:pPr>
                    <w:pStyle w:val="Compact"/>
                    <w:jc w:val="right"/>
                    <w:jc w:val="center"/>
                  </w:pPr>
                  <w:r>
                    <w:t xml:space="preserve">1.424</w:t>
                  </w:r>
                </w:p>
              </w:tc>
              <w:tc>
                <w:tcPr/>
                <w:p>
                  <w:pPr>
                    <w:pStyle w:val="Compact"/>
                    <w:jc w:val="right"/>
                    <w:jc w:val="center"/>
                  </w:pPr>
                  <w:r>
                    <w:t xml:space="preserve">1.000</w:t>
                  </w:r>
                </w:p>
              </w:tc>
            </w:tr>
            <w:tr>
              <w:tc>
                <w:tcPr/>
                <w:p>
                  <w:pPr>
                    <w:pStyle w:val="Compact"/>
                    <w:jc w:val="left"/>
                    <w:jc w:val="center"/>
                  </w:pPr>
                  <w:r>
                    <w:t xml:space="preserve">Spherical</w:t>
                  </w:r>
                </w:p>
              </w:tc>
              <w:tc>
                <w:tcPr/>
                <w:p>
                  <w:pPr>
                    <w:pStyle w:val="Compact"/>
                    <w:jc w:val="left"/>
                    <w:jc w:val="center"/>
                  </w:pPr>
                  <w:r>
                    <w:t xml:space="preserve">2.5 / 10</w:t>
                  </w:r>
                </w:p>
              </w:tc>
              <w:tc>
                <w:tcPr/>
                <w:p>
                  <w:pPr>
                    <w:pStyle w:val="Compact"/>
                    <w:jc w:val="left"/>
                    <w:jc w:val="center"/>
                  </w:pPr>
                  <w:r>
                    <w:t xml:space="preserve">N</w:t>
                  </w:r>
                </w:p>
              </w:tc>
              <w:tc>
                <w:tcPr/>
                <w:p>
                  <w:pPr>
                    <w:pStyle w:val="Compact"/>
                    <w:jc w:val="right"/>
                    <w:jc w:val="center"/>
                  </w:pPr>
                  <w:r>
                    <w:t xml:space="preserve">2</w:t>
                  </w:r>
                </w:p>
              </w:tc>
              <w:tc>
                <w:tcPr/>
                <w:p>
                  <w:pPr>
                    <w:pStyle w:val="Compact"/>
                    <w:jc w:val="right"/>
                    <w:jc w:val="center"/>
                  </w:pPr>
                  <w:r>
                    <w:t xml:space="preserve">1.40</w:t>
                  </w:r>
                </w:p>
              </w:tc>
              <w:tc>
                <w:tcPr/>
                <w:p>
                  <w:pPr>
                    <w:pStyle w:val="Compact"/>
                    <w:jc w:val="right"/>
                    <w:jc w:val="center"/>
                  </w:pPr>
                  <w:r>
                    <w:t xml:space="preserve">1.30</w:t>
                  </w:r>
                </w:p>
              </w:tc>
              <w:tc>
                <w:tcPr/>
                <w:p>
                  <w:pPr>
                    <w:pStyle w:val="Compact"/>
                    <w:jc w:val="right"/>
                    <w:jc w:val="center"/>
                  </w:pPr>
                  <w:r>
                    <w:t xml:space="preserve">9.1</w:t>
                  </w:r>
                </w:p>
              </w:tc>
              <w:tc>
                <w:tcPr/>
                <w:p>
                  <w:pPr>
                    <w:pStyle w:val="Compact"/>
                    <w:jc w:val="right"/>
                    <w:jc w:val="center"/>
                  </w:pPr>
                  <w:r>
                    <w:t xml:space="preserve">1.438</w:t>
                  </w:r>
                </w:p>
              </w:tc>
              <w:tc>
                <w:tcPr/>
                <w:p>
                  <w:pPr>
                    <w:pStyle w:val="Compact"/>
                    <w:jc w:val="right"/>
                    <w:jc w:val="center"/>
                  </w:pPr>
                  <w:r>
                    <w:t xml:space="preserve">1.009</w:t>
                  </w:r>
                </w:p>
              </w:tc>
            </w:tr>
          </w:tbl>
          <w:bookmarkEnd w:id="195"/>
          <w:p/>
        </w:tc>
      </w:tr>
    </w:tbl>
    <w:bookmarkEnd w:id="196"/>
    <w:bookmarkStart w:id="197" w:name="appendix-b-r-code"/>
    <w:p>
      <w:pPr>
        <w:pStyle w:val="Heading1"/>
      </w:pPr>
      <w:r>
        <w:t xml:space="preserve">Appendix B: R code</w:t>
      </w:r>
    </w:p>
    <w:p>
      <w:pPr>
        <w:pStyle w:val="SourceCode"/>
      </w:pPr>
      <w:r>
        <w:rPr>
          <w:rStyle w:val="CommentTok"/>
        </w:rPr>
        <w:t xml:space="preserve">#!/usr/bin/env Rscript</w:t>
      </w:r>
      <w:r>
        <w:br/>
      </w:r>
      <w:r>
        <w:rPr>
          <w:rStyle w:val="CommentTok"/>
        </w:rPr>
        <w:t xml:space="preserve"># Run from the repository root: Rscript run_analysis.R</w:t>
      </w:r>
      <w:r>
        <w:br/>
      </w:r>
      <w:r>
        <w:rPr>
          <w:rStyle w:val="CommentTok"/>
        </w:rPr>
        <w:t xml:space="preserve"># Modules exchange explicit named lists; no intermediate objects enter .GlobalEnv.</w:t>
      </w:r>
      <w:r>
        <w:br/>
      </w:r>
      <w:r>
        <w:rPr>
          <w:rStyle w:val="NormalTok"/>
        </w:rPr>
        <w:t xml:space="preserve">main </w:t>
      </w:r>
      <w:r>
        <w:rPr>
          <w:rStyle w:val="OtherTok"/>
        </w:rPr>
        <w:t xml:space="preserve">&lt;-</w:t>
      </w:r>
      <w:r>
        <w:rPr>
          <w:rStyle w:val="NormalTok"/>
        </w:rPr>
        <w:t xml:space="preserve"> </w:t>
      </w:r>
      <w:r>
        <w:rPr>
          <w:rStyle w:val="ControlFlowTok"/>
        </w:rPr>
        <w:t xml:space="preserve">function</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file.exists</w:t>
      </w:r>
      <w:r>
        <w:rPr>
          <w:rStyle w:val="NormalTok"/>
        </w:rPr>
        <w:t xml:space="preserve">(</w:t>
      </w:r>
      <w:r>
        <w:rPr>
          <w:rStyle w:val="StringTok"/>
        </w:rPr>
        <w:t xml:space="preserve">"R/setup.R"</w:t>
      </w:r>
      <w:r>
        <w:rPr>
          <w:rStyle w:val="NormalTok"/>
        </w:rPr>
        <w:t xml:space="preserve">)) </w:t>
      </w:r>
      <w:r>
        <w:rPr>
          <w:rStyle w:val="FunctionTok"/>
        </w:rPr>
        <w:t xml:space="preserve">stop</w:t>
      </w:r>
      <w:r>
        <w:rPr>
          <w:rStyle w:val="NormalTok"/>
        </w:rPr>
        <w:t xml:space="preserve">(</w:t>
      </w:r>
      <w:r>
        <w:rPr>
          <w:rStyle w:val="StringTok"/>
        </w:rPr>
        <w:t xml:space="preserve">"Run from the kriging-incidence repository root."</w:t>
      </w:r>
      <w:r>
        <w:rPr>
          <w:rStyle w:val="NormalTok"/>
        </w:rPr>
        <w:t xml:space="preserve">)</w:t>
      </w:r>
      <w:r>
        <w:br/>
      </w:r>
      <w:r>
        <w:rPr>
          <w:rStyle w:val="NormalTok"/>
        </w:rPr>
        <w:t xml:space="preserve">  modules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"setup"</w:t>
      </w:r>
      <w:r>
        <w:rPr>
          <w:rStyle w:val="NormalTok"/>
        </w:rPr>
        <w:t xml:space="preserve">, </w:t>
      </w:r>
      <w:r>
        <w:rPr>
          <w:rStyle w:val="StringTok"/>
        </w:rPr>
        <w:t xml:space="preserve">"variogram_helpers"</w:t>
      </w:r>
      <w:r>
        <w:rPr>
          <w:rStyle w:val="NormalTok"/>
        </w:rPr>
        <w:t xml:space="preserve">, </w:t>
      </w:r>
      <w:r>
        <w:rPr>
          <w:rStyle w:val="StringTok"/>
        </w:rPr>
        <w:t xml:space="preserve">"zone_helpers"</w:t>
      </w:r>
      <w:r>
        <w:rPr>
          <w:rStyle w:val="NormalTok"/>
        </w:rPr>
        <w:t xml:space="preserve">, </w:t>
      </w:r>
      <w:r>
        <w:rPr>
          <w:rStyle w:val="StringTok"/>
        </w:rPr>
        <w:t xml:space="preserve">"facility_helpers"</w:t>
      </w:r>
      <w:r>
        <w:rPr>
          <w:rStyle w:val="NormalTok"/>
        </w:rPr>
        <w:t xml:space="preserve">,</w:t>
      </w:r>
      <w:r>
        <w:br/>
      </w:r>
      <w:r>
        <w:rPr>
          <w:rStyle w:val="NormalTok"/>
        </w:rPr>
        <w:t xml:space="preserve">               </w:t>
      </w:r>
      <w:r>
        <w:rPr>
          <w:rStyle w:val="StringTok"/>
        </w:rPr>
        <w:t xml:space="preserve">"sensitivity_helpers"</w:t>
      </w:r>
      <w:r>
        <w:rPr>
          <w:rStyle w:val="NormalTok"/>
        </w:rPr>
        <w:t xml:space="preserve">, </w:t>
      </w:r>
      <w:r>
        <w:rPr>
          <w:rStyle w:val="StringTok"/>
        </w:rPr>
        <w:t xml:space="preserve">"data"</w:t>
      </w:r>
      <w:r>
        <w:rPr>
          <w:rStyle w:val="NormalTok"/>
        </w:rPr>
        <w:t xml:space="preserve">, </w:t>
      </w:r>
      <w:r>
        <w:rPr>
          <w:rStyle w:val="StringTok"/>
        </w:rPr>
        <w:t xml:space="preserve">"variograms"</w:t>
      </w:r>
      <w:r>
        <w:rPr>
          <w:rStyle w:val="NormalTok"/>
        </w:rPr>
        <w:t xml:space="preserve">, </w:t>
      </w:r>
      <w:r>
        <w:rPr>
          <w:rStyle w:val="StringTok"/>
        </w:rPr>
        <w:t xml:space="preserve">"kriging"</w:t>
      </w:r>
      <w:r>
        <w:rPr>
          <w:rStyle w:val="NormalTok"/>
        </w:rPr>
        <w:t xml:space="preserve">, </w:t>
      </w:r>
      <w:r>
        <w:rPr>
          <w:rStyle w:val="StringTok"/>
        </w:rPr>
        <w:t xml:space="preserve">"green_space"</w:t>
      </w:r>
      <w:r>
        <w:rPr>
          <w:rStyle w:val="NormalTok"/>
        </w:rPr>
        <w:t xml:space="preserve">,</w:t>
      </w:r>
      <w:r>
        <w:br/>
      </w:r>
      <w:r>
        <w:rPr>
          <w:rStyle w:val="NormalTok"/>
        </w:rPr>
        <w:t xml:space="preserve">               </w:t>
      </w:r>
      <w:r>
        <w:rPr>
          <w:rStyle w:val="StringTok"/>
        </w:rPr>
        <w:t xml:space="preserve">"facilities"</w:t>
      </w:r>
      <w:r>
        <w:rPr>
          <w:rStyle w:val="NormalTok"/>
        </w:rPr>
        <w:t xml:space="preserve">, </w:t>
      </w:r>
      <w:r>
        <w:rPr>
          <w:rStyle w:val="StringTok"/>
        </w:rPr>
        <w:t xml:space="preserve">"sensitivity"</w:t>
      </w:r>
      <w:r>
        <w:rPr>
          <w:rStyle w:val="NormalTok"/>
        </w:rPr>
        <w:t xml:space="preserve">, </w:t>
      </w:r>
      <w:r>
        <w:rPr>
          <w:rStyle w:val="StringTok"/>
        </w:rPr>
        <w:t xml:space="preserve">"export"</w:t>
      </w:r>
      <w:r>
        <w:rPr>
          <w:rStyle w:val="NormalTok"/>
        </w:rPr>
        <w:t xml:space="preserve">)</w:t>
      </w:r>
      <w:r>
        <w:br/>
      </w:r>
      <w:r>
        <w:rPr>
          <w:rStyle w:val="NormalTok"/>
        </w:rPr>
        <w:t xml:space="preserve">  </w:t>
      </w:r>
      <w:r>
        <w:rPr>
          <w:rStyle w:val="ControlFlowTok"/>
        </w:rPr>
        <w:t xml:space="preserve">for</w:t>
      </w:r>
      <w:r>
        <w:rPr>
          <w:rStyle w:val="NormalTok"/>
        </w:rPr>
        <w:t xml:space="preserve"> (module </w:t>
      </w:r>
      <w:r>
        <w:rPr>
          <w:rStyle w:val="ControlFlowTok"/>
        </w:rPr>
        <w:t xml:space="preserve">in</w:t>
      </w:r>
      <w:r>
        <w:rPr>
          <w:rStyle w:val="NormalTok"/>
        </w:rPr>
        <w:t xml:space="preserve"> modules) </w:t>
      </w:r>
      <w:r>
        <w:rPr>
          <w:rStyle w:val="FunctionTok"/>
        </w:rPr>
        <w:t xml:space="preserve">source</w:t>
      </w:r>
      <w:r>
        <w:rPr>
          <w:rStyle w:val="NormalTok"/>
        </w:rPr>
        <w:t xml:space="preserve">(</w:t>
      </w:r>
      <w:r>
        <w:rPr>
          <w:rStyle w:val="FunctionTok"/>
        </w:rPr>
        <w:t xml:space="preserve">file.path</w:t>
      </w:r>
      <w:r>
        <w:rPr>
          <w:rStyle w:val="NormalTok"/>
        </w:rPr>
        <w:t xml:space="preserve">(</w:t>
      </w:r>
      <w:r>
        <w:rPr>
          <w:rStyle w:val="StringTok"/>
        </w:rPr>
        <w:t xml:space="preserve">"R"</w:t>
      </w:r>
      <w:r>
        <w:rPr>
          <w:rStyle w:val="NormalTok"/>
        </w:rPr>
        <w:t xml:space="preserve">, </w:t>
      </w:r>
      <w:r>
        <w:rPr>
          <w:rStyle w:val="FunctionTok"/>
        </w:rPr>
        <w:t xml:space="preserve">paste0</w:t>
      </w:r>
      <w:r>
        <w:rPr>
          <w:rStyle w:val="NormalTok"/>
        </w:rPr>
        <w:t xml:space="preserve">(module, </w:t>
      </w:r>
      <w:r>
        <w:rPr>
          <w:rStyle w:val="StringTok"/>
        </w:rPr>
        <w:t xml:space="preserve">".R"</w:t>
      </w:r>
      <w:r>
        <w:rPr>
          <w:rStyle w:val="NormalTok"/>
        </w:rPr>
        <w:t xml:space="preserve">)), </w:t>
      </w:r>
      <w:r>
        <w:rPr>
          <w:rStyle w:val="AttributeTok"/>
        </w:rPr>
        <w:t xml:space="preserve">local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load_dependencies</w:t>
      </w:r>
      <w:r>
        <w:rPr>
          <w:rStyle w:val="NormalTok"/>
        </w:rPr>
        <w:t xml:space="preserve">()</w:t>
      </w:r>
      <w:r>
        <w:br/>
      </w:r>
      <w:r>
        <w:rPr>
          <w:rStyle w:val="NormalTok"/>
        </w:rPr>
        <w:t xml:space="preserve">  config </w:t>
      </w:r>
      <w:r>
        <w:rPr>
          <w:rStyle w:val="OtherTok"/>
        </w:rPr>
        <w:t xml:space="preserve">&lt;-</w:t>
      </w:r>
      <w:r>
        <w:rPr>
          <w:rStyle w:val="NormalTok"/>
        </w:rPr>
        <w:t xml:space="preserve"> </w:t>
      </w:r>
      <w:r>
        <w:rPr>
          <w:rStyle w:val="FunctionTok"/>
        </w:rPr>
        <w:t xml:space="preserve">pipeline_config</w:t>
      </w:r>
      <w:r>
        <w:rPr>
          <w:rStyle w:val="NormalTok"/>
        </w:rPr>
        <w:t xml:space="preserve">()</w:t>
      </w:r>
      <w:r>
        <w:br/>
      </w:r>
      <w:r>
        <w:rPr>
          <w:rStyle w:val="NormalTok"/>
        </w:rPr>
        <w:t xml:space="preserve">  </w:t>
      </w:r>
      <w:r>
        <w:rPr>
          <w:rStyle w:val="FunctionTok"/>
        </w:rPr>
        <w:t xml:space="preserve">set.seed</w:t>
      </w:r>
      <w:r>
        <w:rPr>
          <w:rStyle w:val="NormalTok"/>
        </w:rPr>
        <w:t xml:space="preserve">(config</w:t>
      </w:r>
      <w:r>
        <w:rPr>
          <w:rStyle w:val="SpecialCharTok"/>
        </w:rPr>
        <w:t xml:space="preserve">$</w:t>
      </w:r>
      <w:r>
        <w:rPr>
          <w:rStyle w:val="NormalTok"/>
        </w:rPr>
        <w:t xml:space="preserve">seed)</w:t>
      </w:r>
      <w:r>
        <w:br/>
      </w:r>
      <w:r>
        <w:rPr>
          <w:rStyle w:val="NormalTok"/>
        </w:rPr>
        <w:t xml:space="preserve">  </w:t>
      </w:r>
      <w:r>
        <w:rPr>
          <w:rStyle w:val="FunctionTok"/>
        </w:rPr>
        <w:t xml:space="preserve">message</w:t>
      </w:r>
      <w:r>
        <w:rPr>
          <w:rStyle w:val="NormalTok"/>
        </w:rPr>
        <w:t xml:space="preserve">(</w:t>
      </w:r>
      <w:r>
        <w:rPr>
          <w:rStyle w:val="StringTok"/>
        </w:rPr>
        <w:t xml:space="preserve">"Preparing data..."</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prepare_data</w:t>
      </w:r>
      <w:r>
        <w:rPr>
          <w:rStyle w:val="NormalTok"/>
        </w:rPr>
        <w:t xml:space="preserve">(config)</w:t>
      </w:r>
      <w:r>
        <w:br/>
      </w:r>
      <w:r>
        <w:rPr>
          <w:rStyle w:val="NormalTok"/>
        </w:rPr>
        <w:t xml:space="preserve">  </w:t>
      </w:r>
      <w:r>
        <w:rPr>
          <w:rStyle w:val="FunctionTok"/>
        </w:rPr>
        <w:t xml:space="preserve">message</w:t>
      </w:r>
      <w:r>
        <w:rPr>
          <w:rStyle w:val="NormalTok"/>
        </w:rPr>
        <w:t xml:space="preserve">(</w:t>
      </w:r>
      <w:r>
        <w:rPr>
          <w:rStyle w:val="StringTok"/>
        </w:rPr>
        <w:t xml:space="preserve">"Fitting and validating variograms..."</w:t>
      </w:r>
      <w:r>
        <w:rPr>
          <w:rStyle w:val="NormalTok"/>
        </w:rPr>
        <w:t xml:space="preserve">)</w:t>
      </w:r>
      <w:r>
        <w:br/>
      </w:r>
      <w:r>
        <w:rPr>
          <w:rStyle w:val="NormalTok"/>
        </w:rPr>
        <w:t xml:space="preserve">  variograms </w:t>
      </w:r>
      <w:r>
        <w:rPr>
          <w:rStyle w:val="OtherTok"/>
        </w:rPr>
        <w:t xml:space="preserve">&lt;-</w:t>
      </w:r>
      <w:r>
        <w:rPr>
          <w:rStyle w:val="NormalTok"/>
        </w:rPr>
        <w:t xml:space="preserve"> </w:t>
      </w:r>
      <w:r>
        <w:rPr>
          <w:rStyle w:val="FunctionTok"/>
        </w:rPr>
        <w:t xml:space="preserve">fit_variograms</w:t>
      </w:r>
      <w:r>
        <w:rPr>
          <w:rStyle w:val="NormalTok"/>
        </w:rPr>
        <w:t xml:space="preserve">(data, config)</w:t>
      </w:r>
      <w:r>
        <w:br/>
      </w:r>
      <w:r>
        <w:rPr>
          <w:rStyle w:val="NormalTok"/>
        </w:rPr>
        <w:t xml:space="preserve">  </w:t>
      </w:r>
      <w:r>
        <w:rPr>
          <w:rStyle w:val="FunctionTok"/>
        </w:rPr>
        <w:t xml:space="preserve">message</w:t>
      </w:r>
      <w:r>
        <w:rPr>
          <w:rStyle w:val="NormalTok"/>
        </w:rPr>
        <w:t xml:space="preserve">(</w:t>
      </w:r>
      <w:r>
        <w:rPr>
          <w:rStyle w:val="StringTok"/>
        </w:rPr>
        <w:t xml:space="preserve">"Kriging and conditional simulation..."</w:t>
      </w:r>
      <w:r>
        <w:rPr>
          <w:rStyle w:val="NormalTok"/>
        </w:rPr>
        <w:t xml:space="preserve">)</w:t>
      </w:r>
      <w:r>
        <w:br/>
      </w:r>
      <w:r>
        <w:rPr>
          <w:rStyle w:val="NormalTok"/>
        </w:rPr>
        <w:t xml:space="preserve">  surface </w:t>
      </w:r>
      <w:r>
        <w:rPr>
          <w:rStyle w:val="OtherTok"/>
        </w:rPr>
        <w:t xml:space="preserve">&lt;-</w:t>
      </w:r>
      <w:r>
        <w:rPr>
          <w:rStyle w:val="NormalTok"/>
        </w:rPr>
        <w:t xml:space="preserve"> </w:t>
      </w:r>
      <w:r>
        <w:rPr>
          <w:rStyle w:val="FunctionTok"/>
        </w:rPr>
        <w:t xml:space="preserve">interpolate_counts</w:t>
      </w:r>
      <w:r>
        <w:rPr>
          <w:rStyle w:val="NormalTok"/>
        </w:rPr>
        <w:t xml:space="preserve">(data, variograms, config)</w:t>
      </w:r>
      <w:r>
        <w:br/>
      </w:r>
      <w:r>
        <w:rPr>
          <w:rStyle w:val="NormalTok"/>
        </w:rPr>
        <w:t xml:space="preserve">  </w:t>
      </w:r>
      <w:r>
        <w:rPr>
          <w:rStyle w:val="FunctionTok"/>
        </w:rPr>
        <w:t xml:space="preserve">message</w:t>
      </w:r>
      <w:r>
        <w:rPr>
          <w:rStyle w:val="NormalTok"/>
        </w:rPr>
        <w:t xml:space="preserve">(</w:t>
      </w:r>
      <w:r>
        <w:rPr>
          <w:rStyle w:val="StringTok"/>
        </w:rPr>
        <w:t xml:space="preserve">"Green-space association and spatial diagnostics..."</w:t>
      </w:r>
      <w:r>
        <w:rPr>
          <w:rStyle w:val="NormalTok"/>
        </w:rPr>
        <w:t xml:space="preserve">)</w:t>
      </w:r>
      <w:r>
        <w:br/>
      </w:r>
      <w:r>
        <w:rPr>
          <w:rStyle w:val="NormalTok"/>
        </w:rPr>
        <w:t xml:space="preserve">  green </w:t>
      </w:r>
      <w:r>
        <w:rPr>
          <w:rStyle w:val="OtherTok"/>
        </w:rPr>
        <w:t xml:space="preserve">&lt;-</w:t>
      </w:r>
      <w:r>
        <w:rPr>
          <w:rStyle w:val="NormalTok"/>
        </w:rPr>
        <w:t xml:space="preserve"> </w:t>
      </w:r>
      <w:r>
        <w:rPr>
          <w:rStyle w:val="FunctionTok"/>
        </w:rPr>
        <w:t xml:space="preserve">analyze_green_space</w:t>
      </w:r>
      <w:r>
        <w:rPr>
          <w:rStyle w:val="NormalTok"/>
        </w:rPr>
        <w:t xml:space="preserve">(data, variograms, surface, config)</w:t>
      </w:r>
      <w:r>
        <w:br/>
      </w:r>
      <w:r>
        <w:rPr>
          <w:rStyle w:val="NormalTok"/>
        </w:rPr>
        <w:t xml:space="preserve">  </w:t>
      </w:r>
      <w:r>
        <w:rPr>
          <w:rStyle w:val="FunctionTok"/>
        </w:rPr>
        <w:t xml:space="preserve">message</w:t>
      </w:r>
      <w:r>
        <w:rPr>
          <w:rStyle w:val="NormalTok"/>
        </w:rPr>
        <w:t xml:space="preserve">(</w:t>
      </w:r>
      <w:r>
        <w:rPr>
          <w:rStyle w:val="StringTok"/>
        </w:rPr>
        <w:t xml:space="preserve">"Optimizing center placement..."</w:t>
      </w:r>
      <w:r>
        <w:rPr>
          <w:rStyle w:val="NormalTok"/>
        </w:rPr>
        <w:t xml:space="preserve">)</w:t>
      </w:r>
      <w:r>
        <w:br/>
      </w:r>
      <w:r>
        <w:rPr>
          <w:rStyle w:val="NormalTok"/>
        </w:rPr>
        <w:t xml:space="preserve">  facilities </w:t>
      </w:r>
      <w:r>
        <w:rPr>
          <w:rStyle w:val="OtherTok"/>
        </w:rPr>
        <w:t xml:space="preserve">&lt;-</w:t>
      </w:r>
      <w:r>
        <w:rPr>
          <w:rStyle w:val="NormalTok"/>
        </w:rPr>
        <w:t xml:space="preserve"> </w:t>
      </w:r>
      <w:r>
        <w:rPr>
          <w:rStyle w:val="FunctionTok"/>
        </w:rPr>
        <w:t xml:space="preserve">place_centers</w:t>
      </w:r>
      <w:r>
        <w:rPr>
          <w:rStyle w:val="NormalTok"/>
        </w:rPr>
        <w:t xml:space="preserve">(data, surface, config)</w:t>
      </w:r>
      <w:r>
        <w:br/>
      </w:r>
      <w:r>
        <w:rPr>
          <w:rStyle w:val="NormalTok"/>
        </w:rPr>
        <w:t xml:space="preserve">  </w:t>
      </w:r>
      <w:r>
        <w:rPr>
          <w:rStyle w:val="FunctionTok"/>
        </w:rPr>
        <w:t xml:space="preserve">message</w:t>
      </w:r>
      <w:r>
        <w:rPr>
          <w:rStyle w:val="NormalTok"/>
        </w:rPr>
        <w:t xml:space="preserve">(</w:t>
      </w:r>
      <w:r>
        <w:rPr>
          <w:rStyle w:val="StringTok"/>
        </w:rPr>
        <w:t xml:space="preserve">"Checking sensitivity..."</w:t>
      </w:r>
      <w:r>
        <w:rPr>
          <w:rStyle w:val="NormalTok"/>
        </w:rPr>
        <w:t xml:space="preserve">)</w:t>
      </w:r>
      <w:r>
        <w:br/>
      </w:r>
      <w:r>
        <w:rPr>
          <w:rStyle w:val="NormalTok"/>
        </w:rPr>
        <w:t xml:space="preserve">  sensitivity </w:t>
      </w:r>
      <w:r>
        <w:rPr>
          <w:rStyle w:val="OtherTok"/>
        </w:rPr>
        <w:t xml:space="preserve">&lt;-</w:t>
      </w:r>
      <w:r>
        <w:rPr>
          <w:rStyle w:val="NormalTok"/>
        </w:rPr>
        <w:t xml:space="preserve"> </w:t>
      </w:r>
      <w:r>
        <w:rPr>
          <w:rStyle w:val="FunctionTok"/>
        </w:rPr>
        <w:t xml:space="preserve">analyze_sensitivity</w:t>
      </w:r>
      <w:r>
        <w:rPr>
          <w:rStyle w:val="NormalTok"/>
        </w:rPr>
        <w:t xml:space="preserve">(data, variograms, surface, facilities, config)</w:t>
      </w:r>
      <w:r>
        <w:br/>
      </w:r>
      <w:r>
        <w:rPr>
          <w:rStyle w:val="NormalTok"/>
        </w:rPr>
        <w:t xml:space="preserve">  </w:t>
      </w:r>
      <w:r>
        <w:rPr>
          <w:rStyle w:val="FunctionTok"/>
        </w:rPr>
        <w:t xml:space="preserve">export_results</w:t>
      </w:r>
      <w:r>
        <w:rPr>
          <w:rStyle w:val="NormalTok"/>
        </w:rPr>
        <w:t xml:space="preserve">(data, variograms, surface, green, facilities, sensitivity, config)</w:t>
      </w:r>
      <w:r>
        <w:br/>
      </w:r>
      <w:r>
        <w:rPr>
          <w:rStyle w:val="NormalTok"/>
        </w:rPr>
        <w:t xml:space="preserve">}</w:t>
      </w:r>
      <w:r>
        <w:br/>
      </w:r>
      <w:r>
        <w:rPr>
          <w:rStyle w:val="FunctionTok"/>
        </w:rPr>
        <w:t xml:space="preserve">main</w:t>
      </w:r>
      <w:r>
        <w:rPr>
          <w:rStyle w:val="NormalTok"/>
        </w:rPr>
        <w:t xml:space="preserve">()</w:t>
      </w:r>
    </w:p>
    <w:p>
      <w:pPr>
        <w:pStyle w:val="FirstParagraph"/>
      </w:pPr>
      <w:r>
        <w:t xml:space="preserve">The complete implementation is in the repository’s</w:t>
      </w:r>
      <w:r>
        <w:t xml:space="preserve"> </w:t>
      </w:r>
      <w:r>
        <w:rPr>
          <w:rStyle w:val="VerbatimChar"/>
        </w:rPr>
        <w:t xml:space="preserve">R/</w:t>
      </w:r>
      <w:r>
        <w:t xml:space="preserve"> </w:t>
      </w:r>
      <w:r>
        <w:t xml:space="preserve">directory:</w:t>
      </w:r>
      <w:r>
        <w:t xml:space="preserve"> </w:t>
      </w:r>
      <w:r>
        <w:rPr>
          <w:rStyle w:val="VerbatimChar"/>
        </w:rPr>
        <w:t xml:space="preserve">data.R</w:t>
      </w:r>
      <w:r>
        <w:t xml:space="preserve"> </w:t>
      </w:r>
      <w:r>
        <w:t xml:space="preserve">prepares and maps the observations;</w:t>
      </w:r>
      <w:r>
        <w:t xml:space="preserve"> </w:t>
      </w:r>
      <w:r>
        <w:rPr>
          <w:rStyle w:val="VerbatimChar"/>
        </w:rPr>
        <w:t xml:space="preserve">variograms.R</w:t>
      </w:r>
      <w:r>
        <w:t xml:space="preserve"> </w:t>
      </w:r>
      <w:r>
        <w:t xml:space="preserve">fits and selects models;</w:t>
      </w:r>
      <w:r>
        <w:t xml:space="preserve"> </w:t>
      </w:r>
      <w:r>
        <w:rPr>
          <w:rStyle w:val="VerbatimChar"/>
        </w:rPr>
        <w:t xml:space="preserve">kriging.R</w:t>
      </w:r>
      <w:r>
        <w:t xml:space="preserve"> </w:t>
      </w:r>
      <w:r>
        <w:t xml:space="preserve">interpolates counts and constructs zones;</w:t>
      </w:r>
      <w:r>
        <w:t xml:space="preserve"> </w:t>
      </w:r>
      <w:r>
        <w:rPr>
          <w:rStyle w:val="VerbatimChar"/>
        </w:rPr>
        <w:t xml:space="preserve">green_space.R</w:t>
      </w:r>
      <w:r>
        <w:t xml:space="preserve"> </w:t>
      </w:r>
      <w:r>
        <w:t xml:space="preserve">fits the count models and checks spatial dependence;</w:t>
      </w:r>
      <w:r>
        <w:t xml:space="preserve"> </w:t>
      </w:r>
      <w:r>
        <w:rPr>
          <w:rStyle w:val="VerbatimChar"/>
        </w:rPr>
        <w:t xml:space="preserve">facilities.R</w:t>
      </w:r>
      <w:r>
        <w:t xml:space="preserve"> </w:t>
      </w:r>
      <w:r>
        <w:t xml:space="preserve">optimizes center placement;</w:t>
      </w:r>
      <w:r>
        <w:t xml:space="preserve"> </w:t>
      </w:r>
      <w:r>
        <w:rPr>
          <w:rStyle w:val="VerbatimChar"/>
        </w:rPr>
        <w:t xml:space="preserve">sensitivity.R</w:t>
      </w:r>
      <w:r>
        <w:t xml:space="preserve"> </w:t>
      </w:r>
      <w:r>
        <w:t xml:space="preserve">evaluates alternative specifications; and</w:t>
      </w:r>
      <w:r>
        <w:t xml:space="preserve"> </w:t>
      </w:r>
      <w:r>
        <w:rPr>
          <w:rStyle w:val="VerbatimChar"/>
        </w:rPr>
        <w:t xml:space="preserve">export.R</w:t>
      </w:r>
      <w:r>
        <w:t xml:space="preserve"> </w:t>
      </w:r>
      <w:r>
        <w:t xml:space="preserve">saves the report inputs. Shared numerical helpers and output configuration are kept in separate modules. Run</w:t>
      </w:r>
      <w:r>
        <w:t xml:space="preserve"> </w:t>
      </w:r>
      <w:r>
        <w:rPr>
          <w:rStyle w:val="VerbatimChar"/>
        </w:rPr>
        <w:t xml:space="preserve">Rscript run_analysis.R</w:t>
      </w:r>
      <w:r>
        <w:t xml:space="preserve"> </w:t>
      </w:r>
      <w:r>
        <w:t xml:space="preserve">from the repository root, then</w:t>
      </w:r>
      <w:r>
        <w:t xml:space="preserve"> </w:t>
      </w:r>
      <w:r>
        <w:rPr>
          <w:rStyle w:val="VerbatimChar"/>
        </w:rPr>
        <w:t xml:space="preserve">Rscript tests/check_outputs.R</w:t>
      </w:r>
      <w:r>
        <w:t xml:space="preserve"> </w:t>
      </w:r>
      <w:r>
        <w:t xml:space="preserve">and</w:t>
      </w:r>
      <w:r>
        <w:t xml:space="preserve"> </w:t>
      </w:r>
      <w:r>
        <w:rPr>
          <w:rStyle w:val="VerbatimChar"/>
        </w:rPr>
        <w:t xml:space="preserve">python3 tests/check_reproduction.py</w:t>
      </w:r>
      <w:r>
        <w:t xml:space="preserve">.</w:t>
      </w:r>
    </w:p>
    <w:bookmarkEnd w:id="19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3" Target="media/rId43.png" /><Relationship Type="http://schemas.openxmlformats.org/officeDocument/2006/relationships/image" Id="rId47" Target="media/rId47.png" /><Relationship Type="http://schemas.openxmlformats.org/officeDocument/2006/relationships/image" Id="rId59" Target="media/rId59.png" /><Relationship Type="http://schemas.openxmlformats.org/officeDocument/2006/relationships/image" Id="rId64" Target="media/rId64.png" /><Relationship Type="http://schemas.openxmlformats.org/officeDocument/2006/relationships/image" Id="rId54" Target="media/rId54.png" /><Relationship Type="http://schemas.openxmlformats.org/officeDocument/2006/relationships/image" Id="rId73" Target="media/rId73.png" /><Relationship Type="http://schemas.openxmlformats.org/officeDocument/2006/relationships/image" Id="rId78" Target="media/rId78.png" /><Relationship Type="http://schemas.openxmlformats.org/officeDocument/2006/relationships/image" Id="rId84" Target="media/rId84.png" /><Relationship Type="http://schemas.openxmlformats.org/officeDocument/2006/relationships/image" Id="rId90" Target="media/rId90.png" /><Relationship Type="http://schemas.openxmlformats.org/officeDocument/2006/relationships/image" Id="rId103" Target="media/rId103.png" /><Relationship Type="http://schemas.openxmlformats.org/officeDocument/2006/relationships/image" Id="rId97" Target="media/rId97.png" /><Relationship Type="http://schemas.openxmlformats.org/officeDocument/2006/relationships/image" Id="rId111" Target="media/rId111.png" /><Relationship Type="http://schemas.openxmlformats.org/officeDocument/2006/relationships/image" Id="rId24" Target="media/rId24.png" /><Relationship Type="http://schemas.openxmlformats.org/officeDocument/2006/relationships/hyperlink" Id="rId176" Target="https://CRAN.R-project.org/package=gstat" TargetMode="External" /><Relationship Type="http://schemas.openxmlformats.org/officeDocument/2006/relationships/hyperlink" Id="rId186" Target="https://data.gov.sg/datasets/d_8594ae9ff96d0c708bc2af633048edfb/view" TargetMode="External" /><Relationship Type="http://schemas.openxmlformats.org/officeDocument/2006/relationships/hyperlink" Id="rId156" Target="https://data.gov.sg/datasets/d_b39d3a0871985372d7e1637193335da5/view" TargetMode="External" /><Relationship Type="http://schemas.openxmlformats.org/officeDocument/2006/relationships/hyperlink" Id="rId178" Target="https://data.gov.sg/datasets/d_f706de1427279e61fe41e89e24d440fa/view" TargetMode="External" /><Relationship Type="http://schemas.openxmlformats.org/officeDocument/2006/relationships/hyperlink" Id="rId188" Target="https://doi.org/10.1002/0471662682" TargetMode="External" /><Relationship Type="http://schemas.openxmlformats.org/officeDocument/2006/relationships/hyperlink" Id="rId182" Target="https://doi.org/10.1002/2017GH000080" TargetMode="External" /><Relationship Type="http://schemas.openxmlformats.org/officeDocument/2006/relationships/hyperlink" Id="rId137" Target="https://doi.org/10.1002/9781119115151" TargetMode="External" /><Relationship Type="http://schemas.openxmlformats.org/officeDocument/2006/relationships/hyperlink" Id="rId127" Target="https://doi.org/10.1007/BF00116466" TargetMode="External" /><Relationship Type="http://schemas.openxmlformats.org/officeDocument/2006/relationships/hyperlink" Id="rId135" Target="https://doi.org/10.1007/BF01032109" TargetMode="External" /><Relationship Type="http://schemas.openxmlformats.org/officeDocument/2006/relationships/hyperlink" Id="rId131" Target="https://doi.org/10.1007/s11749-018-0599-x" TargetMode="External" /><Relationship Type="http://schemas.openxmlformats.org/officeDocument/2006/relationships/hyperlink" Id="rId125" Target="https://doi.org/10.1016/0166-0462(95)02111-6" TargetMode="External" /><Relationship Type="http://schemas.openxmlformats.org/officeDocument/2006/relationships/hyperlink" Id="rId129" Target="https://doi.org/10.1016/S1473-3099(03)00830-2" TargetMode="External" /><Relationship Type="http://schemas.openxmlformats.org/officeDocument/2006/relationships/hyperlink" Id="rId172" Target="https://doi.org/10.1016/j.cageo.2004.03.012" TargetMode="External" /><Relationship Type="http://schemas.openxmlformats.org/officeDocument/2006/relationships/hyperlink" Id="rId166" Target="https://doi.org/10.1016/j.catena.2013.09.006" TargetMode="External" /><Relationship Type="http://schemas.openxmlformats.org/officeDocument/2006/relationships/hyperlink" Id="rId184" Target="https://doi.org/10.1016/j.envres.2018.06.030" TargetMode="External" /><Relationship Type="http://schemas.openxmlformats.org/officeDocument/2006/relationships/hyperlink" Id="rId170" Target="https://doi.org/10.1016/j.micinf.2009.05.005" TargetMode="External" /><Relationship Type="http://schemas.openxmlformats.org/officeDocument/2006/relationships/hyperlink" Id="rId145" Target="https://doi.org/10.1093/oso/9780195115383.001.0001" TargetMode="External" /><Relationship Type="http://schemas.openxmlformats.org/officeDocument/2006/relationships/hyperlink" Id="rId143" Target="https://doi.org/10.1111/1467-9876.00113" TargetMode="External" /><Relationship Type="http://schemas.openxmlformats.org/officeDocument/2006/relationships/hyperlink" Id="rId190" Target="https://doi.org/10.1111/j.1365-2389.1992.tb00128.x" TargetMode="External" /><Relationship Type="http://schemas.openxmlformats.org/officeDocument/2006/relationships/hyperlink" Id="rId158" Target="https://doi.org/10.1111/j.1467-9868.2011.00777.x" TargetMode="External" /><Relationship Type="http://schemas.openxmlformats.org/officeDocument/2006/relationships/hyperlink" Id="rId141" Target="https://doi.org/10.1111/j.1467-9876.2009.00701.x" TargetMode="External" /><Relationship Type="http://schemas.openxmlformats.org/officeDocument/2006/relationships/hyperlink" Id="rId164" Target="https://doi.org/10.1146/annurev.pu.16.050195.000425" TargetMode="External" /><Relationship Type="http://schemas.openxmlformats.org/officeDocument/2006/relationships/hyperlink" Id="rId147" Target="https://doi.org/10.1186/1476-072X-4-31" TargetMode="External" /><Relationship Type="http://schemas.openxmlformats.org/officeDocument/2006/relationships/hyperlink" Id="rId149" Target="https://doi.org/10.1198/016214502760047140" TargetMode="External" /><Relationship Type="http://schemas.openxmlformats.org/officeDocument/2006/relationships/hyperlink" Id="rId153" Target="https://doi.org/10.1287/opre.13.3.462" TargetMode="External" /><Relationship Type="http://schemas.openxmlformats.org/officeDocument/2006/relationships/hyperlink" Id="rId160" Target="https://doi.org/10.2113/gsecongeo.58.8.1246" TargetMode="External" /><Relationship Type="http://schemas.openxmlformats.org/officeDocument/2006/relationships/hyperlink" Id="rId133" Target="https://doi.org/10.2136/sssaj1994.03615995005800050033x" TargetMode="External" /><Relationship Type="http://schemas.openxmlformats.org/officeDocument/2006/relationships/hyperlink" Id="rId162" Target="https://doi.org/10.2307/2332142" TargetMode="External" /><Relationship Type="http://schemas.openxmlformats.org/officeDocument/2006/relationships/hyperlink" Id="rId168" Target="https://doi.org/10.3201/eid1206.051210" TargetMode="External" /><Relationship Type="http://schemas.openxmlformats.org/officeDocument/2006/relationships/hyperlink" Id="rId151" Target="https://doi.org/10.32614/RJ-2016-014" TargetMode="External" /><Relationship Type="http://schemas.openxmlformats.org/officeDocument/2006/relationships/hyperlink" Id="rId174" Target="https://doi.org/10.32614/RJ-2018-009" TargetMode="External" /><Relationship Type="http://schemas.openxmlformats.org/officeDocument/2006/relationships/hyperlink" Id="rId194" Target="https://github.com/ansellim/kriging-incidence" TargetMode="External" /><Relationship Type="http://schemas.openxmlformats.org/officeDocument/2006/relationships/hyperlink" Id="rId180" Target="https://www.onepa.gov.sg/cc" TargetMode="External" /></Relationships>
</file>

<file path=word/_rels/footnotes.xml.rels><?xml version="1.0" encoding="UTF-8"?><Relationships xmlns="http://schemas.openxmlformats.org/package/2006/relationships"><Relationship Type="http://schemas.openxmlformats.org/officeDocument/2006/relationships/hyperlink" Id="rId176" Target="https://CRAN.R-project.org/package=gstat" TargetMode="External" /><Relationship Type="http://schemas.openxmlformats.org/officeDocument/2006/relationships/hyperlink" Id="rId186" Target="https://data.gov.sg/datasets/d_8594ae9ff96d0c708bc2af633048edfb/view" TargetMode="External" /><Relationship Type="http://schemas.openxmlformats.org/officeDocument/2006/relationships/hyperlink" Id="rId156" Target="https://data.gov.sg/datasets/d_b39d3a0871985372d7e1637193335da5/view" TargetMode="External" /><Relationship Type="http://schemas.openxmlformats.org/officeDocument/2006/relationships/hyperlink" Id="rId178" Target="https://data.gov.sg/datasets/d_f706de1427279e61fe41e89e24d440fa/view" TargetMode="External" /><Relationship Type="http://schemas.openxmlformats.org/officeDocument/2006/relationships/hyperlink" Id="rId188" Target="https://doi.org/10.1002/0471662682" TargetMode="External" /><Relationship Type="http://schemas.openxmlformats.org/officeDocument/2006/relationships/hyperlink" Id="rId182" Target="https://doi.org/10.1002/2017GH000080" TargetMode="External" /><Relationship Type="http://schemas.openxmlformats.org/officeDocument/2006/relationships/hyperlink" Id="rId137" Target="https://doi.org/10.1002/9781119115151" TargetMode="External" /><Relationship Type="http://schemas.openxmlformats.org/officeDocument/2006/relationships/hyperlink" Id="rId127" Target="https://doi.org/10.1007/BF00116466" TargetMode="External" /><Relationship Type="http://schemas.openxmlformats.org/officeDocument/2006/relationships/hyperlink" Id="rId135" Target="https://doi.org/10.1007/BF01032109" TargetMode="External" /><Relationship Type="http://schemas.openxmlformats.org/officeDocument/2006/relationships/hyperlink" Id="rId131" Target="https://doi.org/10.1007/s11749-018-0599-x" TargetMode="External" /><Relationship Type="http://schemas.openxmlformats.org/officeDocument/2006/relationships/hyperlink" Id="rId125" Target="https://doi.org/10.1016/0166-0462(95)02111-6" TargetMode="External" /><Relationship Type="http://schemas.openxmlformats.org/officeDocument/2006/relationships/hyperlink" Id="rId129" Target="https://doi.org/10.1016/S1473-3099(03)00830-2" TargetMode="External" /><Relationship Type="http://schemas.openxmlformats.org/officeDocument/2006/relationships/hyperlink" Id="rId172" Target="https://doi.org/10.1016/j.cageo.2004.03.012" TargetMode="External" /><Relationship Type="http://schemas.openxmlformats.org/officeDocument/2006/relationships/hyperlink" Id="rId166" Target="https://doi.org/10.1016/j.catena.2013.09.006" TargetMode="External" /><Relationship Type="http://schemas.openxmlformats.org/officeDocument/2006/relationships/hyperlink" Id="rId184" Target="https://doi.org/10.1016/j.envres.2018.06.030" TargetMode="External" /><Relationship Type="http://schemas.openxmlformats.org/officeDocument/2006/relationships/hyperlink" Id="rId170" Target="https://doi.org/10.1016/j.micinf.2009.05.005" TargetMode="External" /><Relationship Type="http://schemas.openxmlformats.org/officeDocument/2006/relationships/hyperlink" Id="rId145" Target="https://doi.org/10.1093/oso/9780195115383.001.0001" TargetMode="External" /><Relationship Type="http://schemas.openxmlformats.org/officeDocument/2006/relationships/hyperlink" Id="rId143" Target="https://doi.org/10.1111/1467-9876.00113" TargetMode="External" /><Relationship Type="http://schemas.openxmlformats.org/officeDocument/2006/relationships/hyperlink" Id="rId190" Target="https://doi.org/10.1111/j.1365-2389.1992.tb00128.x" TargetMode="External" /><Relationship Type="http://schemas.openxmlformats.org/officeDocument/2006/relationships/hyperlink" Id="rId158" Target="https://doi.org/10.1111/j.1467-9868.2011.00777.x" TargetMode="External" /><Relationship Type="http://schemas.openxmlformats.org/officeDocument/2006/relationships/hyperlink" Id="rId141" Target="https://doi.org/10.1111/j.1467-9876.2009.00701.x" TargetMode="External" /><Relationship Type="http://schemas.openxmlformats.org/officeDocument/2006/relationships/hyperlink" Id="rId164" Target="https://doi.org/10.1146/annurev.pu.16.050195.000425" TargetMode="External" /><Relationship Type="http://schemas.openxmlformats.org/officeDocument/2006/relationships/hyperlink" Id="rId147" Target="https://doi.org/10.1186/1476-072X-4-31" TargetMode="External" /><Relationship Type="http://schemas.openxmlformats.org/officeDocument/2006/relationships/hyperlink" Id="rId149" Target="https://doi.org/10.1198/016214502760047140" TargetMode="External" /><Relationship Type="http://schemas.openxmlformats.org/officeDocument/2006/relationships/hyperlink" Id="rId153" Target="https://doi.org/10.1287/opre.13.3.462" TargetMode="External" /><Relationship Type="http://schemas.openxmlformats.org/officeDocument/2006/relationships/hyperlink" Id="rId160" Target="https://doi.org/10.2113/gsecongeo.58.8.1246" TargetMode="External" /><Relationship Type="http://schemas.openxmlformats.org/officeDocument/2006/relationships/hyperlink" Id="rId133" Target="https://doi.org/10.2136/sssaj1994.03615995005800050033x" TargetMode="External" /><Relationship Type="http://schemas.openxmlformats.org/officeDocument/2006/relationships/hyperlink" Id="rId162" Target="https://doi.org/10.2307/2332142" TargetMode="External" /><Relationship Type="http://schemas.openxmlformats.org/officeDocument/2006/relationships/hyperlink" Id="rId168" Target="https://doi.org/10.3201/eid1206.051210" TargetMode="External" /><Relationship Type="http://schemas.openxmlformats.org/officeDocument/2006/relationships/hyperlink" Id="rId151" Target="https://doi.org/10.32614/RJ-2016-014" TargetMode="External" /><Relationship Type="http://schemas.openxmlformats.org/officeDocument/2006/relationships/hyperlink" Id="rId174" Target="https://doi.org/10.32614/RJ-2018-009" TargetMode="External" /><Relationship Type="http://schemas.openxmlformats.org/officeDocument/2006/relationships/hyperlink" Id="rId194" Target="https://github.com/ansellim/kriging-incidence" TargetMode="External" /><Relationship Type="http://schemas.openxmlformats.org/officeDocument/2006/relationships/hyperlink" Id="rId180" Target="https://www.onepa.gov.sg/cc"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Kriging Disease Case Counts Across Singapore</dc:title>
  <dc:creator>Ansel Lim</dc:creator>
  <cp:keywords/>
  <dcterms:created xsi:type="dcterms:W3CDTF">2026-10-09T06:08:12Z</dcterms:created>
  <dcterms:modified xsi:type="dcterms:W3CDTF">2026-10-09T06:08:12Z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y-author">
    <vt:lpwstr/>
  </property>
  <property fmtid="{D5CDD505-2E9C-101B-9397-08002B2CF9AE}" pid="6" name="csl">
    <vt:lpwstr>references/chicago-author-date.csl</vt:lpwstr>
  </property>
  <property fmtid="{D5CDD505-2E9C-101B-9397-08002B2CF9AE}" pid="7" name="date">
    <vt:lpwstr>9 October 2026</vt:lpwstr>
  </property>
  <property fmtid="{D5CDD505-2E9C-101B-9397-08002B2CF9AE}" pid="8" name="date-format">
    <vt:lpwstr>D MMMM YYYY</vt:lpwstr>
  </property>
  <property fmtid="{D5CDD505-2E9C-101B-9397-08002B2CF9AE}" pid="9" name="execute">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subtitle">
    <vt:lpwstr>SPH5105 Individual Assessment 2</vt:lpwstr>
  </property>
  <property fmtid="{D5CDD505-2E9C-101B-9397-08002B2CF9AE}" pid="15" name="toc-title">
    <vt:lpwstr>Table of contents</vt:lpwstr>
  </property>
</Properties>
</file>