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55E2"/>
          <w:sz w:val="56"/>
        </w:rPr>
        <w:t>Proof of Demand (PoD) Engine</w:t>
      </w:r>
    </w:p>
    <w:p>
      <w:pPr>
        <w:jc w:val="center"/>
      </w:pPr>
      <w:r>
        <w:rPr>
          <w:rFonts w:ascii="Arial" w:hAnsi="Arial"/>
          <w:color w:val="64748B"/>
          <w:sz w:val="28"/>
        </w:rPr>
        <w:t>The Complete Founder's Guide: Validating Startup Demand Before Building</w:t>
      </w:r>
    </w:p>
    <w:p>
      <w:pPr>
        <w:jc w:val="center"/>
      </w:pPr>
      <w:r>
        <w:rPr>
          <w:rFonts w:ascii="Arial" w:hAnsi="Arial"/>
          <w:i/>
          <w:color w:val="64748B"/>
          <w:sz w:val="20"/>
        </w:rPr>
        <w:t>Version 1.0  |  Platform: https://pod-blue-nine.vercel.app  |  September 2026</w:t>
      </w:r>
    </w:p>
    <w:p>
      <w:pPr>
        <w:spacing w:after="240"/>
      </w:pPr>
    </w:p>
    <w:p>
      <w:pPr>
        <w:spacing w:before="360" w:after="120"/>
      </w:pPr>
      <w:r>
        <w:rPr>
          <w:rFonts w:ascii="Arial" w:hAnsi="Arial"/>
          <w:b/>
          <w:color w:val="1B55E2"/>
          <w:sz w:val="36"/>
        </w:rPr>
        <w:t>1. What is PoD Engine?</w:t>
      </w:r>
    </w:p>
    <w:p>
      <w:pPr>
        <w:spacing w:after="120" w:line="276" w:lineRule="auto"/>
      </w:pPr>
      <w:r>
        <w:rPr>
          <w:rFonts w:ascii="Arial" w:hAnsi="Arial"/>
          <w:color w:val="1E293B"/>
          <w:sz w:val="21"/>
        </w:rPr>
        <w:t>Proof of Demand (PoD) Engine is an evidence-first validation platform for founders, product builders, and startup studios. More than 90% of new startups fail because they spend months writing code for products that customers ultimately do not want or will not pay for. PoD Engine flips this traditional approach on its head: it validates market demand using real behavioral evidence, live micro-landing pages, and AI-powered intent scoring BEFORE you build.</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Pr>
          <w:p>
            <w:pPr>
              <w:spacing w:after="40"/>
            </w:pPr>
            <w:r>
              <w:rPr>
                <w:rFonts w:ascii="Arial" w:hAnsi="Arial"/>
                <w:b/>
                <w:color w:val="1B55E2"/>
                <w:sz w:val="20"/>
              </w:rPr>
              <w:t xml:space="preserve">💡 THE FOUNDER'S GOLDEN RULE: </w:t>
            </w:r>
            <w:r>
              <w:rPr>
                <w:rFonts w:ascii="Arial" w:hAnsi="Arial"/>
                <w:color w:val="1E293B"/>
                <w:sz w:val="20"/>
              </w:rPr>
              <w:t>Never spend 6 months building an MVP on a guess. Use PoD Engine to test positioning, audience resonance, and willingness to pay in 3 to 7 days for under $100.</w:t>
            </w:r>
          </w:p>
        </w:tc>
      </w:tr>
    </w:tbl>
    <w:p>
      <w:pPr>
        <w:spacing w:after="160"/>
      </w:pPr>
    </w:p>
    <w:p>
      <w:pPr>
        <w:spacing w:before="360" w:after="120"/>
      </w:pPr>
      <w:r>
        <w:rPr>
          <w:rFonts w:ascii="Arial" w:hAnsi="Arial"/>
          <w:b/>
          <w:color w:val="1B55E2"/>
          <w:sz w:val="36"/>
        </w:rPr>
        <w:t>2. Who Uses This Platform?</w:t>
      </w:r>
    </w:p>
    <w:p>
      <w:pPr>
        <w:spacing w:after="120" w:line="276" w:lineRule="auto"/>
      </w:pPr>
      <w:r>
        <w:rPr>
          <w:rFonts w:ascii="Arial" w:hAnsi="Arial"/>
          <w:b/>
          <w:color w:val="1E293B"/>
          <w:sz w:val="21"/>
        </w:rPr>
        <w:t xml:space="preserve">• Solo Founders &amp; Indie Hackers: </w:t>
      </w:r>
      <w:r>
        <w:rPr>
          <w:rFonts w:ascii="Arial" w:hAnsi="Arial"/>
          <w:color w:val="1E293B"/>
          <w:sz w:val="21"/>
        </w:rPr>
        <w:t xml:space="preserve"> Solo founders testing a new software idea before quitting their job or hiring developers.</w:t>
      </w:r>
    </w:p>
    <w:p>
      <w:pPr>
        <w:spacing w:after="120" w:line="276" w:lineRule="auto"/>
      </w:pPr>
      <w:r>
        <w:rPr>
          <w:rFonts w:ascii="Arial" w:hAnsi="Arial"/>
          <w:b/>
          <w:color w:val="1E293B"/>
          <w:sz w:val="21"/>
        </w:rPr>
        <w:t xml:space="preserve">• Startup Studios &amp; Venture Builders: </w:t>
      </w:r>
      <w:r>
        <w:rPr>
          <w:rFonts w:ascii="Arial" w:hAnsi="Arial"/>
          <w:color w:val="1E293B"/>
          <w:sz w:val="21"/>
        </w:rPr>
        <w:t xml:space="preserve"> Incubators, accelerators, and venture builders managing a portfolio of 10+ concurrent ideas to determine which concepts deserve funding.</w:t>
      </w:r>
    </w:p>
    <w:p>
      <w:pPr>
        <w:spacing w:after="120" w:line="276" w:lineRule="auto"/>
      </w:pPr>
      <w:r>
        <w:rPr>
          <w:rFonts w:ascii="Arial" w:hAnsi="Arial"/>
          <w:b/>
          <w:color w:val="1E293B"/>
          <w:sz w:val="21"/>
        </w:rPr>
        <w:t xml:space="preserve">• Growth &amp; Product Teams: </w:t>
      </w:r>
      <w:r>
        <w:rPr>
          <w:rFonts w:ascii="Arial" w:hAnsi="Arial"/>
          <w:color w:val="1E293B"/>
          <w:sz w:val="21"/>
        </w:rPr>
        <w:t xml:space="preserve"> Evaluating feature expansions, pricing tier adjustments, or entering adjacent market segments.</w:t>
      </w:r>
    </w:p>
    <w:p>
      <w:pPr>
        <w:spacing w:before="360" w:after="120"/>
      </w:pPr>
      <w:r>
        <w:rPr>
          <w:rFonts w:ascii="Arial" w:hAnsi="Arial"/>
          <w:b/>
          <w:color w:val="1B55E2"/>
          <w:sz w:val="36"/>
        </w:rPr>
        <w:t>3. End-to-End User Journey (How to Use the App)</w:t>
      </w:r>
    </w:p>
    <w:p>
      <w:pPr>
        <w:spacing w:before="280" w:after="80"/>
      </w:pPr>
      <w:r>
        <w:rPr>
          <w:rFonts w:ascii="Arial" w:hAnsi="Arial"/>
          <w:b/>
          <w:color w:val="1E293B"/>
          <w:sz w:val="28"/>
        </w:rPr>
        <w:t>Step 1: Sign In &amp; Workspace Setup</w:t>
      </w:r>
    </w:p>
    <w:p>
      <w:pPr>
        <w:spacing w:after="120" w:line="276" w:lineRule="auto"/>
      </w:pPr>
      <w:r>
        <w:rPr>
          <w:rFonts w:ascii="Arial" w:hAnsi="Arial"/>
          <w:color w:val="1E293B"/>
          <w:sz w:val="21"/>
        </w:rPr>
        <w:t>Users sign in securely via Clerk using their Google account or email. Upon authentication, each user receives a dedicated workspace. If you work with co-founders or team members, you can invite them by email under Settings &gt; Team, assigning roles such as Owner, Admin, or Member.</w:t>
      </w:r>
    </w:p>
    <w:p>
      <w:pPr>
        <w:spacing w:before="280" w:after="80"/>
      </w:pPr>
      <w:r>
        <w:rPr>
          <w:rFonts w:ascii="Arial" w:hAnsi="Arial"/>
          <w:b/>
          <w:color w:val="1E293B"/>
          <w:sz w:val="28"/>
        </w:rPr>
        <w:t>Step 2: The Idea &amp; Onboarding Wizard (/onboarding)</w:t>
      </w:r>
    </w:p>
    <w:p>
      <w:pPr>
        <w:spacing w:after="120" w:line="276" w:lineRule="auto"/>
      </w:pPr>
      <w:r>
        <w:rPr>
          <w:rFonts w:ascii="Arial" w:hAnsi="Arial"/>
          <w:color w:val="1E293B"/>
          <w:sz w:val="21"/>
        </w:rPr>
        <w:t>When starting a new venture, the user enters the 6-step Onboarding Wizard to define the core assumptions:</w:t>
      </w:r>
    </w:p>
    <w:p>
      <w:pPr>
        <w:spacing w:after="120" w:line="276" w:lineRule="auto"/>
      </w:pPr>
      <w:r>
        <w:rPr>
          <w:rFonts w:ascii="Arial" w:hAnsi="Arial"/>
          <w:b/>
          <w:color w:val="1E293B"/>
          <w:sz w:val="21"/>
        </w:rPr>
        <w:t xml:space="preserve">1. Product Concept: </w:t>
      </w:r>
      <w:r>
        <w:rPr>
          <w:rFonts w:ascii="Arial" w:hAnsi="Arial"/>
          <w:color w:val="1E293B"/>
          <w:sz w:val="21"/>
        </w:rPr>
        <w:t xml:space="preserve"> The name and a crisp one-sentence description of what your solution does.</w:t>
      </w:r>
    </w:p>
    <w:p>
      <w:pPr>
        <w:spacing w:after="120" w:line="276" w:lineRule="auto"/>
      </w:pPr>
      <w:r>
        <w:rPr>
          <w:rFonts w:ascii="Arial" w:hAnsi="Arial"/>
          <w:b/>
          <w:color w:val="1E293B"/>
          <w:sz w:val="21"/>
        </w:rPr>
        <w:t xml:space="preserve">2. Core Problem: </w:t>
      </w:r>
      <w:r>
        <w:rPr>
          <w:rFonts w:ascii="Arial" w:hAnsi="Arial"/>
          <w:color w:val="1E293B"/>
          <w:sz w:val="21"/>
        </w:rPr>
        <w:t xml:space="preserve"> What manual process or frustration currently costs your target customer hours or dollars?</w:t>
      </w:r>
    </w:p>
    <w:p>
      <w:pPr>
        <w:spacing w:after="120" w:line="276" w:lineRule="auto"/>
      </w:pPr>
      <w:r>
        <w:rPr>
          <w:rFonts w:ascii="Arial" w:hAnsi="Arial"/>
          <w:b/>
          <w:color w:val="1E293B"/>
          <w:sz w:val="21"/>
        </w:rPr>
        <w:t xml:space="preserve">3. Alternatives: </w:t>
      </w:r>
      <w:r>
        <w:rPr>
          <w:rFonts w:ascii="Arial" w:hAnsi="Arial"/>
          <w:color w:val="1E293B"/>
          <w:sz w:val="21"/>
        </w:rPr>
        <w:t xml:space="preserve"> How do customers solve this today? (e.g. spreadsheets, competitor software, manual labor)</w:t>
      </w:r>
    </w:p>
    <w:p>
      <w:pPr>
        <w:spacing w:after="120" w:line="276" w:lineRule="auto"/>
      </w:pPr>
      <w:r>
        <w:rPr>
          <w:rFonts w:ascii="Arial" w:hAnsi="Arial"/>
          <w:b/>
          <w:color w:val="1E293B"/>
          <w:sz w:val="21"/>
        </w:rPr>
        <w:t xml:space="preserve">4. Business Model &amp; Pricing: </w:t>
      </w:r>
      <w:r>
        <w:rPr>
          <w:rFonts w:ascii="Arial" w:hAnsi="Arial"/>
          <w:color w:val="1E293B"/>
          <w:sz w:val="21"/>
        </w:rPr>
        <w:t xml:space="preserve"> Subscription, usage-based, or one-time license, including expected price points ($49/mo, $99/mo, etc.).</w:t>
      </w:r>
    </w:p>
    <w:p>
      <w:pPr>
        <w:spacing w:after="120" w:line="276" w:lineRule="auto"/>
      </w:pPr>
      <w:r>
        <w:rPr>
          <w:rFonts w:ascii="Arial" w:hAnsi="Arial"/>
          <w:b/>
          <w:color w:val="1E293B"/>
          <w:sz w:val="21"/>
        </w:rPr>
        <w:t xml:space="preserve">5. Target Audience: </w:t>
      </w:r>
      <w:r>
        <w:rPr>
          <w:rFonts w:ascii="Arial" w:hAnsi="Arial"/>
          <w:color w:val="1E293B"/>
          <w:sz w:val="21"/>
        </w:rPr>
        <w:t xml:space="preserve"> Who makes the buying decision? (Job titles, industry, geography, company headcount).</w:t>
      </w:r>
    </w:p>
    <w:p>
      <w:pPr>
        <w:spacing w:after="120" w:line="276" w:lineRule="auto"/>
      </w:pPr>
      <w:r>
        <w:rPr>
          <w:rFonts w:ascii="Arial" w:hAnsi="Arial"/>
          <w:b/>
          <w:color w:val="1E293B"/>
          <w:sz w:val="21"/>
        </w:rPr>
        <w:t xml:space="preserve">6. Validation Budget: </w:t>
      </w:r>
      <w:r>
        <w:rPr>
          <w:rFonts w:ascii="Arial" w:hAnsi="Arial"/>
          <w:color w:val="1E293B"/>
          <w:sz w:val="21"/>
        </w:rPr>
        <w:t xml:space="preserve"> Expected test ad spend ($50 - $200) across Meta, Google, or LinkedIn.</w:t>
      </w:r>
    </w:p>
    <w:p>
      <w:pPr>
        <w:spacing w:before="280" w:after="80"/>
      </w:pPr>
      <w:r>
        <w:rPr>
          <w:rFonts w:ascii="Arial" w:hAnsi="Arial"/>
          <w:b/>
          <w:color w:val="1E293B"/>
          <w:sz w:val="28"/>
        </w:rPr>
        <w:t>Step 3: Audience Personas &amp; Segments (/dashboard/audiences)</w:t>
      </w:r>
    </w:p>
    <w:p>
      <w:pPr>
        <w:spacing w:after="120" w:line="276" w:lineRule="auto"/>
      </w:pPr>
      <w:r>
        <w:rPr>
          <w:rFonts w:ascii="Arial" w:hAnsi="Arial"/>
          <w:color w:val="1E293B"/>
          <w:sz w:val="21"/>
        </w:rPr>
        <w:t>The Audiences dashboard tracks your primary customer profile and breaks them down into segmented cohorts. For example, a B2B SaaS tool might segment between 'Early Adopter Founders' (high agility, rapid conversion) and 'Growth Stage Operations Leads' (higher budget, longer buying cycle). The app calculates intent scores for each segment.</w:t>
      </w:r>
    </w:p>
    <w:p>
      <w:pPr>
        <w:spacing w:before="280" w:after="80"/>
      </w:pPr>
      <w:r>
        <w:rPr>
          <w:rFonts w:ascii="Arial" w:hAnsi="Arial"/>
          <w:b/>
          <w:color w:val="1E293B"/>
          <w:sz w:val="28"/>
        </w:rPr>
        <w:t>Step 4: Launching Landing Page Variants (/dashboard/landing-pages)</w:t>
      </w:r>
    </w:p>
    <w:p>
      <w:pPr>
        <w:spacing w:after="120" w:line="276" w:lineRule="auto"/>
      </w:pPr>
      <w:r>
        <w:rPr>
          <w:rFonts w:ascii="Arial" w:hAnsi="Arial"/>
          <w:color w:val="1E293B"/>
          <w:sz w:val="21"/>
        </w:rPr>
        <w:t>Testing a single message is rarely enough. The app allows you to launch multiple live landing page variants hosted instantly at https://pod-blue-nine.vercel.app/p/[slug]. You can test contrasting angles:</w:t>
      </w:r>
    </w:p>
    <w:p>
      <w:pPr>
        <w:spacing w:after="120" w:line="276" w:lineRule="auto"/>
      </w:pPr>
      <w:r>
        <w:rPr>
          <w:rFonts w:ascii="Arial" w:hAnsi="Arial"/>
          <w:b/>
          <w:color w:val="1E293B"/>
          <w:sz w:val="21"/>
        </w:rPr>
        <w:t xml:space="preserve">• Variant A (Pain-Centric): </w:t>
      </w:r>
      <w:r>
        <w:rPr>
          <w:rFonts w:ascii="Arial" w:hAnsi="Arial"/>
          <w:color w:val="1E293B"/>
          <w:sz w:val="21"/>
        </w:rPr>
        <w:t xml:space="preserve"> Focuses on the acute pain point ('Stop wasting 6 hours every Friday').</w:t>
      </w:r>
    </w:p>
    <w:p>
      <w:pPr>
        <w:spacing w:after="120" w:line="276" w:lineRule="auto"/>
      </w:pPr>
      <w:r>
        <w:rPr>
          <w:rFonts w:ascii="Arial" w:hAnsi="Arial"/>
          <w:b/>
          <w:color w:val="1E293B"/>
          <w:sz w:val="21"/>
        </w:rPr>
        <w:t xml:space="preserve">• Variant B (Feature-Centric): </w:t>
      </w:r>
      <w:r>
        <w:rPr>
          <w:rFonts w:ascii="Arial" w:hAnsi="Arial"/>
          <w:color w:val="1E293B"/>
          <w:sz w:val="21"/>
        </w:rPr>
        <w:t xml:space="preserve"> Focuses on the technological capability ('AI that automates report generation in 1 click').</w:t>
      </w:r>
    </w:p>
    <w:p>
      <w:pPr>
        <w:spacing w:after="120" w:line="276" w:lineRule="auto"/>
      </w:pPr>
      <w:r>
        <w:rPr>
          <w:rFonts w:ascii="Arial" w:hAnsi="Arial"/>
          <w:b/>
          <w:color w:val="1E293B"/>
          <w:sz w:val="21"/>
        </w:rPr>
        <w:t xml:space="preserve">• Variant C (Pricing-Centric): </w:t>
      </w:r>
      <w:r>
        <w:rPr>
          <w:rFonts w:ascii="Arial" w:hAnsi="Arial"/>
          <w:color w:val="1E293B"/>
          <w:sz w:val="21"/>
        </w:rPr>
        <w:t xml:space="preserve"> Tests transparent pricing tiers to gauge purchase readiness before building.</w:t>
      </w:r>
    </w:p>
    <w:p>
      <w:pPr>
        <w:spacing w:before="280" w:after="80"/>
      </w:pPr>
      <w:r>
        <w:rPr>
          <w:rFonts w:ascii="Arial" w:hAnsi="Arial"/>
          <w:b/>
          <w:color w:val="1E293B"/>
          <w:sz w:val="28"/>
        </w:rPr>
        <w:t>Step 5: Tracking Real Behavioral Demand Signals (/dashboard/signals)</w:t>
      </w:r>
    </w:p>
    <w:p>
      <w:pPr>
        <w:spacing w:after="120" w:line="276" w:lineRule="auto"/>
      </w:pPr>
      <w:r>
        <w:rPr>
          <w:rFonts w:ascii="Arial" w:hAnsi="Arial"/>
          <w:color w:val="1E293B"/>
          <w:sz w:val="21"/>
        </w:rPr>
        <w:t>Traditional surveys lie; user behavior does not. The PoD Engine tracking pixel automatically monitors high-intent actions on your landing pages, categorizing them into a structured conversion funnel:</w:t>
      </w:r>
    </w:p>
    <w:p>
      <w:pPr>
        <w:spacing w:after="120" w:line="276" w:lineRule="auto"/>
      </w:pPr>
      <w:r>
        <w:rPr>
          <w:rFonts w:ascii="Arial" w:hAnsi="Arial"/>
          <w:b/>
          <w:color w:val="1E293B"/>
          <w:sz w:val="21"/>
        </w:rPr>
        <w:t xml:space="preserve">1. Page View (Awareness): </w:t>
      </w:r>
      <w:r>
        <w:rPr>
          <w:rFonts w:ascii="Arial" w:hAnsi="Arial"/>
          <w:color w:val="1E293B"/>
          <w:sz w:val="21"/>
        </w:rPr>
        <w:t xml:space="preserve"> Total unique visitors landed on the page.</w:t>
      </w:r>
    </w:p>
    <w:p>
      <w:pPr>
        <w:spacing w:after="120" w:line="276" w:lineRule="auto"/>
      </w:pPr>
      <w:r>
        <w:rPr>
          <w:rFonts w:ascii="Arial" w:hAnsi="Arial"/>
          <w:b/>
          <w:color w:val="1E293B"/>
          <w:sz w:val="21"/>
        </w:rPr>
        <w:t xml:space="preserve">2. Scroll Depth (Interest): </w:t>
      </w:r>
      <w:r>
        <w:rPr>
          <w:rFonts w:ascii="Arial" w:hAnsi="Arial"/>
          <w:color w:val="1E293B"/>
          <w:sz w:val="21"/>
        </w:rPr>
        <w:t xml:space="preserve"> Visitor read past the fold (verified engagement).</w:t>
      </w:r>
    </w:p>
    <w:p>
      <w:pPr>
        <w:spacing w:after="120" w:line="276" w:lineRule="auto"/>
      </w:pPr>
      <w:r>
        <w:rPr>
          <w:rFonts w:ascii="Arial" w:hAnsi="Arial"/>
          <w:b/>
          <w:color w:val="1E293B"/>
          <w:sz w:val="21"/>
        </w:rPr>
        <w:t xml:space="preserve">3. CTA Click (Intent): </w:t>
      </w:r>
      <w:r>
        <w:rPr>
          <w:rFonts w:ascii="Arial" w:hAnsi="Arial"/>
          <w:color w:val="1E293B"/>
          <w:sz w:val="21"/>
        </w:rPr>
        <w:t xml:space="preserve"> Visitor clicked primary value proposition buttons.</w:t>
      </w:r>
    </w:p>
    <w:p>
      <w:pPr>
        <w:spacing w:after="120" w:line="276" w:lineRule="auto"/>
      </w:pPr>
      <w:r>
        <w:rPr>
          <w:rFonts w:ascii="Arial" w:hAnsi="Arial"/>
          <w:b/>
          <w:color w:val="1E293B"/>
          <w:sz w:val="21"/>
        </w:rPr>
        <w:t xml:space="preserve">4. Pricing View (Consideration): </w:t>
      </w:r>
      <w:r>
        <w:rPr>
          <w:rFonts w:ascii="Arial" w:hAnsi="Arial"/>
          <w:color w:val="1E293B"/>
          <w:sz w:val="21"/>
        </w:rPr>
        <w:t xml:space="preserve"> Visitor inspected pricing options and packaging.</w:t>
      </w:r>
    </w:p>
    <w:p>
      <w:pPr>
        <w:spacing w:after="120" w:line="276" w:lineRule="auto"/>
      </w:pPr>
      <w:r>
        <w:rPr>
          <w:rFonts w:ascii="Arial" w:hAnsi="Arial"/>
          <w:b/>
          <w:color w:val="1E293B"/>
          <w:sz w:val="21"/>
        </w:rPr>
        <w:t xml:space="preserve">5. Checkout / Form Submit: </w:t>
      </w:r>
      <w:r>
        <w:rPr>
          <w:rFonts w:ascii="Arial" w:hAnsi="Arial"/>
          <w:color w:val="1E293B"/>
          <w:sz w:val="21"/>
        </w:rPr>
        <w:t xml:space="preserve"> Visitor submitted their email or clicked 'Order / Pre-order' (Commitment).</w:t>
      </w:r>
    </w:p>
    <w:p>
      <w:pPr>
        <w:spacing w:before="280" w:after="80"/>
      </w:pPr>
      <w:r>
        <w:rPr>
          <w:rFonts w:ascii="Arial" w:hAnsi="Arial"/>
          <w:b/>
          <w:color w:val="1E293B"/>
          <w:sz w:val="28"/>
        </w:rPr>
        <w:t>Step 6: Understanding the PoD Demand Score (/dashboard)</w:t>
      </w:r>
    </w:p>
    <w:p>
      <w:pPr>
        <w:spacing w:after="120" w:line="276" w:lineRule="auto"/>
      </w:pPr>
      <w:r>
        <w:rPr>
          <w:rFonts w:ascii="Arial" w:hAnsi="Arial"/>
          <w:color w:val="1E293B"/>
          <w:sz w:val="21"/>
        </w:rPr>
        <w:t>The Proof of Demand Score is an algorithmic rating from 0 to 100 derived from visitor volume, high-intent actions, and willingness-to-pay signals. Based on your score, the system delivers an actionable verdict: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B55E2"/>
            <w:tcMar>
              <w:top w:w="100" w:type="dxa"/>
              <w:bottom w:w="100" w:type="dxa"/>
              <w:left w:w="100" w:type="dxa"/>
              <w:right w:w="100" w:type="dxa"/>
            </w:tcMar>
          </w:tcPr>
          <w:p>
            <w:r>
              <w:rPr>
                <w:rFonts w:ascii="Arial" w:hAnsi="Arial"/>
                <w:b/>
                <w:color w:val="FFFFFF"/>
                <w:sz w:val="19"/>
              </w:rPr>
              <w:t>PoD Score</w:t>
            </w:r>
          </w:p>
        </w:tc>
        <w:tc>
          <w:tcPr>
            <w:tcW w:type="dxa" w:w="2016"/>
            <w:shd w:fill="1B55E2"/>
            <w:tcMar>
              <w:top w:w="100" w:type="dxa"/>
              <w:bottom w:w="100" w:type="dxa"/>
              <w:left w:w="100" w:type="dxa"/>
              <w:right w:w="100" w:type="dxa"/>
            </w:tcMar>
          </w:tcPr>
          <w:p>
            <w:r>
              <w:rPr>
                <w:rFonts w:ascii="Arial" w:hAnsi="Arial"/>
                <w:b/>
                <w:color w:val="FFFFFF"/>
                <w:sz w:val="19"/>
              </w:rPr>
              <w:t>Verdict</w:t>
            </w:r>
          </w:p>
        </w:tc>
        <w:tc>
          <w:tcPr>
            <w:tcW w:type="dxa" w:w="2160"/>
            <w:shd w:fill="1B55E2"/>
            <w:tcMar>
              <w:top w:w="100" w:type="dxa"/>
              <w:bottom w:w="100" w:type="dxa"/>
              <w:left w:w="100" w:type="dxa"/>
              <w:right w:w="100" w:type="dxa"/>
            </w:tcMar>
          </w:tcPr>
          <w:p>
            <w:r>
              <w:rPr>
                <w:rFonts w:ascii="Arial" w:hAnsi="Arial"/>
                <w:b/>
                <w:color w:val="FFFFFF"/>
                <w:sz w:val="19"/>
              </w:rPr>
              <w:t>Recommendation</w:t>
            </w:r>
          </w:p>
        </w:tc>
        <w:tc>
          <w:tcPr>
            <w:tcW w:type="dxa" w:w="3600"/>
            <w:shd w:fill="1B55E2"/>
            <w:tcMar>
              <w:top w:w="100" w:type="dxa"/>
              <w:bottom w:w="100" w:type="dxa"/>
              <w:left w:w="100" w:type="dxa"/>
              <w:right w:w="100" w:type="dxa"/>
            </w:tcMar>
          </w:tcPr>
          <w:p>
            <w:r>
              <w:rPr>
                <w:rFonts w:ascii="Arial" w:hAnsi="Arial"/>
                <w:b/>
                <w:color w:val="FFFFFF"/>
                <w:sz w:val="19"/>
              </w:rPr>
              <w:t>Next Action</w:t>
            </w:r>
          </w:p>
        </w:tc>
      </w:tr>
      <w:tr>
        <w:tc>
          <w:tcPr>
            <w:tcW w:type="dxa" w:w="1584"/>
            <w:shd w:fill="F8FAFC"/>
            <w:tcMar>
              <w:top w:w="80" w:type="dxa"/>
              <w:bottom w:w="80" w:type="dxa"/>
              <w:left w:w="100" w:type="dxa"/>
              <w:right w:w="100" w:type="dxa"/>
            </w:tcMar>
          </w:tcPr>
          <w:p>
            <w:r>
              <w:rPr>
                <w:rFonts w:ascii="Arial" w:hAnsi="Arial"/>
                <w:color w:val="1E293B"/>
                <w:sz w:val="18"/>
              </w:rPr>
              <w:t>75 – 100</w:t>
            </w:r>
          </w:p>
        </w:tc>
        <w:tc>
          <w:tcPr>
            <w:tcW w:type="dxa" w:w="2016"/>
            <w:shd w:fill="F8FAFC"/>
            <w:tcMar>
              <w:top w:w="80" w:type="dxa"/>
              <w:bottom w:w="80" w:type="dxa"/>
              <w:left w:w="100" w:type="dxa"/>
              <w:right w:w="100" w:type="dxa"/>
            </w:tcMar>
          </w:tcPr>
          <w:p>
            <w:r>
              <w:rPr>
                <w:rFonts w:ascii="Arial" w:hAnsi="Arial"/>
                <w:b/>
                <w:color w:val="1E293B"/>
                <w:sz w:val="18"/>
              </w:rPr>
              <w:t>Strong Demand</w:t>
            </w:r>
          </w:p>
        </w:tc>
        <w:tc>
          <w:tcPr>
            <w:tcW w:type="dxa" w:w="2160"/>
            <w:shd w:fill="F8FAFC"/>
            <w:tcMar>
              <w:top w:w="80" w:type="dxa"/>
              <w:bottom w:w="80" w:type="dxa"/>
              <w:left w:w="100" w:type="dxa"/>
              <w:right w:w="100" w:type="dxa"/>
            </w:tcMar>
          </w:tcPr>
          <w:p>
            <w:r>
              <w:rPr>
                <w:rFonts w:ascii="Arial" w:hAnsi="Arial"/>
                <w:color w:val="1E293B"/>
                <w:sz w:val="18"/>
              </w:rPr>
              <w:t>BUILD (Green)</w:t>
            </w:r>
          </w:p>
        </w:tc>
        <w:tc>
          <w:tcPr>
            <w:tcW w:type="dxa" w:w="3600"/>
            <w:shd w:fill="F8FAFC"/>
            <w:tcMar>
              <w:top w:w="80" w:type="dxa"/>
              <w:bottom w:w="80" w:type="dxa"/>
              <w:left w:w="100" w:type="dxa"/>
              <w:right w:w="100" w:type="dxa"/>
            </w:tcMar>
          </w:tcPr>
          <w:p>
            <w:r>
              <w:rPr>
                <w:rFonts w:ascii="Arial" w:hAnsi="Arial"/>
                <w:color w:val="1E293B"/>
                <w:sz w:val="18"/>
              </w:rPr>
              <w:t>Proceed to development. High conviction of customer willingness to pay.</w:t>
            </w:r>
          </w:p>
        </w:tc>
      </w:tr>
      <w:tr>
        <w:tc>
          <w:tcPr>
            <w:tcW w:type="dxa" w:w="1584"/>
            <w:shd w:fill="FFFFFF"/>
            <w:tcMar>
              <w:top w:w="80" w:type="dxa"/>
              <w:bottom w:w="80" w:type="dxa"/>
              <w:left w:w="100" w:type="dxa"/>
              <w:right w:w="100" w:type="dxa"/>
            </w:tcMar>
          </w:tcPr>
          <w:p>
            <w:r>
              <w:rPr>
                <w:rFonts w:ascii="Arial" w:hAnsi="Arial"/>
                <w:color w:val="1E293B"/>
                <w:sz w:val="18"/>
              </w:rPr>
              <w:t>50 – 74</w:t>
            </w:r>
          </w:p>
        </w:tc>
        <w:tc>
          <w:tcPr>
            <w:tcW w:type="dxa" w:w="2016"/>
            <w:shd w:fill="FFFFFF"/>
            <w:tcMar>
              <w:top w:w="80" w:type="dxa"/>
              <w:bottom w:w="80" w:type="dxa"/>
              <w:left w:w="100" w:type="dxa"/>
              <w:right w:w="100" w:type="dxa"/>
            </w:tcMar>
          </w:tcPr>
          <w:p>
            <w:r>
              <w:rPr>
                <w:rFonts w:ascii="Arial" w:hAnsi="Arial"/>
                <w:b/>
                <w:color w:val="1E293B"/>
                <w:sz w:val="18"/>
              </w:rPr>
              <w:t>Promising</w:t>
            </w:r>
          </w:p>
        </w:tc>
        <w:tc>
          <w:tcPr>
            <w:tcW w:type="dxa" w:w="2160"/>
            <w:shd w:fill="FFFFFF"/>
            <w:tcMar>
              <w:top w:w="80" w:type="dxa"/>
              <w:bottom w:w="80" w:type="dxa"/>
              <w:left w:w="100" w:type="dxa"/>
              <w:right w:w="100" w:type="dxa"/>
            </w:tcMar>
          </w:tcPr>
          <w:p>
            <w:r>
              <w:rPr>
                <w:rFonts w:ascii="Arial" w:hAnsi="Arial"/>
                <w:color w:val="1E293B"/>
                <w:sz w:val="18"/>
              </w:rPr>
              <w:t>ITERATE (Blue)</w:t>
            </w:r>
          </w:p>
        </w:tc>
        <w:tc>
          <w:tcPr>
            <w:tcW w:type="dxa" w:w="3600"/>
            <w:shd w:fill="FFFFFF"/>
            <w:tcMar>
              <w:top w:w="80" w:type="dxa"/>
              <w:bottom w:w="80" w:type="dxa"/>
              <w:left w:w="100" w:type="dxa"/>
              <w:right w:w="100" w:type="dxa"/>
            </w:tcMar>
          </w:tcPr>
          <w:p>
            <w:r>
              <w:rPr>
                <w:rFonts w:ascii="Arial" w:hAnsi="Arial"/>
                <w:color w:val="1E293B"/>
                <w:sz w:val="18"/>
              </w:rPr>
              <w:t>Signals are positive. Refine positioning or test an adjusted price point.</w:t>
            </w:r>
          </w:p>
        </w:tc>
      </w:tr>
      <w:tr>
        <w:tc>
          <w:tcPr>
            <w:tcW w:type="dxa" w:w="1584"/>
            <w:shd w:fill="F8FAFC"/>
            <w:tcMar>
              <w:top w:w="80" w:type="dxa"/>
              <w:bottom w:w="80" w:type="dxa"/>
              <w:left w:w="100" w:type="dxa"/>
              <w:right w:w="100" w:type="dxa"/>
            </w:tcMar>
          </w:tcPr>
          <w:p>
            <w:r>
              <w:rPr>
                <w:rFonts w:ascii="Arial" w:hAnsi="Arial"/>
                <w:color w:val="1E293B"/>
                <w:sz w:val="18"/>
              </w:rPr>
              <w:t>30 – 49</w:t>
            </w:r>
          </w:p>
        </w:tc>
        <w:tc>
          <w:tcPr>
            <w:tcW w:type="dxa" w:w="2016"/>
            <w:shd w:fill="F8FAFC"/>
            <w:tcMar>
              <w:top w:w="80" w:type="dxa"/>
              <w:bottom w:w="80" w:type="dxa"/>
              <w:left w:w="100" w:type="dxa"/>
              <w:right w:w="100" w:type="dxa"/>
            </w:tcMar>
          </w:tcPr>
          <w:p>
            <w:r>
              <w:rPr>
                <w:rFonts w:ascii="Arial" w:hAnsi="Arial"/>
                <w:b/>
                <w:color w:val="1E293B"/>
                <w:sz w:val="18"/>
              </w:rPr>
              <w:t>Needs Iteration</w:t>
            </w:r>
          </w:p>
        </w:tc>
        <w:tc>
          <w:tcPr>
            <w:tcW w:type="dxa" w:w="2160"/>
            <w:shd w:fill="F8FAFC"/>
            <w:tcMar>
              <w:top w:w="80" w:type="dxa"/>
              <w:bottom w:w="80" w:type="dxa"/>
              <w:left w:w="100" w:type="dxa"/>
              <w:right w:w="100" w:type="dxa"/>
            </w:tcMar>
          </w:tcPr>
          <w:p>
            <w:r>
              <w:rPr>
                <w:rFonts w:ascii="Arial" w:hAnsi="Arial"/>
                <w:color w:val="1E293B"/>
                <w:sz w:val="18"/>
              </w:rPr>
              <w:t>PAUSE (Amber)</w:t>
            </w:r>
          </w:p>
        </w:tc>
        <w:tc>
          <w:tcPr>
            <w:tcW w:type="dxa" w:w="3600"/>
            <w:shd w:fill="F8FAFC"/>
            <w:tcMar>
              <w:top w:w="80" w:type="dxa"/>
              <w:bottom w:w="80" w:type="dxa"/>
              <w:left w:w="100" w:type="dxa"/>
              <w:right w:w="100" w:type="dxa"/>
            </w:tcMar>
          </w:tcPr>
          <w:p>
            <w:r>
              <w:rPr>
                <w:rFonts w:ascii="Arial" w:hAnsi="Arial"/>
                <w:color w:val="1E293B"/>
                <w:sz w:val="18"/>
              </w:rPr>
              <w:t>Weak resonance. Customer problem is not acute enough. Consider pivot.</w:t>
            </w:r>
          </w:p>
        </w:tc>
      </w:tr>
      <w:tr>
        <w:tc>
          <w:tcPr>
            <w:tcW w:type="dxa" w:w="1584"/>
            <w:shd w:fill="FFFFFF"/>
            <w:tcMar>
              <w:top w:w="80" w:type="dxa"/>
              <w:bottom w:w="80" w:type="dxa"/>
              <w:left w:w="100" w:type="dxa"/>
              <w:right w:w="100" w:type="dxa"/>
            </w:tcMar>
          </w:tcPr>
          <w:p>
            <w:r>
              <w:rPr>
                <w:rFonts w:ascii="Arial" w:hAnsi="Arial"/>
                <w:color w:val="1E293B"/>
                <w:sz w:val="18"/>
              </w:rPr>
              <w:t>&lt; 30</w:t>
            </w:r>
          </w:p>
        </w:tc>
        <w:tc>
          <w:tcPr>
            <w:tcW w:type="dxa" w:w="2016"/>
            <w:shd w:fill="FFFFFF"/>
            <w:tcMar>
              <w:top w:w="80" w:type="dxa"/>
              <w:bottom w:w="80" w:type="dxa"/>
              <w:left w:w="100" w:type="dxa"/>
              <w:right w:w="100" w:type="dxa"/>
            </w:tcMar>
          </w:tcPr>
          <w:p>
            <w:r>
              <w:rPr>
                <w:rFonts w:ascii="Arial" w:hAnsi="Arial"/>
                <w:b/>
                <w:color w:val="1E293B"/>
                <w:sz w:val="18"/>
              </w:rPr>
              <w:t>Weak Demand</w:t>
            </w:r>
          </w:p>
        </w:tc>
        <w:tc>
          <w:tcPr>
            <w:tcW w:type="dxa" w:w="2160"/>
            <w:shd w:fill="FFFFFF"/>
            <w:tcMar>
              <w:top w:w="80" w:type="dxa"/>
              <w:bottom w:w="80" w:type="dxa"/>
              <w:left w:w="100" w:type="dxa"/>
              <w:right w:w="100" w:type="dxa"/>
            </w:tcMar>
          </w:tcPr>
          <w:p>
            <w:r>
              <w:rPr>
                <w:rFonts w:ascii="Arial" w:hAnsi="Arial"/>
                <w:color w:val="1E293B"/>
                <w:sz w:val="18"/>
              </w:rPr>
              <w:t>KILL (Red)</w:t>
            </w:r>
          </w:p>
        </w:tc>
        <w:tc>
          <w:tcPr>
            <w:tcW w:type="dxa" w:w="3600"/>
            <w:shd w:fill="FFFFFF"/>
            <w:tcMar>
              <w:top w:w="80" w:type="dxa"/>
              <w:bottom w:w="80" w:type="dxa"/>
              <w:left w:w="100" w:type="dxa"/>
              <w:right w:w="100" w:type="dxa"/>
            </w:tcMar>
          </w:tcPr>
          <w:p>
            <w:r>
              <w:rPr>
                <w:rFonts w:ascii="Arial" w:hAnsi="Arial"/>
                <w:color w:val="1E293B"/>
                <w:sz w:val="18"/>
              </w:rPr>
              <w:t>Save your capital. Evidence indicates minimal commercial interest.</w:t>
            </w:r>
          </w:p>
        </w:tc>
      </w:tr>
    </w:tbl>
    <w:p>
      <w:pPr>
        <w:spacing w:after="200"/>
      </w:pPr>
    </w:p>
    <w:p>
      <w:pPr>
        <w:spacing w:before="280" w:after="80"/>
      </w:pPr>
      <w:r>
        <w:rPr>
          <w:rFonts w:ascii="Arial" w:hAnsi="Arial"/>
          <w:b/>
          <w:color w:val="1E293B"/>
          <w:sz w:val="28"/>
        </w:rPr>
        <w:t>Step 7: Conversing with the AI Analyst (/dashboard/ai-analyst)</w:t>
      </w:r>
    </w:p>
    <w:p>
      <w:pPr>
        <w:spacing w:after="120" w:line="276" w:lineRule="auto"/>
      </w:pPr>
      <w:r>
        <w:rPr>
          <w:rFonts w:ascii="Arial" w:hAnsi="Arial"/>
          <w:color w:val="1E293B"/>
          <w:sz w:val="21"/>
        </w:rPr>
        <w:t>Instead of parsing raw spreadsheets, users can chat directly with the AI Analyst. The AI Analyst inspects real visitor metrics in your database to answer critical strategic questions:</w:t>
      </w:r>
    </w:p>
    <w:p>
      <w:pPr>
        <w:spacing w:after="120" w:line="276" w:lineRule="auto"/>
      </w:pPr>
      <w:r>
        <w:rPr>
          <w:rFonts w:ascii="Arial" w:hAnsi="Arial"/>
          <w:b/>
          <w:color w:val="1E293B"/>
          <w:sz w:val="21"/>
        </w:rPr>
        <w:t xml:space="preserve">• Example Prompt: </w:t>
      </w:r>
      <w:r>
        <w:rPr>
          <w:rFonts w:ascii="Arial" w:hAnsi="Arial"/>
          <w:color w:val="1E293B"/>
          <w:sz w:val="21"/>
        </w:rPr>
        <w:t xml:space="preserve"> 'Which landing page headline generated the lowest bounce rate and highest pre-order intent?'</w:t>
      </w:r>
    </w:p>
    <w:p>
      <w:pPr>
        <w:spacing w:after="120" w:line="276" w:lineRule="auto"/>
      </w:pPr>
      <w:r>
        <w:rPr>
          <w:rFonts w:ascii="Arial" w:hAnsi="Arial"/>
          <w:b/>
          <w:color w:val="1E293B"/>
          <w:sz w:val="21"/>
        </w:rPr>
        <w:t xml:space="preserve">• Example Prompt: </w:t>
      </w:r>
      <w:r>
        <w:rPr>
          <w:rFonts w:ascii="Arial" w:hAnsi="Arial"/>
          <w:color w:val="1E293B"/>
          <w:sz w:val="21"/>
        </w:rPr>
        <w:t xml:space="preserve"> 'What is the drop-off rate between pricing page views and email submissions?'</w:t>
      </w:r>
    </w:p>
    <w:p>
      <w:pPr>
        <w:spacing w:after="120" w:line="276" w:lineRule="auto"/>
      </w:pPr>
      <w:r>
        <w:rPr>
          <w:rFonts w:ascii="Arial" w:hAnsi="Arial"/>
          <w:b/>
          <w:color w:val="1E293B"/>
          <w:sz w:val="21"/>
        </w:rPr>
        <w:t xml:space="preserve">• Example Prompt: </w:t>
      </w:r>
      <w:r>
        <w:rPr>
          <w:rFonts w:ascii="Arial" w:hAnsi="Arial"/>
          <w:color w:val="1E293B"/>
          <w:sz w:val="21"/>
        </w:rPr>
        <w:t xml:space="preserve"> 'Given our current 8.4% conversion rate, what CAC can we sustain at a $99/mo price point?'</w:t>
      </w:r>
    </w:p>
    <w:p>
      <w:pPr>
        <w:spacing w:before="280" w:after="80"/>
      </w:pPr>
      <w:r>
        <w:rPr>
          <w:rFonts w:ascii="Arial" w:hAnsi="Arial"/>
          <w:b/>
          <w:color w:val="1E293B"/>
          <w:sz w:val="28"/>
        </w:rPr>
        <w:t>Step 8: Prototyping &amp; Studio Hand-Off (/dashboard/firstmile)</w:t>
      </w:r>
    </w:p>
    <w:p>
      <w:pPr>
        <w:spacing w:after="120" w:line="276" w:lineRule="auto"/>
      </w:pPr>
      <w:r>
        <w:rPr>
          <w:rFonts w:ascii="Arial" w:hAnsi="Arial"/>
          <w:color w:val="1E293B"/>
          <w:sz w:val="21"/>
        </w:rPr>
        <w:t>Once an experiment achieves a 'Build' recommendation (PoD Score ≥ 75), the founder can connect their validated portfolio directly to FirstMileDevs Studio for rapid prototyping, transitioning from demand proof to a functional product in weeks.</w:t>
      </w:r>
    </w:p>
    <w:p>
      <w:pPr>
        <w:spacing w:before="360" w:after="120"/>
      </w:pPr>
      <w:r>
        <w:rPr>
          <w:rFonts w:ascii="Arial" w:hAnsi="Arial"/>
          <w:b/>
          <w:color w:val="1B55E2"/>
          <w:sz w:val="36"/>
        </w:rPr>
        <w:t>4. Founder's Quick-Start Checklist</w:t>
      </w:r>
    </w:p>
    <w:p>
      <w:pPr>
        <w:spacing w:after="120" w:line="276" w:lineRule="auto"/>
      </w:pPr>
      <w:r>
        <w:rPr>
          <w:rFonts w:ascii="Arial" w:hAnsi="Arial"/>
          <w:b/>
          <w:color w:val="1E293B"/>
          <w:sz w:val="21"/>
        </w:rPr>
        <w:t xml:space="preserve">[ ] Step 1: </w:t>
      </w:r>
      <w:r>
        <w:rPr>
          <w:rFonts w:ascii="Arial" w:hAnsi="Arial"/>
          <w:color w:val="1E293B"/>
          <w:sz w:val="21"/>
        </w:rPr>
        <w:t xml:space="preserve"> Sign up at https://pod-blue-nine.vercel.app/sign-up and configure your workspace.</w:t>
      </w:r>
    </w:p>
    <w:p>
      <w:pPr>
        <w:spacing w:after="120" w:line="276" w:lineRule="auto"/>
      </w:pPr>
      <w:r>
        <w:rPr>
          <w:rFonts w:ascii="Arial" w:hAnsi="Arial"/>
          <w:b/>
          <w:color w:val="1E293B"/>
          <w:sz w:val="21"/>
        </w:rPr>
        <w:t xml:space="preserve">[ ] Step 2: </w:t>
      </w:r>
      <w:r>
        <w:rPr>
          <w:rFonts w:ascii="Arial" w:hAnsi="Arial"/>
          <w:color w:val="1E293B"/>
          <w:sz w:val="21"/>
        </w:rPr>
        <w:t xml:space="preserve"> Run the Onboarding Wizard to define your product, problem statement, and price.</w:t>
      </w:r>
    </w:p>
    <w:p>
      <w:pPr>
        <w:spacing w:after="120" w:line="276" w:lineRule="auto"/>
      </w:pPr>
      <w:r>
        <w:rPr>
          <w:rFonts w:ascii="Arial" w:hAnsi="Arial"/>
          <w:b/>
          <w:color w:val="1E293B"/>
          <w:sz w:val="21"/>
        </w:rPr>
        <w:t xml:space="preserve">[ ] Step 3: </w:t>
      </w:r>
      <w:r>
        <w:rPr>
          <w:rFonts w:ascii="Arial" w:hAnsi="Arial"/>
          <w:color w:val="1E293B"/>
          <w:sz w:val="21"/>
        </w:rPr>
        <w:t xml:space="preserve"> Generate at least 2 distinct landing page variants with contrasting value propositions.</w:t>
      </w:r>
    </w:p>
    <w:p>
      <w:pPr>
        <w:spacing w:after="120" w:line="276" w:lineRule="auto"/>
      </w:pPr>
      <w:r>
        <w:rPr>
          <w:rFonts w:ascii="Arial" w:hAnsi="Arial"/>
          <w:b/>
          <w:color w:val="1E293B"/>
          <w:sz w:val="21"/>
        </w:rPr>
        <w:t xml:space="preserve">[ ] Step 4: </w:t>
      </w:r>
      <w:r>
        <w:rPr>
          <w:rFonts w:ascii="Arial" w:hAnsi="Arial"/>
          <w:color w:val="1E293B"/>
          <w:sz w:val="21"/>
        </w:rPr>
        <w:t xml:space="preserve"> Drive 100 to 500 targeted visitors using Google or Meta ad credits.</w:t>
      </w:r>
    </w:p>
    <w:p>
      <w:pPr>
        <w:spacing w:after="120" w:line="276" w:lineRule="auto"/>
      </w:pPr>
      <w:r>
        <w:rPr>
          <w:rFonts w:ascii="Arial" w:hAnsi="Arial"/>
          <w:b/>
          <w:color w:val="1E293B"/>
          <w:sz w:val="21"/>
        </w:rPr>
        <w:t xml:space="preserve">[ ] Step 5: </w:t>
      </w:r>
      <w:r>
        <w:rPr>
          <w:rFonts w:ascii="Arial" w:hAnsi="Arial"/>
          <w:color w:val="1E293B"/>
          <w:sz w:val="21"/>
        </w:rPr>
        <w:t xml:space="preserve"> Check your PoD Score: If ≥ 75, begin building; if &lt; 50, iterate or pivot.</w:t>
      </w:r>
    </w:p>
    <w:p>
      <w:pPr>
        <w:spacing w:after="120" w:line="276" w:lineRule="auto"/>
      </w:pPr>
      <w:r>
        <w:rPr>
          <w:rFonts w:ascii="Arial" w:hAnsi="Arial"/>
          <w:b/>
          <w:color w:val="1E293B"/>
          <w:sz w:val="21"/>
        </w:rPr>
        <w:t xml:space="preserve">[ ] Step 6: </w:t>
      </w:r>
      <w:r>
        <w:rPr>
          <w:rFonts w:ascii="Arial" w:hAnsi="Arial"/>
          <w:color w:val="1E293B"/>
          <w:sz w:val="21"/>
        </w:rPr>
        <w:t xml:space="preserve"> Export executive validation reports for angel investors, co-founders, or grant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