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b/>
          <w:bCs/>
          <w:caps/>
          <w:color w:val="9B4A44"/>
          <w:spacing w:val="60"/>
          <w:sz w:val="22"/>
          <w:szCs w:val="22"/>
        </w:rPr>
        <w:t xml:space="preserve">THE STORIES WE TOLD</w:t>
      </w:r>
    </w:p>
    <w:p>
      <w:pPr>
        <w:spacing w:after="120" w:before="40"/>
      </w:pPr>
      <w:r>
        <w:rPr>
          <w:rFonts w:ascii="Georgia" w:cs="Georgia" w:eastAsia="Georgia" w:hAnsi="Georgia"/>
          <w:b/>
          <w:bCs/>
          <w:color w:val="1F1B1A"/>
          <w:sz w:val="40"/>
          <w:szCs w:val="40"/>
        </w:rPr>
        <w:t xml:space="preserve">Cover Revision — Round 2</w:t>
      </w:r>
    </w:p>
    <w:p>
      <w:pPr>
        <w:pBdr>
          <w:bottom w:val="single" w:color="C9BDB6" w:sz="6" w:space="8"/>
        </w:pBdr>
        <w:spacing w:after="200"/>
      </w:pPr>
      <w:r>
        <w:rPr>
          <w:rFonts w:ascii="Georgia" w:cs="Georgia" w:eastAsia="Georgia" w:hAnsi="Georgia"/>
          <w:color w:val="6E6763"/>
          <w:sz w:val="18"/>
          <w:szCs w:val="18"/>
        </w:rPr>
        <w:t xml:space="preserve">Niki Serravalle, Psy.D., LPCMH, NCC   ·   Prepared for design revision   ·   August 2026</w:t>
      </w:r>
    </w:p>
    <w:p>
      <w:pPr>
        <w:spacing w:after="140"/>
        <w:jc w:val="both"/>
      </w:pPr>
      <w:r>
        <w:rPr>
          <w:rFonts w:ascii="Georgia" w:cs="Georgia" w:eastAsia="Georgia" w:hAnsi="Georgia"/>
          <w:i/>
          <w:iCs/>
          <w:color w:val="1F1B1A"/>
          <w:sz w:val="21"/>
          <w:szCs w:val="21"/>
        </w:rPr>
        <w:t xml:space="preserve">The tonal direction in the latest version is approved. The lift, the oxblood threads, the turned pose, and the front-to-back color match are all working. The notes below are refinements, not a change of direction. They are ordered by priority: if only the first section is completed, the most important fixes are still captured.</w:t>
      </w:r>
    </w:p>
    <w:p>
      <w:pPr>
        <w:pBdr>
          <w:bottom w:val="single" w:color="9B4A44" w:sz="10" w:space="6"/>
        </w:pBdr>
        <w:spacing w:after="60" w:before="300"/>
      </w:pPr>
      <w:r>
        <w:rPr>
          <w:rFonts w:ascii="Georgia" w:cs="Georgia" w:eastAsia="Georgia" w:hAnsi="Georgia"/>
          <w:b/>
          <w:bCs/>
          <w:caps/>
          <w:color w:val="9B4A44"/>
          <w:sz w:val="20"/>
          <w:szCs w:val="20"/>
        </w:rPr>
        <w:t xml:space="preserve">Section 1  </w:t>
      </w:r>
      <w:r>
        <w:rPr>
          <w:rFonts w:ascii="Georgia" w:cs="Georgia" w:eastAsia="Georgia" w:hAnsi="Georgia"/>
          <w:b/>
          <w:bCs/>
          <w:color w:val="1F1B1A"/>
          <w:sz w:val="26"/>
          <w:szCs w:val="26"/>
        </w:rPr>
        <w:t xml:space="preserve">Required changes</w:t>
      </w:r>
    </w:p>
    <w:p>
      <w:pPr>
        <w:spacing w:after="130"/>
        <w:jc w:val="both"/>
      </w:pPr>
      <w:r>
        <w:rPr>
          <w:rFonts w:ascii="Georgia" w:cs="Georgia" w:eastAsia="Georgia" w:hAnsi="Georgia"/>
          <w:b/>
          <w:bCs/>
          <w:color w:val="9B4A44"/>
          <w:sz w:val="21"/>
          <w:szCs w:val="21"/>
        </w:rPr>
        <w:t xml:space="preserve">1.  </w:t>
      </w:r>
      <w:r>
        <w:rPr>
          <w:rFonts w:ascii="Georgia" w:cs="Georgia" w:eastAsia="Georgia" w:hAnsi="Georgia"/>
          <w:b/>
          <w:bCs/>
          <w:color w:val="1F1B1A"/>
          <w:sz w:val="21"/>
          <w:szCs w:val="21"/>
        </w:rPr>
        <w:t xml:space="preserve">Remove the top-left quotation.  </w:t>
      </w:r>
      <w:r>
        <w:rPr>
          <w:rFonts w:ascii="Georgia" w:cs="Georgia" w:eastAsia="Georgia" w:hAnsi="Georgia"/>
          <w:color w:val="1F1B1A"/>
          <w:sz w:val="21"/>
          <w:szCs w:val="21"/>
        </w:rPr>
        <w:t xml:space="preserve">Delete the endorsement at the top left of the front cover. An endorsement without a named attribution reads as self-written and undermines credibility with reviewers and booksellers. Leave that space empty until a named endorsement is secured.</w:t>
      </w:r>
    </w:p>
    <w:p>
      <w:pPr>
        <w:spacing w:after="130"/>
        <w:jc w:val="both"/>
      </w:pPr>
      <w:r>
        <w:rPr>
          <w:rFonts w:ascii="Georgia" w:cs="Georgia" w:eastAsia="Georgia" w:hAnsi="Georgia"/>
          <w:b/>
          <w:bCs/>
          <w:color w:val="9B4A44"/>
          <w:sz w:val="21"/>
          <w:szCs w:val="21"/>
        </w:rPr>
        <w:t xml:space="preserve">2.  </w:t>
      </w:r>
      <w:r>
        <w:rPr>
          <w:rFonts w:ascii="Georgia" w:cs="Georgia" w:eastAsia="Georgia" w:hAnsi="Georgia"/>
          <w:b/>
          <w:bCs/>
          <w:color w:val="1F1B1A"/>
          <w:sz w:val="21"/>
          <w:szCs w:val="21"/>
        </w:rPr>
        <w:t xml:space="preserve">Add “A Memoir.”  </w:t>
      </w:r>
      <w:r>
        <w:rPr>
          <w:rFonts w:ascii="Georgia" w:cs="Georgia" w:eastAsia="Georgia" w:hAnsi="Georgia"/>
          <w:color w:val="1F1B1A"/>
          <w:sz w:val="21"/>
          <w:szCs w:val="21"/>
        </w:rPr>
        <w:t xml:space="preserve">Set below the subtitle in small capitals with the same letterspacing, at a smaller size — but in the title’s cream/ivory rather than oxblood, so it reads as a distinct line and not part of the subtitle. Add clear space above it. Nothing on the cover currently identifies this as narrative nonfiction, which affects both retail shelving and online discoverability.</w:t>
      </w:r>
    </w:p>
    <w:p>
      <w:pPr>
        <w:spacing w:after="130"/>
        <w:jc w:val="both"/>
      </w:pPr>
      <w:r>
        <w:rPr>
          <w:rFonts w:ascii="Georgia" w:cs="Georgia" w:eastAsia="Georgia" w:hAnsi="Georgia"/>
          <w:b/>
          <w:bCs/>
          <w:color w:val="9B4A44"/>
          <w:sz w:val="21"/>
          <w:szCs w:val="21"/>
        </w:rPr>
        <w:t xml:space="preserve">3.  </w:t>
      </w:r>
      <w:r>
        <w:rPr>
          <w:rFonts w:ascii="Georgia" w:cs="Georgia" w:eastAsia="Georgia" w:hAnsi="Georgia"/>
          <w:b/>
          <w:bCs/>
          <w:color w:val="1F1B1A"/>
          <w:sz w:val="21"/>
          <w:szCs w:val="21"/>
        </w:rPr>
        <w:t xml:space="preserve">Set the subtitle as two lines.  </w:t>
      </w:r>
      <w:r>
        <w:rPr>
          <w:rFonts w:ascii="Georgia" w:cs="Georgia" w:eastAsia="Georgia" w:hAnsi="Georgia"/>
          <w:color w:val="1F1B1A"/>
          <w:sz w:val="21"/>
          <w:szCs w:val="21"/>
        </w:rPr>
        <w:t xml:space="preserve">Break “THE DANCE BETWEEN A CODEPENDENT AND A COMPULSIVE LIAR” across two lines rather than three, keeping the oxblood small caps and centered alignment.</w:t>
      </w:r>
    </w:p>
    <w:p>
      <w:pPr>
        <w:spacing w:after="130"/>
        <w:jc w:val="both"/>
      </w:pPr>
      <w:r>
        <w:rPr>
          <w:rFonts w:ascii="Georgia" w:cs="Georgia" w:eastAsia="Georgia" w:hAnsi="Georgia"/>
          <w:b/>
          <w:bCs/>
          <w:color w:val="9B4A44"/>
          <w:sz w:val="21"/>
          <w:szCs w:val="21"/>
        </w:rPr>
        <w:t xml:space="preserve">4.  </w:t>
      </w:r>
      <w:r>
        <w:rPr>
          <w:rFonts w:ascii="Georgia" w:cs="Georgia" w:eastAsia="Georgia" w:hAnsi="Georgia"/>
          <w:b/>
          <w:bCs/>
          <w:color w:val="1F1B1A"/>
          <w:sz w:val="21"/>
          <w:szCs w:val="21"/>
        </w:rPr>
        <w:t xml:space="preserve">Remove the credentials under the author name (front).  </w:t>
      </w:r>
      <w:r>
        <w:rPr>
          <w:rFonts w:ascii="Georgia" w:cs="Georgia" w:eastAsia="Georgia" w:hAnsi="Georgia"/>
          <w:color w:val="1F1B1A"/>
          <w:sz w:val="21"/>
          <w:szCs w:val="21"/>
        </w:rPr>
        <w:t xml:space="preserve">Delete “PSY.D., LPCMH, NCC” beneath NIKI SERRAVALLE on the front cover. The credentials remain in the author bio on the back.</w:t>
      </w:r>
    </w:p>
    <w:p>
      <w:pPr>
        <w:spacing w:after="130"/>
        <w:jc w:val="both"/>
      </w:pPr>
      <w:r>
        <w:rPr>
          <w:rFonts w:ascii="Georgia" w:cs="Georgia" w:eastAsia="Georgia" w:hAnsi="Georgia"/>
          <w:b/>
          <w:bCs/>
          <w:color w:val="9B4A44"/>
          <w:sz w:val="21"/>
          <w:szCs w:val="21"/>
        </w:rPr>
        <w:t xml:space="preserve">5.  </w:t>
      </w:r>
      <w:r>
        <w:rPr>
          <w:rFonts w:ascii="Georgia" w:cs="Georgia" w:eastAsia="Georgia" w:hAnsi="Georgia"/>
          <w:b/>
          <w:bCs/>
          <w:color w:val="1F1B1A"/>
          <w:sz w:val="21"/>
          <w:szCs w:val="21"/>
        </w:rPr>
        <w:t xml:space="preserve">Replace the back-cover description in full.  </w:t>
      </w:r>
      <w:r>
        <w:rPr>
          <w:rFonts w:ascii="Georgia" w:cs="Georgia" w:eastAsia="Georgia" w:hAnsi="Georgia"/>
          <w:color w:val="1F1B1A"/>
          <w:sz w:val="21"/>
          <w:szCs w:val="21"/>
        </w:rPr>
        <w:t xml:space="preserve">The current description is third person and does not appear in the book. Use the author’s first-person voice. Keep the existing type size, leading, and column width. The author bio may remain in third person, as is conventional. A first-person DRAFT (converted from the current text) is provided below — replace it with the approved book copy.</w:t>
      </w:r>
    </w:p>
    <w:p>
      <w:pPr>
        <w:pBdr>
          <w:left w:val="single" w:color="9B4A44" w:sz="18" w:space="10"/>
        </w:pBdr>
        <w:shd w:fill="F3EDE9" w:val="clear"/>
        <w:spacing w:after="140" w:before="40"/>
        <w:ind w:left="360"/>
      </w:pPr>
      <w:r>
        <w:rPr>
          <w:rFonts w:ascii="Georgia" w:cs="Georgia" w:eastAsia="Georgia" w:hAnsi="Georgia"/>
          <w:b/>
          <w:bCs/>
          <w:caps/>
          <w:color w:val="9B4A44"/>
          <w:sz w:val="18"/>
          <w:szCs w:val="18"/>
        </w:rPr>
        <w:t xml:space="preserve">ACTION — </w:t>
      </w:r>
      <w:r>
        <w:rPr>
          <w:rFonts w:ascii="Georgia" w:cs="Georgia" w:eastAsia="Georgia" w:hAnsi="Georgia"/>
          <w:color w:val="1F1B1A"/>
          <w:sz w:val="19"/>
          <w:szCs w:val="19"/>
        </w:rPr>
        <w:t xml:space="preserve">DRAFT for placement only — replace with the approved first-person copy:</w:t>
      </w:r>
    </w:p>
    <w:p>
      <w:pPr>
        <w:pBdr>
          <w:left w:val="dashed" w:color="C9BDB6" w:sz="8" w:space="10"/>
        </w:pBdr>
        <w:spacing w:after="90"/>
        <w:ind w:left="360"/>
      </w:pPr>
      <w:r>
        <w:rPr>
          <w:rFonts w:ascii="Georgia" w:cs="Georgia" w:eastAsia="Georgia" w:hAnsi="Georgia"/>
          <w:i/>
          <w:iCs/>
          <w:color w:val="1F1B1A"/>
          <w:sz w:val="20"/>
          <w:szCs w:val="20"/>
        </w:rPr>
        <w:t xml:space="preserve">In </w:t>
      </w:r>
      <w:r>
        <w:rPr>
          <w:rFonts w:ascii="Georgia" w:cs="Georgia" w:eastAsia="Georgia" w:hAnsi="Georgia"/>
          <w:i/>
          <w:iCs/>
          <w:color w:val="1F1B1A"/>
          <w:sz w:val="20"/>
          <w:szCs w:val="20"/>
        </w:rPr>
        <w:t xml:space="preserve">The Stories We Told</w:t>
      </w:r>
      <w:r>
        <w:rPr>
          <w:rFonts w:ascii="Georgia" w:cs="Georgia" w:eastAsia="Georgia" w:hAnsi="Georgia"/>
          <w:i/>
          <w:iCs/>
          <w:color w:val="1F1B1A"/>
          <w:sz w:val="20"/>
          <w:szCs w:val="20"/>
        </w:rPr>
        <w:t xml:space="preserve">, I examine the intimate and disorienting bond between a codependent and a compulsive liar. Through a deeply personal memoir, I trace the emotional logic of attachment, the seduction of explanation, and the slow unraveling that occurs when love becomes organized around confusion, rescue, and self-betrayal.</w:t>
      </w:r>
    </w:p>
    <w:p>
      <w:pPr>
        <w:pBdr>
          <w:left w:val="dashed" w:color="C9BDB6" w:sz="8" w:space="10"/>
        </w:pBdr>
        <w:spacing w:after="160"/>
        <w:ind w:left="360"/>
      </w:pPr>
      <w:r>
        <w:rPr>
          <w:rFonts w:ascii="Georgia" w:cs="Georgia" w:eastAsia="Georgia" w:hAnsi="Georgia"/>
          <w:i/>
          <w:iCs/>
          <w:color w:val="1F1B1A"/>
          <w:sz w:val="20"/>
          <w:szCs w:val="20"/>
        </w:rPr>
        <w:t xml:space="preserve">This is a story about longing, self-deception, trauma, and the narratives we build to survive what we cannot yet bear to name. With psychological insight and emotional precision, I invite you into the complicated dance between truth and illusion, and the cost of confusing being chosen with being loved.</w:t>
      </w:r>
    </w:p>
    <w:p>
      <w:pPr>
        <w:spacing w:after="130"/>
        <w:jc w:val="both"/>
      </w:pPr>
      <w:r>
        <w:rPr>
          <w:rFonts w:ascii="Georgia" w:cs="Georgia" w:eastAsia="Georgia" w:hAnsi="Georgia"/>
          <w:b/>
          <w:bCs/>
          <w:color w:val="9B4A44"/>
          <w:sz w:val="21"/>
          <w:szCs w:val="21"/>
        </w:rPr>
        <w:t xml:space="preserve">6.  </w:t>
      </w:r>
      <w:r>
        <w:rPr>
          <w:rFonts w:ascii="Georgia" w:cs="Georgia" w:eastAsia="Georgia" w:hAnsi="Georgia"/>
          <w:b/>
          <w:bCs/>
          <w:color w:val="1F1B1A"/>
          <w:sz w:val="21"/>
          <w:szCs w:val="21"/>
        </w:rPr>
        <w:t xml:space="preserve">Replace the author photograph.  </w:t>
      </w:r>
      <w:r>
        <w:rPr>
          <w:rFonts w:ascii="Georgia" w:cs="Georgia" w:eastAsia="Georgia" w:hAnsi="Georgia"/>
          <w:color w:val="1F1B1A"/>
          <w:sz w:val="21"/>
          <w:szCs w:val="21"/>
        </w:rPr>
        <w:t xml:space="preserve">Supplied studio headshot placed on the back cover, softly warmed to a duotone to match the palette (black-and-white with a gentle warm tone). The soft hair was sharpened to recover strand detail.</w:t>
      </w:r>
    </w:p>
    <w:p>
      <w:pPr>
        <w:spacing w:after="40" w:before="60"/>
      </w:pPr>
      <w:r>
        <w:rPr>
          <w:rFonts w:ascii="Georgia" w:cs="Georgia" w:eastAsia="Georgia" w:hAnsi="Georgia"/>
          <w:b/>
          <w:bCs/>
          <w:color w:val="9B4A44"/>
          <w:sz w:val="20"/>
          <w:szCs w:val="20"/>
        </w:rPr>
        <w:t xml:space="preserve">Additional round-2 corrections</w:t>
      </w:r>
    </w:p>
    <w:p>
      <w:pPr>
        <w:spacing w:after="40"/>
      </w:pPr>
      <w:r>
        <w:rPr>
          <w:rFonts w:ascii="Georgia" w:cs="Georgia" w:eastAsia="Georgia" w:hAnsi="Georgia"/>
          <w:color w:val="1F1B1A"/>
          <w:sz w:val="20"/>
          <w:szCs w:val="20"/>
        </w:rPr>
        <w:t xml:space="preserve">• Website: change to balancedlivingde.com (not nikiserravalle.com).</w:t>
      </w:r>
    </w:p>
    <w:p>
      <w:pPr>
        <w:spacing w:after="40"/>
      </w:pPr>
      <w:r>
        <w:rPr>
          <w:rFonts w:ascii="Georgia" w:cs="Georgia" w:eastAsia="Georgia" w:hAnsi="Georgia"/>
          <w:color w:val="1F1B1A"/>
          <w:sz w:val="20"/>
          <w:szCs w:val="20"/>
        </w:rPr>
        <w:t xml:space="preserve">• Author bio: “a psychologist specializing in clinical psychological evaluation, and a trauma-informed therapist … at the intersection of psychology, nature-based sciences, integrated trauma care, and the human stories that shape who we become.” (Replaces “clinical assessment specialist” and “neuroscience.”)</w:t>
      </w:r>
    </w:p>
    <w:p>
      <w:pPr>
        <w:spacing w:after="160"/>
      </w:pPr>
      <w:r>
        <w:rPr>
          <w:rFonts w:ascii="Georgia" w:cs="Georgia" w:eastAsia="Georgia" w:hAnsi="Georgia"/>
          <w:color w:val="1F1B1A"/>
          <w:sz w:val="20"/>
          <w:szCs w:val="20"/>
        </w:rPr>
        <w:t xml:space="preserve">• No em dashes anywhere in the cover copy.</w:t>
      </w:r>
    </w:p>
    <w:p>
      <w:pPr>
        <w:pBdr>
          <w:bottom w:val="single" w:color="9B4A44" w:sz="10" w:space="6"/>
        </w:pBdr>
        <w:spacing w:after="60" w:before="300"/>
      </w:pPr>
      <w:r>
        <w:rPr>
          <w:rFonts w:ascii="Georgia" w:cs="Georgia" w:eastAsia="Georgia" w:hAnsi="Georgia"/>
          <w:b/>
          <w:bCs/>
          <w:caps/>
          <w:color w:val="9B4A44"/>
          <w:sz w:val="20"/>
          <w:szCs w:val="20"/>
        </w:rPr>
        <w:t xml:space="preserve">Section 2  </w:t>
      </w:r>
      <w:r>
        <w:rPr>
          <w:rFonts w:ascii="Georgia" w:cs="Georgia" w:eastAsia="Georgia" w:hAnsi="Georgia"/>
          <w:b/>
          <w:bCs/>
          <w:color w:val="1F1B1A"/>
          <w:sz w:val="26"/>
          <w:szCs w:val="26"/>
        </w:rPr>
        <w:t xml:space="preserve">Tonal refinement</w:t>
      </w:r>
    </w:p>
    <w:p>
      <w:pPr>
        <w:spacing w:after="130"/>
        <w:jc w:val="both"/>
      </w:pPr>
      <w:r>
        <w:rPr>
          <w:rFonts w:ascii="Georgia" w:cs="Georgia" w:eastAsia="Georgia" w:hAnsi="Georgia"/>
          <w:b/>
          <w:bCs/>
          <w:color w:val="9B4A44"/>
          <w:sz w:val="21"/>
          <w:szCs w:val="21"/>
        </w:rPr>
        <w:t xml:space="preserve">7.  </w:t>
      </w:r>
      <w:r>
        <w:rPr>
          <w:rFonts w:ascii="Georgia" w:cs="Georgia" w:eastAsia="Georgia" w:hAnsi="Georgia"/>
          <w:b/>
          <w:bCs/>
          <w:color w:val="1F1B1A"/>
          <w:sz w:val="21"/>
          <w:szCs w:val="21"/>
        </w:rPr>
        <w:t xml:space="preserve">Bring back a light passage.  </w:t>
      </w:r>
      <w:r>
        <w:rPr>
          <w:rFonts w:ascii="Georgia" w:cs="Georgia" w:eastAsia="Georgia" w:hAnsi="Georgia"/>
          <w:color w:val="1F1B1A"/>
          <w:sz w:val="21"/>
          <w:szCs w:val="21"/>
        </w:rPr>
        <w:t xml:space="preserve">The lift went warm rather than light. At thumbnail size the cover currently reads as a single saturated oxblood block, which pulls toward domestic thriller rather than literary memoir. Bring the upper third of the front cover and the left edge up another 15 to 20 percent toward warm stone or bone. There must be at least one genuinely light passage for the eye to rest in. Keep the lower right dark so the image retains its anchor.</w:t>
      </w:r>
    </w:p>
    <w:p>
      <w:pPr>
        <w:spacing w:after="130"/>
        <w:jc w:val="both"/>
      </w:pPr>
      <w:r>
        <w:rPr>
          <w:rFonts w:ascii="Georgia" w:cs="Georgia" w:eastAsia="Georgia" w:hAnsi="Georgia"/>
          <w:b/>
          <w:bCs/>
          <w:color w:val="9B4A44"/>
          <w:sz w:val="21"/>
          <w:szCs w:val="21"/>
        </w:rPr>
        <w:t xml:space="preserve">8.  </w:t>
      </w:r>
      <w:r>
        <w:rPr>
          <w:rFonts w:ascii="Georgia" w:cs="Georgia" w:eastAsia="Georgia" w:hAnsi="Georgia"/>
          <w:b/>
          <w:bCs/>
          <w:color w:val="1F1B1A"/>
          <w:sz w:val="21"/>
          <w:szCs w:val="21"/>
        </w:rPr>
        <w:t xml:space="preserve">Supply two options.  </w:t>
      </w:r>
      <w:r>
        <w:rPr>
          <w:rFonts w:ascii="Georgia" w:cs="Georgia" w:eastAsia="Georgia" w:hAnsi="Georgia"/>
          <w:color w:val="1F1B1A"/>
          <w:sz w:val="21"/>
          <w:szCs w:val="21"/>
        </w:rPr>
        <w:t xml:space="preserve">Provide this at two different lift amounts — 15 percent and 20 percent — so we can compare at thumbnail size.</w:t>
      </w:r>
    </w:p>
    <w:p>
      <w:pPr>
        <w:pBdr>
          <w:bottom w:val="single" w:color="9B4A44" w:sz="10" w:space="6"/>
        </w:pBdr>
        <w:spacing w:after="60" w:before="300"/>
      </w:pPr>
      <w:r>
        <w:rPr>
          <w:rFonts w:ascii="Georgia" w:cs="Georgia" w:eastAsia="Georgia" w:hAnsi="Georgia"/>
          <w:b/>
          <w:bCs/>
          <w:caps/>
          <w:color w:val="9B4A44"/>
          <w:sz w:val="20"/>
          <w:szCs w:val="20"/>
        </w:rPr>
        <w:t xml:space="preserve">Section 3  </w:t>
      </w:r>
      <w:r>
        <w:rPr>
          <w:rFonts w:ascii="Georgia" w:cs="Georgia" w:eastAsia="Georgia" w:hAnsi="Georgia"/>
          <w:b/>
          <w:bCs/>
          <w:color w:val="1F1B1A"/>
          <w:sz w:val="26"/>
          <w:szCs w:val="26"/>
        </w:rPr>
        <w:t xml:space="preserve">Compositional refinement</w:t>
      </w:r>
    </w:p>
    <w:p>
      <w:pPr>
        <w:spacing w:after="130"/>
        <w:jc w:val="both"/>
      </w:pPr>
      <w:r>
        <w:rPr>
          <w:rFonts w:ascii="Georgia" w:cs="Georgia" w:eastAsia="Georgia" w:hAnsi="Georgia"/>
          <w:b/>
          <w:bCs/>
          <w:color w:val="9B4A44"/>
          <w:sz w:val="21"/>
          <w:szCs w:val="21"/>
        </w:rPr>
        <w:t xml:space="preserve">9.  </w:t>
      </w:r>
      <w:r>
        <w:rPr>
          <w:rFonts w:ascii="Georgia" w:cs="Georgia" w:eastAsia="Georgia" w:hAnsi="Georgia"/>
          <w:b/>
          <w:bCs/>
          <w:color w:val="1F1B1A"/>
          <w:sz w:val="21"/>
          <w:szCs w:val="21"/>
        </w:rPr>
        <w:t xml:space="preserve">Push the male figure back.  </w:t>
      </w:r>
      <w:r>
        <w:rPr>
          <w:rFonts w:ascii="Georgia" w:cs="Georgia" w:eastAsia="Georgia" w:hAnsi="Georgia"/>
          <w:color w:val="1F1B1A"/>
          <w:sz w:val="21"/>
          <w:szCs w:val="21"/>
        </w:rPr>
        <w:t xml:space="preserve">His face is now the sharpest element on the cover and functions as the visual endpoint. Push his head, hair, and shoulder back into the smoke so his legibility matches the female figure’s. Neither face should be readable — silhouette and gesture should carry both figures.</w:t>
      </w:r>
    </w:p>
    <w:p>
      <w:pPr>
        <w:spacing w:after="130"/>
        <w:jc w:val="both"/>
      </w:pPr>
      <w:r>
        <w:rPr>
          <w:rFonts w:ascii="Georgia" w:cs="Georgia" w:eastAsia="Georgia" w:hAnsi="Georgia"/>
          <w:b/>
          <w:bCs/>
          <w:color w:val="9B4A44"/>
          <w:sz w:val="21"/>
          <w:szCs w:val="21"/>
        </w:rPr>
        <w:t xml:space="preserve">10.  </w:t>
      </w:r>
      <w:r>
        <w:rPr>
          <w:rFonts w:ascii="Georgia" w:cs="Georgia" w:eastAsia="Georgia" w:hAnsi="Georgia"/>
          <w:b/>
          <w:bCs/>
          <w:color w:val="1F1B1A"/>
          <w:sz w:val="21"/>
          <w:szCs w:val="21"/>
        </w:rPr>
        <w:t xml:space="preserve">Reduce the fracture slightly further.  </w:t>
      </w:r>
      <w:r>
        <w:rPr>
          <w:rFonts w:ascii="Georgia" w:cs="Georgia" w:eastAsia="Georgia" w:hAnsi="Georgia"/>
          <w:color w:val="1F1B1A"/>
          <w:sz w:val="21"/>
          <w:szCs w:val="21"/>
        </w:rPr>
        <w:t xml:space="preserve">Reduce it a touch more so the threads clearly lead. Three symbols competing at equal weight is one too many.</w:t>
      </w:r>
    </w:p>
    <w:p>
      <w:pPr>
        <w:pBdr>
          <w:bottom w:val="single" w:color="9B4A44" w:sz="10" w:space="6"/>
        </w:pBdr>
        <w:spacing w:after="60" w:before="300"/>
      </w:pPr>
      <w:r>
        <w:rPr>
          <w:rFonts w:ascii="Georgia" w:cs="Georgia" w:eastAsia="Georgia" w:hAnsi="Georgia"/>
          <w:b/>
          <w:bCs/>
          <w:caps/>
          <w:color w:val="9B4A44"/>
          <w:sz w:val="20"/>
          <w:szCs w:val="20"/>
        </w:rPr>
        <w:t xml:space="preserve">Section 4  </w:t>
      </w:r>
      <w:r>
        <w:rPr>
          <w:rFonts w:ascii="Georgia" w:cs="Georgia" w:eastAsia="Georgia" w:hAnsi="Georgia"/>
          <w:b/>
          <w:bCs/>
          <w:color w:val="1F1B1A"/>
          <w:sz w:val="26"/>
          <w:szCs w:val="26"/>
        </w:rPr>
        <w:t xml:space="preserve">Testing before the next round</w:t>
      </w:r>
    </w:p>
    <w:p>
      <w:pPr>
        <w:spacing w:after="130"/>
        <w:jc w:val="both"/>
      </w:pPr>
      <w:r>
        <w:rPr>
          <w:rFonts w:ascii="Georgia" w:cs="Georgia" w:eastAsia="Georgia" w:hAnsi="Georgia"/>
          <w:color w:val="1F1B1A"/>
          <w:sz w:val="21"/>
          <w:szCs w:val="21"/>
        </w:rPr>
        <w:t xml:space="preserve">Review every version at approximately 200 pixels in height before sending. If the title softens, the threads disappear, or the figures turn to mud at that size, the version is not ready. Also confirm the back-cover body copy remains comfortably legible in print at the new ground value.</w:t>
      </w:r>
    </w:p>
    <w:p>
      <w:pPr>
        <w:pBdr>
          <w:bottom w:val="single" w:color="9B4A44" w:sz="10" w:space="6"/>
        </w:pBdr>
        <w:spacing w:after="60" w:before="300"/>
      </w:pPr>
      <w:r>
        <w:rPr>
          <w:rFonts w:ascii="Georgia" w:cs="Georgia" w:eastAsia="Georgia" w:hAnsi="Georgia"/>
          <w:b/>
          <w:bCs/>
          <w:caps/>
          <w:color w:val="9B4A44"/>
          <w:sz w:val="20"/>
          <w:szCs w:val="20"/>
        </w:rPr>
        <w:t xml:space="preserve">Section A  </w:t>
      </w:r>
      <w:r>
        <w:rPr>
          <w:rFonts w:ascii="Georgia" w:cs="Georgia" w:eastAsia="Georgia" w:hAnsi="Georgia"/>
          <w:b/>
          <w:bCs/>
          <w:color w:val="1F1B1A"/>
          <w:sz w:val="26"/>
          <w:szCs w:val="26"/>
        </w:rPr>
        <w:t xml:space="preserve">Reference comps</w:t>
      </w:r>
    </w:p>
    <w:p>
      <w:pPr>
        <w:spacing w:after="80"/>
      </w:pPr>
      <w:r>
        <w:rPr>
          <w:rFonts w:ascii="Georgia" w:cs="Georgia" w:eastAsia="Georgia" w:hAnsi="Georgia"/>
          <w:i/>
          <w:iCs/>
          <w:color w:val="6E6763"/>
          <w:sz w:val="18"/>
          <w:szCs w:val="18"/>
        </w:rPr>
        <w:t xml:space="preserve">The following reference comps are attached to this revision (see the accompanying image files). They apply the notes above directly to the flattened cover — the two tonal-lift options, quotation removed, “A Memoir” added in cream with space, the subtitle set to two lines, the front credentials removed, the back-cover description reset in first person (draft), the male figure pushed back, and the fracture reduced — for direction only. Final production art should be executed in the layered source file (and the author-photo swap needs the supplied duotone file).</w:t>
      </w:r>
    </w:p>
    <w:p>
      <w:pPr>
        <w:spacing w:after="60" w:before="60"/>
        <w:jc w:val="center"/>
      </w:pPr>
      <w:r>
        <w:drawing>
          <wp:inline distT="0" distB="0" distL="0" distR="0">
            <wp:extent cx="5572125"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72125" cy="2952750"/>
                    </a:xfrm>
                    <a:prstGeom prst="rect">
                      <a:avLst/>
                    </a:prstGeom>
                  </pic:spPr>
                </pic:pic>
              </a:graphicData>
            </a:graphic>
          </wp:inline>
        </w:drawing>
      </w:r>
    </w:p>
    <w:p>
      <w:pPr>
        <w:jc w:val="center"/>
      </w:pPr>
      <w:r>
        <w:rPr>
          <w:rFonts w:ascii="Georgia" w:cs="Georgia" w:eastAsia="Georgia" w:hAnsi="Georgia"/>
          <w:i/>
          <w:iCs/>
          <w:color w:val="6E6763"/>
          <w:sz w:val="16"/>
          <w:szCs w:val="16"/>
        </w:rPr>
        <w:t xml:space="preserve">Thumbnail test at 200 px — original vs. Option A (+15%) vs. Option B (+20%).</w:t>
      </w:r>
    </w:p>
    <w:sectPr>
      <w:pgSz w:w="12240" w:h="15840" w:orient="portrait"/>
      <w:pgMar w:top="118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1B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1af269331ce81f0904a38250a7e9ebdd326be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2026-08-09T11:50:59.725Z</dcterms:created>
  <dcterms:modified xsi:type="dcterms:W3CDTF">2026-08-09T11:50:59.727Z</dcterms:modified>
</cp:coreProperties>
</file>

<file path=docProps/custom.xml><?xml version="1.0" encoding="utf-8"?>
<Properties xmlns="http://schemas.openxmlformats.org/officeDocument/2006/custom-properties" xmlns:vt="http://schemas.openxmlformats.org/officeDocument/2006/docPropsVTypes"/>
</file>