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65F2" w14:textId="77777777" w:rsidR="00C66A1F" w:rsidRDefault="00000000">
      <w:pPr>
        <w:pStyle w:val="Title"/>
      </w:pPr>
      <w:r>
        <w:rPr>
          <w:color w:val="0B3B6B"/>
        </w:rPr>
        <w:t>IOSEE — Configurable Flags Reference</w:t>
      </w:r>
    </w:p>
    <w:p w14:paraId="1497F4AB" w14:textId="77777777" w:rsidR="00C66A1F" w:rsidRDefault="00000000">
      <w:r>
        <w:rPr>
          <w:i/>
        </w:rPr>
        <w:t xml:space="preserve">Infrared Ocean Surface Effective Emissivity — </w:t>
      </w:r>
      <w:r>
        <w:rPr>
          <w:b/>
        </w:rPr>
        <w:t>Version 1.0.0  |  Release 2026-03-21</w:t>
      </w:r>
    </w:p>
    <w:p w14:paraId="24921259" w14:textId="77777777" w:rsidR="00C66A1F" w:rsidRDefault="00000000">
      <w:r>
        <w:t>This document enumerates every flag accepted by the IOSEE Fortran namelist configuration file (</w:t>
      </w:r>
      <w:r>
        <w:rPr>
          <w:rFonts w:ascii="Menlo" w:hAnsi="Menlo"/>
        </w:rPr>
        <w:t>&amp;configuration ... /</w:t>
      </w:r>
      <w:r>
        <w:t xml:space="preserve">) together with its data type, default value, valid options or range, and physical or computational meaning. The single source of truth is </w:t>
      </w:r>
      <w:r>
        <w:rPr>
          <w:rFonts w:ascii="Menlo" w:hAnsi="Menlo"/>
        </w:rPr>
        <w:t>lib/configuration.F90</w:t>
      </w:r>
      <w:r>
        <w:t>. Flags are grouped by functional category. Each group lists the short form of the flag as it appears in the namelist; synonyms are noted where backward compatibility applies.</w:t>
      </w:r>
    </w:p>
    <w:p w14:paraId="12D6AC16" w14:textId="77777777" w:rsidR="00C66A1F" w:rsidRDefault="00000000">
      <w:pPr>
        <w:pStyle w:val="Heading1"/>
      </w:pPr>
      <w:r>
        <w:rPr>
          <w:color w:val="0B3B6B"/>
        </w:rPr>
        <w:t>1. Physical and Calculation Flags</w:t>
      </w:r>
    </w:p>
    <w:p w14:paraId="509493F8" w14:textId="77777777" w:rsidR="00C66A1F" w:rsidRDefault="00000000">
      <w:pPr>
        <w:pStyle w:val="Heading2"/>
      </w:pPr>
      <w:r>
        <w:rPr>
          <w:color w:val="0B3B6B"/>
        </w:rPr>
        <w:t>1.1  Calculation mode and polarization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2B7E0979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6EFD71F9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0C0A585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03EBD741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09AD7D55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5FADD981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1E2BDA9C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D3E381B" w14:textId="77777777" w:rsidR="00C66A1F" w:rsidRDefault="00000000">
            <w:r>
              <w:rPr>
                <w:rFonts w:ascii="Menlo" w:hAnsi="Menlo"/>
                <w:sz w:val="19"/>
              </w:rPr>
              <w:t>mode</w:t>
            </w:r>
          </w:p>
        </w:tc>
        <w:tc>
          <w:tcPr>
            <w:tcW w:w="1247" w:type="dxa"/>
          </w:tcPr>
          <w:p w14:paraId="76FB32C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character(20)</w:t>
            </w:r>
          </w:p>
        </w:tc>
        <w:tc>
          <w:tcPr>
            <w:tcW w:w="1361" w:type="dxa"/>
          </w:tcPr>
          <w:p w14:paraId="1DD80DB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'spectral'</w:t>
            </w:r>
          </w:p>
        </w:tc>
        <w:tc>
          <w:tcPr>
            <w:tcW w:w="1928" w:type="dxa"/>
          </w:tcPr>
          <w:p w14:paraId="04938824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'spectral', 'narrow-band'</w:t>
            </w:r>
          </w:p>
        </w:tc>
        <w:tc>
          <w:tcPr>
            <w:tcW w:w="3005" w:type="dxa"/>
          </w:tcPr>
          <w:p w14:paraId="2ADA925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Selects the calculation mode. 'spectral' returns emissivity on a uniform wavenumber (or wavelength) grid; 'narrow-band' returns Planck-weighted band-averaged emissivity over user-defined bands.</w:t>
            </w:r>
          </w:p>
        </w:tc>
      </w:tr>
      <w:tr w:rsidR="00C66A1F" w14:paraId="4E0BA1D4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136E5A75" w14:textId="77777777" w:rsidR="00C66A1F" w:rsidRDefault="00000000">
            <w:r>
              <w:rPr>
                <w:rFonts w:ascii="Menlo" w:hAnsi="Menlo"/>
                <w:sz w:val="19"/>
              </w:rPr>
              <w:t>polarization</w:t>
            </w:r>
          </w:p>
        </w:tc>
        <w:tc>
          <w:tcPr>
            <w:tcW w:w="1247" w:type="dxa"/>
            <w:shd w:val="clear" w:color="auto" w:fill="F2F6FB"/>
          </w:tcPr>
          <w:p w14:paraId="0B90EE6F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character(20)</w:t>
            </w:r>
          </w:p>
        </w:tc>
        <w:tc>
          <w:tcPr>
            <w:tcW w:w="1361" w:type="dxa"/>
            <w:shd w:val="clear" w:color="auto" w:fill="F2F6FB"/>
          </w:tcPr>
          <w:p w14:paraId="5217C71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'disable'</w:t>
            </w:r>
          </w:p>
        </w:tc>
        <w:tc>
          <w:tcPr>
            <w:tcW w:w="1928" w:type="dxa"/>
            <w:shd w:val="clear" w:color="auto" w:fill="F2F6FB"/>
          </w:tcPr>
          <w:p w14:paraId="753D314A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'enable', 'disable'</w:t>
            </w:r>
          </w:p>
        </w:tc>
        <w:tc>
          <w:tcPr>
            <w:tcW w:w="3005" w:type="dxa"/>
            <w:shd w:val="clear" w:color="auto" w:fill="F2F6FB"/>
          </w:tcPr>
          <w:p w14:paraId="4798DAB8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'enable' activates V- and H-polarization emissivity output (Henderson et al. 2003). Unpolarized (averaged) emissivity is returned when 'disable'.</w:t>
            </w:r>
          </w:p>
        </w:tc>
      </w:tr>
      <w:tr w:rsidR="00C66A1F" w14:paraId="52391DB1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F4C2BD1" w14:textId="77777777" w:rsidR="00C66A1F" w:rsidRDefault="00000000">
            <w:r>
              <w:rPr>
                <w:rFonts w:ascii="Menlo" w:hAnsi="Menlo"/>
                <w:sz w:val="19"/>
              </w:rPr>
              <w:t>no_multiple_reflection</w:t>
            </w:r>
          </w:p>
        </w:tc>
        <w:tc>
          <w:tcPr>
            <w:tcW w:w="1247" w:type="dxa"/>
          </w:tcPr>
          <w:p w14:paraId="1839B6B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logical</w:t>
            </w:r>
          </w:p>
        </w:tc>
        <w:tc>
          <w:tcPr>
            <w:tcW w:w="1361" w:type="dxa"/>
          </w:tcPr>
          <w:p w14:paraId="7922358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.false.</w:t>
            </w:r>
          </w:p>
        </w:tc>
        <w:tc>
          <w:tcPr>
            <w:tcW w:w="1928" w:type="dxa"/>
          </w:tcPr>
          <w:p w14:paraId="306C9A1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.true. / .false.</w:t>
            </w:r>
          </w:p>
        </w:tc>
        <w:tc>
          <w:tcPr>
            <w:tcW w:w="3005" w:type="dxa"/>
          </w:tcPr>
          <w:p w14:paraId="515F5B2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When .true. the NetCDF 'emissivity' variable contains the first-order Fresnel emissivity (1 − R_F) weighted by the Cox-Munk slope distribution (Masuda 2006), excluding the multiple-reflection contribution. When .false. (default) the full emissivity is written.</w:t>
            </w:r>
          </w:p>
        </w:tc>
      </w:tr>
      <w:tr w:rsidR="00C66A1F" w14:paraId="697E0094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7434FB6B" w14:textId="77777777" w:rsidR="00C66A1F" w:rsidRDefault="00000000">
            <w:r>
              <w:rPr>
                <w:rFonts w:ascii="Menlo" w:hAnsi="Menlo"/>
                <w:sz w:val="19"/>
              </w:rPr>
              <w:t>use_effective_angle</w:t>
            </w:r>
          </w:p>
        </w:tc>
        <w:tc>
          <w:tcPr>
            <w:tcW w:w="1247" w:type="dxa"/>
            <w:shd w:val="clear" w:color="auto" w:fill="F2F6FB"/>
          </w:tcPr>
          <w:p w14:paraId="2F9E3C32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logical</w:t>
            </w:r>
          </w:p>
        </w:tc>
        <w:tc>
          <w:tcPr>
            <w:tcW w:w="1361" w:type="dxa"/>
            <w:shd w:val="clear" w:color="auto" w:fill="F2F6FB"/>
          </w:tcPr>
          <w:p w14:paraId="64781B7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.true.</w:t>
            </w:r>
          </w:p>
        </w:tc>
        <w:tc>
          <w:tcPr>
            <w:tcW w:w="1928" w:type="dxa"/>
            <w:shd w:val="clear" w:color="auto" w:fill="F2F6FB"/>
          </w:tcPr>
          <w:p w14:paraId="6EC25AC7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.true. / .false.</w:t>
            </w:r>
          </w:p>
        </w:tc>
        <w:tc>
          <w:tcPr>
            <w:tcW w:w="3005" w:type="dxa"/>
            <w:shd w:val="clear" w:color="auto" w:fill="F2F6FB"/>
          </w:tcPr>
          <w:p w14:paraId="31216720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When .true. (default) angles ≤ 70° use the Nalli et al. (2008, 2023) effective-view-angle LUT and angles &gt; 70° use the geometric LUT with continuity correction at 70°. When .false. the geometric-angle LUT is used for all angles and the effective-angle LUT is skipped.</w:t>
            </w:r>
          </w:p>
        </w:tc>
      </w:tr>
    </w:tbl>
    <w:p w14:paraId="21E91252" w14:textId="77777777" w:rsidR="00C66A1F" w:rsidRDefault="00C66A1F"/>
    <w:p w14:paraId="0570A47E" w14:textId="77777777" w:rsidR="00C66A1F" w:rsidRDefault="00000000">
      <w:pPr>
        <w:pStyle w:val="Heading1"/>
      </w:pPr>
      <w:r>
        <w:rPr>
          <w:color w:val="0B3B6B"/>
        </w:rPr>
        <w:lastRenderedPageBreak/>
        <w:t>2. Environmental and Geophysical Flags</w:t>
      </w:r>
    </w:p>
    <w:p w14:paraId="4D631AF0" w14:textId="77777777" w:rsidR="00C66A1F" w:rsidRDefault="00000000">
      <w:pPr>
        <w:pStyle w:val="Heading2"/>
      </w:pPr>
      <w:r>
        <w:rPr>
          <w:color w:val="0B3B6B"/>
        </w:rPr>
        <w:t>2.1  Sea-surface state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65CAB1FE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6E0D469F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0E5B2F03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5B27331F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09E10C79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19A83A21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5D97D797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C1B4B58" w14:textId="77777777" w:rsidR="00C66A1F" w:rsidRDefault="00000000">
            <w:r>
              <w:rPr>
                <w:rFonts w:ascii="Menlo" w:hAnsi="Menlo"/>
                <w:sz w:val="19"/>
              </w:rPr>
              <w:t>sea_surface_temperature</w:t>
            </w:r>
          </w:p>
        </w:tc>
        <w:tc>
          <w:tcPr>
            <w:tcW w:w="1247" w:type="dxa"/>
          </w:tcPr>
          <w:p w14:paraId="2E26424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</w:tcPr>
          <w:p w14:paraId="0CC9EA2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298.0 K</w:t>
            </w:r>
          </w:p>
        </w:tc>
        <w:tc>
          <w:tcPr>
            <w:tcW w:w="1928" w:type="dxa"/>
          </w:tcPr>
          <w:p w14:paraId="39278DE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270 – 310 K (SST)</w:t>
            </w:r>
          </w:p>
        </w:tc>
        <w:tc>
          <w:tcPr>
            <w:tcW w:w="3005" w:type="dxa"/>
          </w:tcPr>
          <w:p w14:paraId="3D7C1E0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Sea-surface skin temperature. Passed to the temperature-dependent refractive index model (Wang et al. 2026) and to the Planck weighting function in narrow-band mode.</w:t>
            </w:r>
          </w:p>
        </w:tc>
      </w:tr>
      <w:tr w:rsidR="00C66A1F" w14:paraId="02E86535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2536A3C8" w14:textId="77777777" w:rsidR="00C66A1F" w:rsidRDefault="00000000">
            <w:r>
              <w:rPr>
                <w:rFonts w:ascii="Menlo" w:hAnsi="Menlo"/>
                <w:sz w:val="19"/>
              </w:rPr>
              <w:t>sea_surface_salinity</w:t>
            </w:r>
          </w:p>
        </w:tc>
        <w:tc>
          <w:tcPr>
            <w:tcW w:w="1247" w:type="dxa"/>
            <w:shd w:val="clear" w:color="auto" w:fill="F2F6FB"/>
          </w:tcPr>
          <w:p w14:paraId="3C36070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  <w:shd w:val="clear" w:color="auto" w:fill="F2F6FB"/>
          </w:tcPr>
          <w:p w14:paraId="7FB84313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35.0 PSU</w:t>
            </w:r>
          </w:p>
        </w:tc>
        <w:tc>
          <w:tcPr>
            <w:tcW w:w="1928" w:type="dxa"/>
            <w:shd w:val="clear" w:color="auto" w:fill="F2F6FB"/>
          </w:tcPr>
          <w:p w14:paraId="5AF21E32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 – 40 PSU</w:t>
            </w:r>
          </w:p>
        </w:tc>
        <w:tc>
          <w:tcPr>
            <w:tcW w:w="3005" w:type="dxa"/>
            <w:shd w:val="clear" w:color="auto" w:fill="F2F6FB"/>
          </w:tcPr>
          <w:p w14:paraId="157D4C6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Practical Salinity Unit at the surface. Passed to the salinity dependence of the complex refractive index (Röttgers et al. 2014).</w:t>
            </w:r>
          </w:p>
        </w:tc>
      </w:tr>
      <w:tr w:rsidR="00C66A1F" w14:paraId="2D1E71F9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87F63AB" w14:textId="77777777" w:rsidR="00C66A1F" w:rsidRDefault="00000000">
            <w:r>
              <w:rPr>
                <w:rFonts w:ascii="Menlo" w:hAnsi="Menlo"/>
                <w:sz w:val="19"/>
              </w:rPr>
              <w:t>temperature</w:t>
            </w:r>
          </w:p>
        </w:tc>
        <w:tc>
          <w:tcPr>
            <w:tcW w:w="1247" w:type="dxa"/>
          </w:tcPr>
          <w:p w14:paraId="3A1F608E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</w:tcPr>
          <w:p w14:paraId="60C7F25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(alias)</w:t>
            </w:r>
          </w:p>
        </w:tc>
        <w:tc>
          <w:tcPr>
            <w:tcW w:w="1928" w:type="dxa"/>
          </w:tcPr>
          <w:p w14:paraId="71A9BE43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same as sea_surface_temperature</w:t>
            </w:r>
          </w:p>
        </w:tc>
        <w:tc>
          <w:tcPr>
            <w:tcW w:w="3005" w:type="dxa"/>
          </w:tcPr>
          <w:p w14:paraId="17F5006F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Deprecated synonym for sea_surface_temperature retained for backward compatibility with pre-0.8.2 config files.</w:t>
            </w:r>
          </w:p>
        </w:tc>
      </w:tr>
      <w:tr w:rsidR="00C66A1F" w14:paraId="6F7B3357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04073A86" w14:textId="77777777" w:rsidR="00C66A1F" w:rsidRDefault="00000000">
            <w:r>
              <w:rPr>
                <w:rFonts w:ascii="Menlo" w:hAnsi="Menlo"/>
                <w:sz w:val="19"/>
              </w:rPr>
              <w:t>salinity</w:t>
            </w:r>
          </w:p>
        </w:tc>
        <w:tc>
          <w:tcPr>
            <w:tcW w:w="1247" w:type="dxa"/>
            <w:shd w:val="clear" w:color="auto" w:fill="F2F6FB"/>
          </w:tcPr>
          <w:p w14:paraId="245CCAB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  <w:shd w:val="clear" w:color="auto" w:fill="F2F6FB"/>
          </w:tcPr>
          <w:p w14:paraId="16D9DCD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(alias)</w:t>
            </w:r>
          </w:p>
        </w:tc>
        <w:tc>
          <w:tcPr>
            <w:tcW w:w="1928" w:type="dxa"/>
            <w:shd w:val="clear" w:color="auto" w:fill="F2F6FB"/>
          </w:tcPr>
          <w:p w14:paraId="3EFA28CE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same as sea_surface_salinity</w:t>
            </w:r>
          </w:p>
        </w:tc>
        <w:tc>
          <w:tcPr>
            <w:tcW w:w="3005" w:type="dxa"/>
            <w:shd w:val="clear" w:color="auto" w:fill="F2F6FB"/>
          </w:tcPr>
          <w:p w14:paraId="1DFC349D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Deprecated synonym for sea_surface_salinity retained for backward compatibility.</w:t>
            </w:r>
          </w:p>
        </w:tc>
      </w:tr>
    </w:tbl>
    <w:p w14:paraId="646D754F" w14:textId="77777777" w:rsidR="00C66A1F" w:rsidRDefault="00C66A1F"/>
    <w:p w14:paraId="563A3655" w14:textId="77777777" w:rsidR="00C66A1F" w:rsidRDefault="00000000">
      <w:pPr>
        <w:pStyle w:val="Heading2"/>
      </w:pPr>
      <w:r>
        <w:rPr>
          <w:color w:val="0B3B6B"/>
        </w:rPr>
        <w:t>2.2  Viewing geometry — Option 1 (explicit list)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59A4089B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2434488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39A8CD3B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1BD6104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7E3B1DF9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3CF9E3C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6F5E5FE3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04EB0ECF" w14:textId="77777777" w:rsidR="00C66A1F" w:rsidRDefault="00000000">
            <w:r>
              <w:rPr>
                <w:rFonts w:ascii="Menlo" w:hAnsi="Menlo"/>
                <w:sz w:val="19"/>
              </w:rPr>
              <w:t>view_angle</w:t>
            </w:r>
          </w:p>
        </w:tc>
        <w:tc>
          <w:tcPr>
            <w:tcW w:w="1247" w:type="dxa"/>
          </w:tcPr>
          <w:p w14:paraId="48A3CF4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</w:tcPr>
          <w:p w14:paraId="4F53937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544DDAD5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 – 85.0 degrees, up to 851 entries</w:t>
            </w:r>
          </w:p>
        </w:tc>
        <w:tc>
          <w:tcPr>
            <w:tcW w:w="3005" w:type="dxa"/>
          </w:tcPr>
          <w:p w14:paraId="49D0EE9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List of viewing angles measured from nadir. Angles ≤ 70° use effective view angles; angles &gt; 70° use geometric view angles with continuity correction at 70°. Unused trailing entries must be left at 0.0.</w:t>
            </w:r>
          </w:p>
        </w:tc>
      </w:tr>
    </w:tbl>
    <w:p w14:paraId="12916E6B" w14:textId="77777777" w:rsidR="00C66A1F" w:rsidRDefault="00C66A1F"/>
    <w:p w14:paraId="7045C860" w14:textId="77777777" w:rsidR="00C66A1F" w:rsidRDefault="00000000">
      <w:pPr>
        <w:pStyle w:val="Heading2"/>
      </w:pPr>
      <w:r>
        <w:rPr>
          <w:color w:val="0B3B6B"/>
        </w:rPr>
        <w:t>2.3  Viewing geometry — Option 2 (linear range)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319E5038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4024EBFB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637DE59B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6FDE5AF3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40540ED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73CA43F7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1FBFC380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17846FE" w14:textId="77777777" w:rsidR="00C66A1F" w:rsidRDefault="00000000">
            <w:r>
              <w:rPr>
                <w:rFonts w:ascii="Menlo" w:hAnsi="Menlo"/>
                <w:sz w:val="19"/>
              </w:rPr>
              <w:t>view_angle_start</w:t>
            </w:r>
          </w:p>
        </w:tc>
        <w:tc>
          <w:tcPr>
            <w:tcW w:w="1247" w:type="dxa"/>
          </w:tcPr>
          <w:p w14:paraId="1E483F2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</w:tcPr>
          <w:p w14:paraId="54ABED4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62BA670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 – 85.0 degrees</w:t>
            </w:r>
          </w:p>
        </w:tc>
        <w:tc>
          <w:tcPr>
            <w:tcW w:w="3005" w:type="dxa"/>
          </w:tcPr>
          <w:p w14:paraId="241048A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Lower bound (inclusive) of the linear view-angle sweep. Used only when n_view_angle &gt; 0 and view_angle_end &gt; view_angle_start.</w:t>
            </w:r>
          </w:p>
        </w:tc>
      </w:tr>
      <w:tr w:rsidR="00C66A1F" w14:paraId="02602EC4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1ABBCC03" w14:textId="77777777" w:rsidR="00C66A1F" w:rsidRDefault="00000000">
            <w:r>
              <w:rPr>
                <w:rFonts w:ascii="Menlo" w:hAnsi="Menlo"/>
                <w:sz w:val="19"/>
              </w:rPr>
              <w:t>view_angle_end</w:t>
            </w:r>
          </w:p>
        </w:tc>
        <w:tc>
          <w:tcPr>
            <w:tcW w:w="1247" w:type="dxa"/>
            <w:shd w:val="clear" w:color="auto" w:fill="F2F6FB"/>
          </w:tcPr>
          <w:p w14:paraId="318E3FA5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  <w:shd w:val="clear" w:color="auto" w:fill="F2F6FB"/>
          </w:tcPr>
          <w:p w14:paraId="392C6B6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  <w:shd w:val="clear" w:color="auto" w:fill="F2F6FB"/>
          </w:tcPr>
          <w:p w14:paraId="7820BBF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&gt; view_angle_start, ≤ 85.0</w:t>
            </w:r>
          </w:p>
        </w:tc>
        <w:tc>
          <w:tcPr>
            <w:tcW w:w="3005" w:type="dxa"/>
            <w:shd w:val="clear" w:color="auto" w:fill="F2F6FB"/>
          </w:tcPr>
          <w:p w14:paraId="1AD89887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Upper bound (inclusive) of the linear view-angle sweep.</w:t>
            </w:r>
          </w:p>
        </w:tc>
      </w:tr>
      <w:tr w:rsidR="00C66A1F" w14:paraId="5D0A9A79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3EEEBFC3" w14:textId="77777777" w:rsidR="00C66A1F" w:rsidRDefault="00000000">
            <w:r>
              <w:rPr>
                <w:rFonts w:ascii="Menlo" w:hAnsi="Menlo"/>
                <w:sz w:val="19"/>
              </w:rPr>
              <w:t>n_view_angle</w:t>
            </w:r>
          </w:p>
        </w:tc>
        <w:tc>
          <w:tcPr>
            <w:tcW w:w="1247" w:type="dxa"/>
          </w:tcPr>
          <w:p w14:paraId="683F7C4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668F718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</w:t>
            </w:r>
          </w:p>
        </w:tc>
        <w:tc>
          <w:tcPr>
            <w:tcW w:w="1928" w:type="dxa"/>
          </w:tcPr>
          <w:p w14:paraId="2802472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– 851</w:t>
            </w:r>
          </w:p>
        </w:tc>
        <w:tc>
          <w:tcPr>
            <w:tcW w:w="3005" w:type="dxa"/>
          </w:tcPr>
          <w:p w14:paraId="7A71064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Number of linearly spaced view angles between view_angle_start and view_angle_end. When n_view_angle &gt; 0, Option 2 takes precedence over any view_angle list.</w:t>
            </w:r>
          </w:p>
        </w:tc>
      </w:tr>
    </w:tbl>
    <w:p w14:paraId="7AD4F523" w14:textId="77777777" w:rsidR="00C66A1F" w:rsidRDefault="00C66A1F"/>
    <w:p w14:paraId="56CD301B" w14:textId="77777777" w:rsidR="00C66A1F" w:rsidRDefault="00000000">
      <w:pPr>
        <w:pStyle w:val="Heading2"/>
      </w:pPr>
      <w:r>
        <w:rPr>
          <w:color w:val="0B3B6B"/>
        </w:rPr>
        <w:lastRenderedPageBreak/>
        <w:t>2.4  Wind conditions — Option 1 (explicit list)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70C9D59A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8BB6755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6877F474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5CE9F86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16EB87B3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64C1904D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18DDF497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0A1469E9" w14:textId="77777777" w:rsidR="00C66A1F" w:rsidRDefault="00000000">
            <w:r>
              <w:rPr>
                <w:rFonts w:ascii="Menlo" w:hAnsi="Menlo"/>
                <w:sz w:val="19"/>
              </w:rPr>
              <w:t>wind</w:t>
            </w:r>
          </w:p>
        </w:tc>
        <w:tc>
          <w:tcPr>
            <w:tcW w:w="1247" w:type="dxa"/>
          </w:tcPr>
          <w:p w14:paraId="4C2FD7F3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</w:tcPr>
          <w:p w14:paraId="627C69F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59FAA0D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 – 18.0 m/s, up to 851 entries</w:t>
            </w:r>
          </w:p>
        </w:tc>
        <w:tc>
          <w:tcPr>
            <w:tcW w:w="3005" w:type="dxa"/>
          </w:tcPr>
          <w:p w14:paraId="7EF85B92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Preferred name for the list of 10 m wind speeds. Drives the variance of the Cox-Munk slope distribution.</w:t>
            </w:r>
          </w:p>
        </w:tc>
      </w:tr>
      <w:tr w:rsidR="00C66A1F" w14:paraId="5001AA2A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15FD04C6" w14:textId="77777777" w:rsidR="00C66A1F" w:rsidRDefault="00000000">
            <w:r>
              <w:rPr>
                <w:rFonts w:ascii="Menlo" w:hAnsi="Menlo"/>
                <w:sz w:val="19"/>
              </w:rPr>
              <w:t>winds</w:t>
            </w:r>
          </w:p>
        </w:tc>
        <w:tc>
          <w:tcPr>
            <w:tcW w:w="1247" w:type="dxa"/>
            <w:shd w:val="clear" w:color="auto" w:fill="F2F6FB"/>
          </w:tcPr>
          <w:p w14:paraId="26ACD11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  <w:shd w:val="clear" w:color="auto" w:fill="F2F6FB"/>
          </w:tcPr>
          <w:p w14:paraId="4EDDF27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(alias)</w:t>
            </w:r>
          </w:p>
        </w:tc>
        <w:tc>
          <w:tcPr>
            <w:tcW w:w="1928" w:type="dxa"/>
            <w:shd w:val="clear" w:color="auto" w:fill="F2F6FB"/>
          </w:tcPr>
          <w:p w14:paraId="33AB7EE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same as wind</w:t>
            </w:r>
          </w:p>
        </w:tc>
        <w:tc>
          <w:tcPr>
            <w:tcW w:w="3005" w:type="dxa"/>
            <w:shd w:val="clear" w:color="auto" w:fill="F2F6FB"/>
          </w:tcPr>
          <w:p w14:paraId="5530E658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Plural alias of 'wind'. Supported for continuity with older examples.</w:t>
            </w:r>
          </w:p>
        </w:tc>
      </w:tr>
      <w:tr w:rsidR="00C66A1F" w14:paraId="64B9F14D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6AE9F22F" w14:textId="77777777" w:rsidR="00C66A1F" w:rsidRDefault="00000000">
            <w:r>
              <w:rPr>
                <w:rFonts w:ascii="Menlo" w:hAnsi="Menlo"/>
                <w:sz w:val="19"/>
              </w:rPr>
              <w:t>wind_values</w:t>
            </w:r>
          </w:p>
        </w:tc>
        <w:tc>
          <w:tcPr>
            <w:tcW w:w="1247" w:type="dxa"/>
          </w:tcPr>
          <w:p w14:paraId="2BFCE89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</w:tcPr>
          <w:p w14:paraId="2074AC53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(alias)</w:t>
            </w:r>
          </w:p>
        </w:tc>
        <w:tc>
          <w:tcPr>
            <w:tcW w:w="1928" w:type="dxa"/>
          </w:tcPr>
          <w:p w14:paraId="3703A51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same as wind</w:t>
            </w:r>
          </w:p>
        </w:tc>
        <w:tc>
          <w:tcPr>
            <w:tcW w:w="3005" w:type="dxa"/>
          </w:tcPr>
          <w:p w14:paraId="21E18BB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Legacy alias of 'wind' retained for backward compatibility.</w:t>
            </w:r>
          </w:p>
        </w:tc>
      </w:tr>
    </w:tbl>
    <w:p w14:paraId="4C6B008C" w14:textId="77777777" w:rsidR="00C66A1F" w:rsidRDefault="00C66A1F"/>
    <w:p w14:paraId="4000D214" w14:textId="77777777" w:rsidR="00C66A1F" w:rsidRDefault="00000000">
      <w:pPr>
        <w:pStyle w:val="Heading2"/>
      </w:pPr>
      <w:r>
        <w:rPr>
          <w:color w:val="0B3B6B"/>
        </w:rPr>
        <w:t>2.5  Wind conditions — Option 2 (linear range)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69E1F851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7A880D39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50703A3E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7C7743FF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067887EC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59032CFE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0B9D769D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D0038C9" w14:textId="77777777" w:rsidR="00C66A1F" w:rsidRDefault="00000000">
            <w:r>
              <w:rPr>
                <w:rFonts w:ascii="Menlo" w:hAnsi="Menlo"/>
                <w:sz w:val="19"/>
              </w:rPr>
              <w:t>wind_start</w:t>
            </w:r>
          </w:p>
        </w:tc>
        <w:tc>
          <w:tcPr>
            <w:tcW w:w="1247" w:type="dxa"/>
          </w:tcPr>
          <w:p w14:paraId="2C8F2613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</w:tcPr>
          <w:p w14:paraId="0AB4837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4A23460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 – 18.0 m/s</w:t>
            </w:r>
          </w:p>
        </w:tc>
        <w:tc>
          <w:tcPr>
            <w:tcW w:w="3005" w:type="dxa"/>
          </w:tcPr>
          <w:p w14:paraId="4642CC1E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Lower bound of the linear wind sweep.</w:t>
            </w:r>
          </w:p>
        </w:tc>
      </w:tr>
      <w:tr w:rsidR="00C66A1F" w14:paraId="0444C291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32DC251A" w14:textId="77777777" w:rsidR="00C66A1F" w:rsidRDefault="00000000">
            <w:r>
              <w:rPr>
                <w:rFonts w:ascii="Menlo" w:hAnsi="Menlo"/>
                <w:sz w:val="19"/>
              </w:rPr>
              <w:t>wind_end</w:t>
            </w:r>
          </w:p>
        </w:tc>
        <w:tc>
          <w:tcPr>
            <w:tcW w:w="1247" w:type="dxa"/>
            <w:shd w:val="clear" w:color="auto" w:fill="F2F6FB"/>
          </w:tcPr>
          <w:p w14:paraId="4288158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</w:t>
            </w:r>
          </w:p>
        </w:tc>
        <w:tc>
          <w:tcPr>
            <w:tcW w:w="1361" w:type="dxa"/>
            <w:shd w:val="clear" w:color="auto" w:fill="F2F6FB"/>
          </w:tcPr>
          <w:p w14:paraId="79AF005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  <w:shd w:val="clear" w:color="auto" w:fill="F2F6FB"/>
          </w:tcPr>
          <w:p w14:paraId="49ADB03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&gt; wind_start, ≤ 18.0</w:t>
            </w:r>
          </w:p>
        </w:tc>
        <w:tc>
          <w:tcPr>
            <w:tcW w:w="3005" w:type="dxa"/>
            <w:shd w:val="clear" w:color="auto" w:fill="F2F6FB"/>
          </w:tcPr>
          <w:p w14:paraId="274E5CA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Upper bound of the linear wind sweep.</w:t>
            </w:r>
          </w:p>
        </w:tc>
      </w:tr>
      <w:tr w:rsidR="00C66A1F" w14:paraId="0A5A8E5A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5CE8F6FC" w14:textId="77777777" w:rsidR="00C66A1F" w:rsidRDefault="00000000">
            <w:r>
              <w:rPr>
                <w:rFonts w:ascii="Menlo" w:hAnsi="Menlo"/>
                <w:sz w:val="19"/>
              </w:rPr>
              <w:t>n_wind</w:t>
            </w:r>
          </w:p>
        </w:tc>
        <w:tc>
          <w:tcPr>
            <w:tcW w:w="1247" w:type="dxa"/>
          </w:tcPr>
          <w:p w14:paraId="7058183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7EA684D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</w:t>
            </w:r>
          </w:p>
        </w:tc>
        <w:tc>
          <w:tcPr>
            <w:tcW w:w="1928" w:type="dxa"/>
          </w:tcPr>
          <w:p w14:paraId="55434495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– 851</w:t>
            </w:r>
          </w:p>
        </w:tc>
        <w:tc>
          <w:tcPr>
            <w:tcW w:w="3005" w:type="dxa"/>
          </w:tcPr>
          <w:p w14:paraId="10AAFA8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Number of linearly spaced wind speeds. When n_wind &gt; 0 and wind_end &gt; wind_start, Option 2 takes precedence over any explicit wind list.</w:t>
            </w:r>
          </w:p>
        </w:tc>
      </w:tr>
    </w:tbl>
    <w:p w14:paraId="4F13BCBB" w14:textId="77777777" w:rsidR="00C66A1F" w:rsidRDefault="00C66A1F"/>
    <w:p w14:paraId="433C27F4" w14:textId="77777777" w:rsidR="00C66A1F" w:rsidRDefault="00000000">
      <w:pPr>
        <w:pStyle w:val="Heading1"/>
      </w:pPr>
      <w:r>
        <w:rPr>
          <w:color w:val="0B3B6B"/>
        </w:rPr>
        <w:t>3. Spectral / Band Definition</w:t>
      </w:r>
    </w:p>
    <w:p w14:paraId="75D58332" w14:textId="77777777" w:rsidR="00C66A1F" w:rsidRDefault="00000000">
      <w:pPr>
        <w:pStyle w:val="Heading2"/>
      </w:pPr>
      <w:r>
        <w:rPr>
          <w:color w:val="0B3B6B"/>
        </w:rPr>
        <w:t>3.1  Wavenumber input (preferred)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14426B93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B1700EA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5C8ACC20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53C5CD87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666A8F14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20FFE6B5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76250C52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53259442" w14:textId="77777777" w:rsidR="00C66A1F" w:rsidRDefault="00000000">
            <w:r>
              <w:rPr>
                <w:rFonts w:ascii="Menlo" w:hAnsi="Menlo"/>
                <w:sz w:val="19"/>
              </w:rPr>
              <w:t>wavenum_start</w:t>
            </w:r>
          </w:p>
        </w:tc>
        <w:tc>
          <w:tcPr>
            <w:tcW w:w="1247" w:type="dxa"/>
          </w:tcPr>
          <w:p w14:paraId="63B5881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</w:tcPr>
          <w:p w14:paraId="463375B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3F3885C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 – 5000.0 cm⁻¹</w:t>
            </w:r>
          </w:p>
        </w:tc>
        <w:tc>
          <w:tcPr>
            <w:tcW w:w="3005" w:type="dxa"/>
          </w:tcPr>
          <w:p w14:paraId="76715DB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Array of band-start wavenumbers. In spectral mode only the first element is read; in narrow-band mode element i is the start of band i.</w:t>
            </w:r>
          </w:p>
        </w:tc>
      </w:tr>
      <w:tr w:rsidR="00C66A1F" w14:paraId="334A1B39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065693B6" w14:textId="77777777" w:rsidR="00C66A1F" w:rsidRDefault="00000000">
            <w:r>
              <w:rPr>
                <w:rFonts w:ascii="Menlo" w:hAnsi="Menlo"/>
                <w:sz w:val="19"/>
              </w:rPr>
              <w:t>wavenum_end</w:t>
            </w:r>
          </w:p>
        </w:tc>
        <w:tc>
          <w:tcPr>
            <w:tcW w:w="1247" w:type="dxa"/>
            <w:shd w:val="clear" w:color="auto" w:fill="F2F6FB"/>
          </w:tcPr>
          <w:p w14:paraId="426D7293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  <w:shd w:val="clear" w:color="auto" w:fill="F2F6FB"/>
          </w:tcPr>
          <w:p w14:paraId="7BD159D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  <w:shd w:val="clear" w:color="auto" w:fill="F2F6FB"/>
          </w:tcPr>
          <w:p w14:paraId="2970E1FA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&gt; wavenum_start(i), ≤ 5000.0 cm⁻¹</w:t>
            </w:r>
          </w:p>
        </w:tc>
        <w:tc>
          <w:tcPr>
            <w:tcW w:w="3005" w:type="dxa"/>
            <w:shd w:val="clear" w:color="auto" w:fill="F2F6FB"/>
          </w:tcPr>
          <w:p w14:paraId="6A9A0F4E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Array of band-end wavenumbers.</w:t>
            </w:r>
          </w:p>
        </w:tc>
      </w:tr>
      <w:tr w:rsidR="00C66A1F" w14:paraId="7BA34F93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3D032529" w14:textId="77777777" w:rsidR="00C66A1F" w:rsidRDefault="00000000">
            <w:r>
              <w:rPr>
                <w:rFonts w:ascii="Menlo" w:hAnsi="Menlo"/>
                <w:sz w:val="19"/>
              </w:rPr>
              <w:t>n_wavenum</w:t>
            </w:r>
          </w:p>
        </w:tc>
        <w:tc>
          <w:tcPr>
            <w:tcW w:w="1247" w:type="dxa"/>
          </w:tcPr>
          <w:p w14:paraId="3CB56C5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integer(851)</w:t>
            </w:r>
          </w:p>
        </w:tc>
        <w:tc>
          <w:tcPr>
            <w:tcW w:w="1361" w:type="dxa"/>
          </w:tcPr>
          <w:p w14:paraId="170AF6C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</w:t>
            </w:r>
          </w:p>
        </w:tc>
        <w:tc>
          <w:tcPr>
            <w:tcW w:w="1928" w:type="dxa"/>
          </w:tcPr>
          <w:p w14:paraId="1AAA766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– 851 per band</w:t>
            </w:r>
          </w:p>
        </w:tc>
        <w:tc>
          <w:tcPr>
            <w:tcW w:w="3005" w:type="dxa"/>
          </w:tcPr>
          <w:p w14:paraId="188D312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Number of uniformly spaced wavenumber grid points within each band.</w:t>
            </w:r>
          </w:p>
        </w:tc>
      </w:tr>
    </w:tbl>
    <w:p w14:paraId="4330B343" w14:textId="77777777" w:rsidR="00C66A1F" w:rsidRDefault="00C66A1F"/>
    <w:p w14:paraId="3E59EABB" w14:textId="77777777" w:rsidR="00C66A1F" w:rsidRDefault="00000000">
      <w:pPr>
        <w:pStyle w:val="Heading2"/>
      </w:pPr>
      <w:r>
        <w:rPr>
          <w:color w:val="0B3B6B"/>
        </w:rPr>
        <w:t>3.2  Wavelength input (alternative)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4619DED0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A8ED629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74BAAEA5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38CAE24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5A57C50A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742EE52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70B20DB2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69859CB7" w14:textId="77777777" w:rsidR="00C66A1F" w:rsidRDefault="00000000">
            <w:r>
              <w:rPr>
                <w:rFonts w:ascii="Menlo" w:hAnsi="Menlo"/>
                <w:sz w:val="19"/>
              </w:rPr>
              <w:t>wavelen_min</w:t>
            </w:r>
          </w:p>
        </w:tc>
        <w:tc>
          <w:tcPr>
            <w:tcW w:w="1247" w:type="dxa"/>
          </w:tcPr>
          <w:p w14:paraId="45D9F97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</w:tcPr>
          <w:p w14:paraId="5643192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</w:tcPr>
          <w:p w14:paraId="6729A4DE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2.0 – 1000.0 μm</w:t>
            </w:r>
          </w:p>
        </w:tc>
        <w:tc>
          <w:tcPr>
            <w:tcW w:w="3005" w:type="dxa"/>
          </w:tcPr>
          <w:p w14:paraId="43A6CA77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Array of band-minimum wavelengths. Activates wavelength input mode when any element is &gt; 0; automatically converted to wavenumber internally as ν = 10 </w:t>
            </w:r>
            <w:r>
              <w:rPr>
                <w:sz w:val="19"/>
              </w:rPr>
              <w:lastRenderedPageBreak/>
              <w:t>000 / λ.</w:t>
            </w:r>
          </w:p>
        </w:tc>
      </w:tr>
      <w:tr w:rsidR="00C66A1F" w14:paraId="66FFFD62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79C45707" w14:textId="77777777" w:rsidR="00C66A1F" w:rsidRDefault="00000000">
            <w:r>
              <w:rPr>
                <w:rFonts w:ascii="Menlo" w:hAnsi="Menlo"/>
                <w:sz w:val="19"/>
              </w:rPr>
              <w:lastRenderedPageBreak/>
              <w:t>wavelen_max</w:t>
            </w:r>
          </w:p>
        </w:tc>
        <w:tc>
          <w:tcPr>
            <w:tcW w:w="1247" w:type="dxa"/>
            <w:shd w:val="clear" w:color="auto" w:fill="F2F6FB"/>
          </w:tcPr>
          <w:p w14:paraId="7C4BA100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real(851)</w:t>
            </w:r>
          </w:p>
        </w:tc>
        <w:tc>
          <w:tcPr>
            <w:tcW w:w="1361" w:type="dxa"/>
            <w:shd w:val="clear" w:color="auto" w:fill="F2F6FB"/>
          </w:tcPr>
          <w:p w14:paraId="7C6C67C5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0.0</w:t>
            </w:r>
          </w:p>
        </w:tc>
        <w:tc>
          <w:tcPr>
            <w:tcW w:w="1928" w:type="dxa"/>
            <w:shd w:val="clear" w:color="auto" w:fill="F2F6FB"/>
          </w:tcPr>
          <w:p w14:paraId="65D5EA9F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&gt; wavelen_min(i)</w:t>
            </w:r>
          </w:p>
        </w:tc>
        <w:tc>
          <w:tcPr>
            <w:tcW w:w="3005" w:type="dxa"/>
            <w:shd w:val="clear" w:color="auto" w:fill="F2F6FB"/>
          </w:tcPr>
          <w:p w14:paraId="5A96D1EB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Array of band-maximum wavelengths.</w:t>
            </w:r>
          </w:p>
        </w:tc>
      </w:tr>
      <w:tr w:rsidR="00C66A1F" w14:paraId="098879D3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05A890B7" w14:textId="77777777" w:rsidR="00C66A1F" w:rsidRDefault="00000000">
            <w:r>
              <w:rPr>
                <w:rFonts w:ascii="Menlo" w:hAnsi="Menlo"/>
                <w:sz w:val="19"/>
              </w:rPr>
              <w:t>n_wavelen</w:t>
            </w:r>
          </w:p>
        </w:tc>
        <w:tc>
          <w:tcPr>
            <w:tcW w:w="1247" w:type="dxa"/>
          </w:tcPr>
          <w:p w14:paraId="2EC4767A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integer(851)</w:t>
            </w:r>
          </w:p>
        </w:tc>
        <w:tc>
          <w:tcPr>
            <w:tcW w:w="1361" w:type="dxa"/>
          </w:tcPr>
          <w:p w14:paraId="4201F06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0</w:t>
            </w:r>
          </w:p>
        </w:tc>
        <w:tc>
          <w:tcPr>
            <w:tcW w:w="1928" w:type="dxa"/>
          </w:tcPr>
          <w:p w14:paraId="5F7151B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– 851 per band</w:t>
            </w:r>
          </w:p>
        </w:tc>
        <w:tc>
          <w:tcPr>
            <w:tcW w:w="3005" w:type="dxa"/>
          </w:tcPr>
          <w:p w14:paraId="19591507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Number of wavelength points per band.</w:t>
            </w:r>
          </w:p>
        </w:tc>
      </w:tr>
      <w:tr w:rsidR="00C66A1F" w14:paraId="706604EE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53B643AE" w14:textId="77777777" w:rsidR="00C66A1F" w:rsidRDefault="00000000">
            <w:r>
              <w:rPr>
                <w:rFonts w:ascii="Menlo" w:hAnsi="Menlo"/>
                <w:sz w:val="19"/>
              </w:rPr>
              <w:t>is_wavelength_input</w:t>
            </w:r>
          </w:p>
        </w:tc>
        <w:tc>
          <w:tcPr>
            <w:tcW w:w="1247" w:type="dxa"/>
            <w:shd w:val="clear" w:color="auto" w:fill="F2F6FB"/>
          </w:tcPr>
          <w:p w14:paraId="124F549D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logical (derived)</w:t>
            </w:r>
          </w:p>
        </w:tc>
        <w:tc>
          <w:tcPr>
            <w:tcW w:w="1361" w:type="dxa"/>
            <w:shd w:val="clear" w:color="auto" w:fill="F2F6FB"/>
          </w:tcPr>
          <w:p w14:paraId="086DBBD1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.false.</w:t>
            </w:r>
          </w:p>
        </w:tc>
        <w:tc>
          <w:tcPr>
            <w:tcW w:w="1928" w:type="dxa"/>
            <w:shd w:val="clear" w:color="auto" w:fill="F2F6FB"/>
          </w:tcPr>
          <w:p w14:paraId="74CAFDEA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set automatically</w:t>
            </w:r>
          </w:p>
        </w:tc>
        <w:tc>
          <w:tcPr>
            <w:tcW w:w="3005" w:type="dxa"/>
            <w:shd w:val="clear" w:color="auto" w:fill="F2F6FB"/>
          </w:tcPr>
          <w:p w14:paraId="2A7BF4AB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Internal flag — set to .true. by the parser if any wavelength array is non-zero. Users should not set this manually.</w:t>
            </w:r>
          </w:p>
        </w:tc>
      </w:tr>
    </w:tbl>
    <w:p w14:paraId="14D8233D" w14:textId="77777777" w:rsidR="00C66A1F" w:rsidRDefault="00C66A1F"/>
    <w:p w14:paraId="42CC898A" w14:textId="77777777" w:rsidR="00C66A1F" w:rsidRDefault="00000000">
      <w:pPr>
        <w:pStyle w:val="Heading1"/>
      </w:pPr>
      <w:r>
        <w:rPr>
          <w:color w:val="0B3B6B"/>
        </w:rPr>
        <w:t>4. File and Output Flags</w:t>
      </w:r>
    </w:p>
    <w:p w14:paraId="3BC55DAE" w14:textId="77777777" w:rsidR="00C66A1F" w:rsidRDefault="00000000">
      <w:pPr>
        <w:pStyle w:val="Heading2"/>
      </w:pPr>
      <w:r>
        <w:rPr>
          <w:color w:val="0B3B6B"/>
        </w:rPr>
        <w:t>4.1  Input data files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71123F01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DA7C14B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47AF0EFF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21DF21AF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081BF04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32DD5BA9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73584730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6407F6AF" w14:textId="77777777" w:rsidR="00C66A1F" w:rsidRDefault="00000000">
            <w:r>
              <w:rPr>
                <w:rFonts w:ascii="Menlo" w:hAnsi="Menlo"/>
                <w:sz w:val="19"/>
              </w:rPr>
              <w:t>refractive_index_filename</w:t>
            </w:r>
          </w:p>
        </w:tc>
        <w:tc>
          <w:tcPr>
            <w:tcW w:w="1247" w:type="dxa"/>
          </w:tcPr>
          <w:p w14:paraId="208F7204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character(511)</w:t>
            </w:r>
          </w:p>
        </w:tc>
        <w:tc>
          <w:tcPr>
            <w:tcW w:w="1361" w:type="dxa"/>
          </w:tcPr>
          <w:p w14:paraId="3A15C025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'data/water_optical_constants.nc'</w:t>
            </w:r>
          </w:p>
        </w:tc>
        <w:tc>
          <w:tcPr>
            <w:tcW w:w="1928" w:type="dxa"/>
          </w:tcPr>
          <w:p w14:paraId="6F792A3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path to NetCDF file</w:t>
            </w:r>
          </w:p>
        </w:tc>
        <w:tc>
          <w:tcPr>
            <w:tcW w:w="3005" w:type="dxa"/>
          </w:tcPr>
          <w:p w14:paraId="1655C44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Temperature- and salinity-dependent complex refractive index of seawater (Wang et al. 2026; Röttgers et al. 2014).</w:t>
            </w:r>
          </w:p>
        </w:tc>
      </w:tr>
      <w:tr w:rsidR="00C66A1F" w14:paraId="36AB355D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1CAFE364" w14:textId="77777777" w:rsidR="00C66A1F" w:rsidRDefault="00000000">
            <w:r>
              <w:rPr>
                <w:rFonts w:ascii="Menlo" w:hAnsi="Menlo"/>
                <w:sz w:val="19"/>
              </w:rPr>
              <w:t>auxiliary_filename</w:t>
            </w:r>
          </w:p>
        </w:tc>
        <w:tc>
          <w:tcPr>
            <w:tcW w:w="1247" w:type="dxa"/>
            <w:shd w:val="clear" w:color="auto" w:fill="F2F6FB"/>
          </w:tcPr>
          <w:p w14:paraId="22B33CD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character(511)</w:t>
            </w:r>
          </w:p>
        </w:tc>
        <w:tc>
          <w:tcPr>
            <w:tcW w:w="1361" w:type="dxa"/>
            <w:shd w:val="clear" w:color="auto" w:fill="F2F6FB"/>
          </w:tcPr>
          <w:p w14:paraId="5131987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(alias)</w:t>
            </w:r>
          </w:p>
        </w:tc>
        <w:tc>
          <w:tcPr>
            <w:tcW w:w="1928" w:type="dxa"/>
            <w:shd w:val="clear" w:color="auto" w:fill="F2F6FB"/>
          </w:tcPr>
          <w:p w14:paraId="76B3B678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same as refractive_index_filename</w:t>
            </w:r>
          </w:p>
        </w:tc>
        <w:tc>
          <w:tcPr>
            <w:tcW w:w="3005" w:type="dxa"/>
            <w:shd w:val="clear" w:color="auto" w:fill="F2F6FB"/>
          </w:tcPr>
          <w:p w14:paraId="676C093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Deprecated synonym retained for pre-0.8.2 config files.</w:t>
            </w:r>
          </w:p>
        </w:tc>
      </w:tr>
    </w:tbl>
    <w:p w14:paraId="612B0035" w14:textId="77777777" w:rsidR="00C66A1F" w:rsidRDefault="00C66A1F"/>
    <w:p w14:paraId="49B3DFC6" w14:textId="77777777" w:rsidR="00C66A1F" w:rsidRDefault="00000000">
      <w:pPr>
        <w:pStyle w:val="Heading2"/>
      </w:pPr>
      <w:r>
        <w:rPr>
          <w:color w:val="0B3B6B"/>
        </w:rPr>
        <w:t>4.2  Output file control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493C8838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49C85B3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53C1E48A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50696B0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773BF722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5284BC6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073580B1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3242AD27" w14:textId="77777777" w:rsidR="00C66A1F" w:rsidRDefault="00000000">
            <w:r>
              <w:rPr>
                <w:rFonts w:ascii="Menlo" w:hAnsi="Menlo"/>
                <w:sz w:val="19"/>
              </w:rPr>
              <w:t>output_file</w:t>
            </w:r>
          </w:p>
        </w:tc>
        <w:tc>
          <w:tcPr>
            <w:tcW w:w="1247" w:type="dxa"/>
          </w:tcPr>
          <w:p w14:paraId="42F97EB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character(512)</w:t>
            </w:r>
          </w:p>
        </w:tc>
        <w:tc>
          <w:tcPr>
            <w:tcW w:w="1361" w:type="dxa"/>
          </w:tcPr>
          <w:p w14:paraId="787F329B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"" (empty)</w:t>
            </w:r>
          </w:p>
        </w:tc>
        <w:tc>
          <w:tcPr>
            <w:tcW w:w="1928" w:type="dxa"/>
          </w:tcPr>
          <w:p w14:paraId="42C5556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any writable path, typically '*.nc'</w:t>
            </w:r>
          </w:p>
        </w:tc>
        <w:tc>
          <w:tcPr>
            <w:tcW w:w="3005" w:type="dxa"/>
          </w:tcPr>
          <w:p w14:paraId="27692176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Output NetCDF filename. Precedence: command-line 'output=' argument &gt; this flag &gt; default 'emissivity_output.nc'.</w:t>
            </w:r>
          </w:p>
        </w:tc>
      </w:tr>
    </w:tbl>
    <w:p w14:paraId="2A96AB18" w14:textId="77777777" w:rsidR="00C66A1F" w:rsidRDefault="00C66A1F"/>
    <w:p w14:paraId="712E724F" w14:textId="77777777" w:rsidR="00C66A1F" w:rsidRDefault="00000000">
      <w:pPr>
        <w:pStyle w:val="Heading1"/>
      </w:pPr>
      <w:r>
        <w:rPr>
          <w:color w:val="0B3B6B"/>
        </w:rPr>
        <w:t>5. Hardware and Performance Flags</w:t>
      </w:r>
    </w:p>
    <w:p w14:paraId="1DE4428D" w14:textId="77777777" w:rsidR="00C66A1F" w:rsidRDefault="00000000">
      <w:r>
        <w:rPr>
          <w:i/>
        </w:rPr>
        <w:t>These flags are auto-detected at runtime and tuned to the host hardware. Override only when benchmarking or when running on a platform where detection fails.</w:t>
      </w:r>
    </w:p>
    <w:p w14:paraId="58D9ECD2" w14:textId="77777777" w:rsidR="00C66A1F" w:rsidRDefault="00000000">
      <w:pPr>
        <w:pStyle w:val="Heading2"/>
      </w:pPr>
      <w:r>
        <w:rPr>
          <w:color w:val="0B3B6B"/>
        </w:rPr>
        <w:t>5.1  Cache and vector sizing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1E9E65D2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3B5F06B6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47914677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2B490E9C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2CC2462C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340AD51C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40A7EE95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3DB4EA2D" w14:textId="77777777" w:rsidR="00C66A1F" w:rsidRDefault="00000000">
            <w:r>
              <w:rPr>
                <w:rFonts w:ascii="Menlo" w:hAnsi="Menlo"/>
                <w:sz w:val="19"/>
              </w:rPr>
              <w:t>CACHE_LINE_SIZE</w:t>
            </w:r>
          </w:p>
        </w:tc>
        <w:tc>
          <w:tcPr>
            <w:tcW w:w="1247" w:type="dxa"/>
          </w:tcPr>
          <w:p w14:paraId="6088A5B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754AA13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64 bytes</w:t>
            </w:r>
          </w:p>
        </w:tc>
        <w:tc>
          <w:tcPr>
            <w:tcW w:w="1928" w:type="dxa"/>
          </w:tcPr>
          <w:p w14:paraId="4B16BFB9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32, 64, 128</w:t>
            </w:r>
          </w:p>
        </w:tc>
        <w:tc>
          <w:tcPr>
            <w:tcW w:w="3005" w:type="dxa"/>
          </w:tcPr>
          <w:p w14:paraId="42C5FDD7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Cache-line size used to avoid false sharing in workspace pools.</w:t>
            </w:r>
          </w:p>
        </w:tc>
      </w:tr>
      <w:tr w:rsidR="00C66A1F" w14:paraId="49BFBA49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05789CEE" w14:textId="77777777" w:rsidR="00C66A1F" w:rsidRDefault="00000000">
            <w:r>
              <w:rPr>
                <w:rFonts w:ascii="Menlo" w:hAnsi="Menlo"/>
                <w:sz w:val="19"/>
              </w:rPr>
              <w:t>VECTOR_LENGTH</w:t>
            </w:r>
          </w:p>
        </w:tc>
        <w:tc>
          <w:tcPr>
            <w:tcW w:w="1247" w:type="dxa"/>
            <w:shd w:val="clear" w:color="auto" w:fill="F2F6FB"/>
          </w:tcPr>
          <w:p w14:paraId="7F28FEEB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  <w:shd w:val="clear" w:color="auto" w:fill="F2F6FB"/>
          </w:tcPr>
          <w:p w14:paraId="62C880DE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8</w:t>
            </w:r>
          </w:p>
        </w:tc>
        <w:tc>
          <w:tcPr>
            <w:tcW w:w="1928" w:type="dxa"/>
            <w:shd w:val="clear" w:color="auto" w:fill="F2F6FB"/>
          </w:tcPr>
          <w:p w14:paraId="4104BC76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4, 8, 16</w:t>
            </w:r>
          </w:p>
        </w:tc>
        <w:tc>
          <w:tcPr>
            <w:tcW w:w="3005" w:type="dxa"/>
            <w:shd w:val="clear" w:color="auto" w:fill="F2F6FB"/>
          </w:tcPr>
          <w:p w14:paraId="6DBEBF59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SIMD vector length (number of double-precision lanes).</w:t>
            </w:r>
          </w:p>
        </w:tc>
      </w:tr>
      <w:tr w:rsidR="00C66A1F" w14:paraId="4DAE3B13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5B5A4D39" w14:textId="77777777" w:rsidR="00C66A1F" w:rsidRDefault="00000000">
            <w:r>
              <w:rPr>
                <w:rFonts w:ascii="Menlo" w:hAnsi="Menlo"/>
                <w:sz w:val="19"/>
              </w:rPr>
              <w:t>L1_CACHE_SIZE</w:t>
            </w:r>
          </w:p>
        </w:tc>
        <w:tc>
          <w:tcPr>
            <w:tcW w:w="1247" w:type="dxa"/>
          </w:tcPr>
          <w:p w14:paraId="32516138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770B6F3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32768 bytes</w:t>
            </w:r>
          </w:p>
        </w:tc>
        <w:tc>
          <w:tcPr>
            <w:tcW w:w="1928" w:type="dxa"/>
          </w:tcPr>
          <w:p w14:paraId="0CB5A071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per-core L1-D size</w:t>
            </w:r>
          </w:p>
        </w:tc>
        <w:tc>
          <w:tcPr>
            <w:tcW w:w="3005" w:type="dxa"/>
          </w:tcPr>
          <w:p w14:paraId="2ED8C945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Drives inner-loop block sizing in mathlib kernels.</w:t>
            </w:r>
          </w:p>
        </w:tc>
      </w:tr>
      <w:tr w:rsidR="00C66A1F" w14:paraId="5BC2968F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301D2E08" w14:textId="77777777" w:rsidR="00C66A1F" w:rsidRDefault="00000000">
            <w:r>
              <w:rPr>
                <w:rFonts w:ascii="Menlo" w:hAnsi="Menlo"/>
                <w:sz w:val="19"/>
              </w:rPr>
              <w:t>L2_BLOCK_SIZE</w:t>
            </w:r>
          </w:p>
        </w:tc>
        <w:tc>
          <w:tcPr>
            <w:tcW w:w="1247" w:type="dxa"/>
            <w:shd w:val="clear" w:color="auto" w:fill="F2F6FB"/>
          </w:tcPr>
          <w:p w14:paraId="6A7BB27C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  <w:shd w:val="clear" w:color="auto" w:fill="F2F6FB"/>
          </w:tcPr>
          <w:p w14:paraId="267B2720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256</w:t>
            </w:r>
          </w:p>
        </w:tc>
        <w:tc>
          <w:tcPr>
            <w:tcW w:w="1928" w:type="dxa"/>
            <w:shd w:val="clear" w:color="auto" w:fill="F2F6FB"/>
          </w:tcPr>
          <w:p w14:paraId="5D98B590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hardware-dependent</w:t>
            </w:r>
          </w:p>
        </w:tc>
        <w:tc>
          <w:tcPr>
            <w:tcW w:w="3005" w:type="dxa"/>
            <w:shd w:val="clear" w:color="auto" w:fill="F2F6FB"/>
          </w:tcPr>
          <w:p w14:paraId="467A4555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Outer-loop cache-blocking tile size used by the spectral kernels.</w:t>
            </w:r>
          </w:p>
        </w:tc>
      </w:tr>
    </w:tbl>
    <w:p w14:paraId="5316CD21" w14:textId="77777777" w:rsidR="00C66A1F" w:rsidRDefault="00C66A1F"/>
    <w:p w14:paraId="2CC85B62" w14:textId="77777777" w:rsidR="00C66A1F" w:rsidRDefault="00000000">
      <w:pPr>
        <w:pStyle w:val="Heading2"/>
      </w:pPr>
      <w:r>
        <w:rPr>
          <w:color w:val="0B3B6B"/>
        </w:rPr>
        <w:lastRenderedPageBreak/>
        <w:t>5.2  Parallel scheduling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361"/>
        <w:gridCol w:w="1928"/>
        <w:gridCol w:w="3005"/>
      </w:tblGrid>
      <w:tr w:rsidR="00C66A1F" w14:paraId="2E8FBBA8" w14:textId="77777777" w:rsidTr="00C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0B3B6B"/>
            <w:vAlign w:val="center"/>
          </w:tcPr>
          <w:p w14:paraId="1D6683C3" w14:textId="77777777" w:rsidR="00C66A1F" w:rsidRDefault="00000000">
            <w:r>
              <w:rPr>
                <w:color w:val="FFFFFF"/>
                <w:sz w:val="20"/>
              </w:rPr>
              <w:t>Flag</w:t>
            </w:r>
          </w:p>
        </w:tc>
        <w:tc>
          <w:tcPr>
            <w:tcW w:w="1247" w:type="dxa"/>
            <w:shd w:val="clear" w:color="auto" w:fill="0B3B6B"/>
            <w:vAlign w:val="center"/>
          </w:tcPr>
          <w:p w14:paraId="00D99C6C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1361" w:type="dxa"/>
            <w:shd w:val="clear" w:color="auto" w:fill="0B3B6B"/>
            <w:vAlign w:val="center"/>
          </w:tcPr>
          <w:p w14:paraId="375280C6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Default</w:t>
            </w:r>
          </w:p>
        </w:tc>
        <w:tc>
          <w:tcPr>
            <w:tcW w:w="1928" w:type="dxa"/>
            <w:shd w:val="clear" w:color="auto" w:fill="0B3B6B"/>
            <w:vAlign w:val="center"/>
          </w:tcPr>
          <w:p w14:paraId="732305D8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Valid options / range</w:t>
            </w:r>
          </w:p>
        </w:tc>
        <w:tc>
          <w:tcPr>
            <w:tcW w:w="3005" w:type="dxa"/>
            <w:shd w:val="clear" w:color="auto" w:fill="0B3B6B"/>
            <w:vAlign w:val="center"/>
          </w:tcPr>
          <w:p w14:paraId="21A41393" w14:textId="77777777" w:rsidR="00C66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C66A1F" w14:paraId="3527DC5A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5B1ED9EC" w14:textId="77777777" w:rsidR="00C66A1F" w:rsidRDefault="00000000">
            <w:r>
              <w:rPr>
                <w:rFonts w:ascii="Menlo" w:hAnsi="Menlo"/>
                <w:sz w:val="19"/>
              </w:rPr>
              <w:t>MIN_CHUNK_SIZE</w:t>
            </w:r>
          </w:p>
        </w:tc>
        <w:tc>
          <w:tcPr>
            <w:tcW w:w="1247" w:type="dxa"/>
          </w:tcPr>
          <w:p w14:paraId="499B0DEC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5C71F2BF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32</w:t>
            </w:r>
          </w:p>
        </w:tc>
        <w:tc>
          <w:tcPr>
            <w:tcW w:w="1928" w:type="dxa"/>
          </w:tcPr>
          <w:p w14:paraId="1A7A6554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≥ 16</w:t>
            </w:r>
          </w:p>
        </w:tc>
        <w:tc>
          <w:tcPr>
            <w:tcW w:w="3005" w:type="dxa"/>
          </w:tcPr>
          <w:p w14:paraId="648DF61E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Lower bound on OpenMP chunk size for guided scheduling.</w:t>
            </w:r>
          </w:p>
        </w:tc>
      </w:tr>
      <w:tr w:rsidR="00C66A1F" w14:paraId="080F3E3E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553D4169" w14:textId="77777777" w:rsidR="00C66A1F" w:rsidRDefault="00000000">
            <w:r>
              <w:rPr>
                <w:rFonts w:ascii="Menlo" w:hAnsi="Menlo"/>
                <w:sz w:val="19"/>
              </w:rPr>
              <w:t>MAX_CHUNK_SIZE</w:t>
            </w:r>
          </w:p>
        </w:tc>
        <w:tc>
          <w:tcPr>
            <w:tcW w:w="1247" w:type="dxa"/>
            <w:shd w:val="clear" w:color="auto" w:fill="F2F6FB"/>
          </w:tcPr>
          <w:p w14:paraId="2A033562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  <w:shd w:val="clear" w:color="auto" w:fill="F2F6FB"/>
          </w:tcPr>
          <w:p w14:paraId="5823BB1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512</w:t>
            </w:r>
          </w:p>
        </w:tc>
        <w:tc>
          <w:tcPr>
            <w:tcW w:w="1928" w:type="dxa"/>
            <w:shd w:val="clear" w:color="auto" w:fill="F2F6FB"/>
          </w:tcPr>
          <w:p w14:paraId="6DCCDD3B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≥ MIN_CHUNK_SIZE</w:t>
            </w:r>
          </w:p>
        </w:tc>
        <w:tc>
          <w:tcPr>
            <w:tcW w:w="3005" w:type="dxa"/>
            <w:shd w:val="clear" w:color="auto" w:fill="F2F6FB"/>
          </w:tcPr>
          <w:p w14:paraId="67502102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Upper bound on OpenMP chunk size.</w:t>
            </w:r>
          </w:p>
        </w:tc>
      </w:tr>
      <w:tr w:rsidR="00C66A1F" w14:paraId="71638864" w14:textId="77777777" w:rsidTr="00C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4BD3954F" w14:textId="77777777" w:rsidR="00C66A1F" w:rsidRDefault="00000000">
            <w:r>
              <w:rPr>
                <w:rFonts w:ascii="Menlo" w:hAnsi="Menlo"/>
                <w:sz w:val="19"/>
              </w:rPr>
              <w:t>MIN_PARALLEL_SIZE</w:t>
            </w:r>
          </w:p>
        </w:tc>
        <w:tc>
          <w:tcPr>
            <w:tcW w:w="1247" w:type="dxa"/>
          </w:tcPr>
          <w:p w14:paraId="0F13C7CD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</w:tcPr>
          <w:p w14:paraId="04E4BD9F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1000</w:t>
            </w:r>
          </w:p>
        </w:tc>
        <w:tc>
          <w:tcPr>
            <w:tcW w:w="1928" w:type="dxa"/>
          </w:tcPr>
          <w:p w14:paraId="564B2E7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≥ 1</w:t>
            </w:r>
          </w:p>
        </w:tc>
        <w:tc>
          <w:tcPr>
            <w:tcW w:w="3005" w:type="dxa"/>
          </w:tcPr>
          <w:p w14:paraId="1D4168F0" w14:textId="77777777" w:rsidR="00C66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Below this problem size, serial execution is chosen to avoid parallel-region overhead.</w:t>
            </w:r>
          </w:p>
        </w:tc>
      </w:tr>
      <w:tr w:rsidR="00C66A1F" w14:paraId="0389E784" w14:textId="77777777" w:rsidTr="00C6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6FB"/>
          </w:tcPr>
          <w:p w14:paraId="12744FEE" w14:textId="77777777" w:rsidR="00C66A1F" w:rsidRDefault="00000000">
            <w:r>
              <w:rPr>
                <w:rFonts w:ascii="Menlo" w:hAnsi="Menlo"/>
                <w:sz w:val="19"/>
              </w:rPr>
              <w:t>MIN_WORK_PER_THREAD</w:t>
            </w:r>
          </w:p>
        </w:tc>
        <w:tc>
          <w:tcPr>
            <w:tcW w:w="1247" w:type="dxa"/>
            <w:shd w:val="clear" w:color="auto" w:fill="F2F6FB"/>
          </w:tcPr>
          <w:p w14:paraId="132B0AA5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integer</w:t>
            </w:r>
          </w:p>
        </w:tc>
        <w:tc>
          <w:tcPr>
            <w:tcW w:w="1361" w:type="dxa"/>
            <w:shd w:val="clear" w:color="auto" w:fill="F2F6FB"/>
          </w:tcPr>
          <w:p w14:paraId="754423B8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9"/>
              </w:rPr>
              <w:t>64</w:t>
            </w:r>
          </w:p>
        </w:tc>
        <w:tc>
          <w:tcPr>
            <w:tcW w:w="1928" w:type="dxa"/>
            <w:shd w:val="clear" w:color="auto" w:fill="F2F6FB"/>
          </w:tcPr>
          <w:p w14:paraId="521B4A7F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≥ 1</w:t>
            </w:r>
          </w:p>
        </w:tc>
        <w:tc>
          <w:tcPr>
            <w:tcW w:w="3005" w:type="dxa"/>
            <w:shd w:val="clear" w:color="auto" w:fill="F2F6FB"/>
          </w:tcPr>
          <w:p w14:paraId="7C05BF54" w14:textId="77777777" w:rsidR="00C66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Minimum work per OpenMP thread; drives thread-count reduction on small problems.</w:t>
            </w:r>
          </w:p>
        </w:tc>
      </w:tr>
    </w:tbl>
    <w:p w14:paraId="5C8358F1" w14:textId="77777777" w:rsidR="00C66A1F" w:rsidRDefault="00C66A1F"/>
    <w:p w14:paraId="35F7F2EA" w14:textId="77777777" w:rsidR="00C66A1F" w:rsidRDefault="00000000">
      <w:pPr>
        <w:pStyle w:val="Heading1"/>
      </w:pPr>
      <w:r>
        <w:rPr>
          <w:color w:val="0B3B6B"/>
        </w:rPr>
        <w:t>6. Command-Line Arguments</w:t>
      </w:r>
    </w:p>
    <w:p w14:paraId="042EBAED" w14:textId="77777777" w:rsidR="00C66A1F" w:rsidRDefault="00000000">
      <w:r>
        <w:t>Usage:</w:t>
      </w:r>
    </w:p>
    <w:p w14:paraId="0FC5C741" w14:textId="77777777" w:rsidR="00C66A1F" w:rsidRDefault="00000000">
      <w:pPr>
        <w:ind w:left="283"/>
      </w:pPr>
      <w:r>
        <w:rPr>
          <w:rFonts w:ascii="Menlo" w:hAnsi="Menlo"/>
          <w:sz w:val="19"/>
        </w:rPr>
        <w:t>./iosee &lt;config_file&gt;.config [output=&lt;filename&gt;.nc]</w:t>
      </w:r>
    </w:p>
    <w:p w14:paraId="3179C216" w14:textId="77777777" w:rsidR="00C66A1F" w:rsidRDefault="00000000">
      <w:pPr>
        <w:pStyle w:val="ListBullet"/>
      </w:pPr>
      <w:r>
        <w:t>The first positional argument is the path to the namelist configuration file. It is required.</w:t>
      </w:r>
    </w:p>
    <w:p w14:paraId="271785AF" w14:textId="77777777" w:rsidR="00C66A1F" w:rsidRDefault="00000000">
      <w:pPr>
        <w:pStyle w:val="ListBullet"/>
      </w:pPr>
      <w:r>
        <w:t>Any subsequent argument matching 'output=&lt;path&gt;' (case-insensitive prefix) overrides the namelist output_file setting.</w:t>
      </w:r>
    </w:p>
    <w:p w14:paraId="4C704D2F" w14:textId="77777777" w:rsidR="00C66A1F" w:rsidRDefault="00000000">
      <w:pPr>
        <w:pStyle w:val="ListBullet"/>
      </w:pPr>
      <w:r>
        <w:t>OpenMP thread count is controlled by the standard environment variables (OMP_NUM_THREADS, OMP_PROC_BIND, OMP_PLACES) and is not set inside the configuration namelist.</w:t>
      </w:r>
    </w:p>
    <w:p w14:paraId="0B4DF046" w14:textId="77777777" w:rsidR="00C66A1F" w:rsidRDefault="00000000">
      <w:pPr>
        <w:pStyle w:val="Heading1"/>
      </w:pPr>
      <w:r>
        <w:rPr>
          <w:color w:val="0B3B6B"/>
        </w:rPr>
        <w:t>7. Precedence and Conflict Resolution</w:t>
      </w:r>
    </w:p>
    <w:p w14:paraId="48076BFF" w14:textId="77777777" w:rsidR="00C66A1F" w:rsidRDefault="00000000">
      <w:pPr>
        <w:pStyle w:val="ListBullet"/>
      </w:pPr>
      <w:r>
        <w:t>Viewing-angle precedence: Option 2 (view_angle_start / view_angle_end / n_view_angle) is used when n_view_angle &gt; 0 and view_angle_end &gt; view_angle_start; otherwise Option 1 (view_angle list).</w:t>
      </w:r>
    </w:p>
    <w:p w14:paraId="5FC6E2D0" w14:textId="77777777" w:rsidR="00C66A1F" w:rsidRDefault="00000000">
      <w:pPr>
        <w:pStyle w:val="ListBullet"/>
      </w:pPr>
      <w:r>
        <w:t>Wind precedence: Option 2 (wind_start / wind_end / n_wind) is used when n_wind &gt; 0 and wind_end &gt; wind_start; otherwise Option 1. Within Option 1 the preferred name 'wind' wins over legacy 'winds' / 'wind_values'.</w:t>
      </w:r>
    </w:p>
    <w:p w14:paraId="6BF822D9" w14:textId="77777777" w:rsidR="00C66A1F" w:rsidRDefault="00000000">
      <w:pPr>
        <w:pStyle w:val="ListBullet"/>
      </w:pPr>
      <w:r>
        <w:t>Spectral input precedence: a non-zero wavelen_min / wavelen_max / n_wavelen switches the parser into wavelength input mode; otherwise the wavenum_* arrays are used. The new preferred name refractive_index_filename takes precedence over the legacy auxiliary_filename.</w:t>
      </w:r>
    </w:p>
    <w:p w14:paraId="295DBE24" w14:textId="77777777" w:rsidR="00C66A1F" w:rsidRDefault="00000000">
      <w:pPr>
        <w:pStyle w:val="ListBullet"/>
      </w:pPr>
      <w:r>
        <w:t>Output-file precedence: command-line 'output=' &gt; namelist output_file &gt; default 'emissivity_output.nc'.</w:t>
      </w:r>
    </w:p>
    <w:p w14:paraId="0C5446B8" w14:textId="77777777" w:rsidR="00C66A1F" w:rsidRDefault="00000000">
      <w:pPr>
        <w:pStyle w:val="Heading1"/>
      </w:pPr>
      <w:r>
        <w:rPr>
          <w:color w:val="0B3B6B"/>
        </w:rPr>
        <w:t>8. Minimal and Canonical Configuration Examples</w:t>
      </w:r>
    </w:p>
    <w:p w14:paraId="1829B9F1" w14:textId="77777777" w:rsidR="00C66A1F" w:rsidRDefault="00000000">
      <w:r>
        <w:t>Minimal spectral example (wavenumber input):</w:t>
      </w:r>
    </w:p>
    <w:p w14:paraId="13CF15C4" w14:textId="77777777" w:rsidR="00C66A1F" w:rsidRDefault="00000000">
      <w:pPr>
        <w:ind w:left="283"/>
      </w:pPr>
      <w:r>
        <w:rPr>
          <w:rFonts w:ascii="Menlo" w:hAnsi="Menlo"/>
          <w:sz w:val="19"/>
        </w:rPr>
        <w:t>&amp;configuration</w:t>
      </w:r>
      <w:r>
        <w:br/>
      </w:r>
      <w:r>
        <w:rPr>
          <w:rFonts w:ascii="Menlo" w:hAnsi="Menlo"/>
          <w:sz w:val="19"/>
        </w:rPr>
        <w:t>mode = 'spectral'</w:t>
      </w:r>
      <w:r>
        <w:br/>
      </w:r>
      <w:r>
        <w:rPr>
          <w:rFonts w:ascii="Menlo" w:hAnsi="Menlo"/>
          <w:sz w:val="19"/>
        </w:rPr>
        <w:t>wavenum_start = 800.0</w:t>
      </w:r>
      <w:r>
        <w:br/>
      </w:r>
      <w:r>
        <w:rPr>
          <w:rFonts w:ascii="Menlo" w:hAnsi="Menlo"/>
          <w:sz w:val="19"/>
        </w:rPr>
        <w:t>wavenum_end   = 1200.0</w:t>
      </w:r>
      <w:r>
        <w:br/>
      </w:r>
      <w:r>
        <w:rPr>
          <w:rFonts w:ascii="Menlo" w:hAnsi="Menlo"/>
          <w:sz w:val="19"/>
        </w:rPr>
        <w:t>n_wavenum     = 401</w:t>
      </w:r>
      <w:r>
        <w:br/>
      </w:r>
      <w:r>
        <w:rPr>
          <w:rFonts w:ascii="Menlo" w:hAnsi="Menlo"/>
          <w:sz w:val="19"/>
        </w:rPr>
        <w:t>sea_surface_temperature = 298.15</w:t>
      </w:r>
      <w:r>
        <w:br/>
      </w:r>
      <w:r>
        <w:rPr>
          <w:rFonts w:ascii="Menlo" w:hAnsi="Menlo"/>
          <w:sz w:val="19"/>
        </w:rPr>
        <w:lastRenderedPageBreak/>
        <w:t>sea_surface_salinity    = 35.0</w:t>
      </w:r>
      <w:r>
        <w:br/>
      </w:r>
      <w:r>
        <w:rPr>
          <w:rFonts w:ascii="Menlo" w:hAnsi="Menlo"/>
          <w:sz w:val="19"/>
        </w:rPr>
        <w:t>view_angle = 0.0, 30.0, 55.0, 65.0</w:t>
      </w:r>
      <w:r>
        <w:br/>
      </w:r>
      <w:r>
        <w:rPr>
          <w:rFonts w:ascii="Menlo" w:hAnsi="Menlo"/>
          <w:sz w:val="19"/>
        </w:rPr>
        <w:t>wind       = 0.0, 5.0, 10.0</w:t>
      </w:r>
      <w:r>
        <w:br/>
      </w:r>
      <w:r>
        <w:rPr>
          <w:rFonts w:ascii="Menlo" w:hAnsi="Menlo"/>
          <w:sz w:val="19"/>
        </w:rPr>
        <w:t>refractive_index_filename = 'data/water_optical_constants.nc'</w:t>
      </w:r>
      <w:r>
        <w:br/>
      </w:r>
      <w:r>
        <w:rPr>
          <w:rFonts w:ascii="Menlo" w:hAnsi="Menlo"/>
          <w:sz w:val="19"/>
        </w:rPr>
        <w:t>/</w:t>
      </w:r>
    </w:p>
    <w:p w14:paraId="0A82B10F" w14:textId="77777777" w:rsidR="00C66A1F" w:rsidRDefault="00000000">
      <w:r>
        <w:t>Polarized wavelength example:</w:t>
      </w:r>
    </w:p>
    <w:p w14:paraId="52CF5069" w14:textId="77777777" w:rsidR="00C66A1F" w:rsidRDefault="00000000">
      <w:pPr>
        <w:ind w:left="283"/>
      </w:pPr>
      <w:r>
        <w:rPr>
          <w:rFonts w:ascii="Menlo" w:hAnsi="Menlo"/>
          <w:sz w:val="19"/>
        </w:rPr>
        <w:t>&amp;configuration</w:t>
      </w:r>
      <w:r>
        <w:br/>
      </w:r>
      <w:r>
        <w:rPr>
          <w:rFonts w:ascii="Menlo" w:hAnsi="Menlo"/>
          <w:sz w:val="19"/>
        </w:rPr>
        <w:t>mode         = 'spectral'</w:t>
      </w:r>
      <w:r>
        <w:br/>
      </w:r>
      <w:r>
        <w:rPr>
          <w:rFonts w:ascii="Menlo" w:hAnsi="Menlo"/>
          <w:sz w:val="19"/>
        </w:rPr>
        <w:t>polarization = 'enable'</w:t>
      </w:r>
      <w:r>
        <w:br/>
      </w:r>
      <w:r>
        <w:rPr>
          <w:rFonts w:ascii="Menlo" w:hAnsi="Menlo"/>
          <w:sz w:val="19"/>
        </w:rPr>
        <w:t>wavelen_min  = 8.0</w:t>
      </w:r>
      <w:r>
        <w:br/>
      </w:r>
      <w:r>
        <w:rPr>
          <w:rFonts w:ascii="Menlo" w:hAnsi="Menlo"/>
          <w:sz w:val="19"/>
        </w:rPr>
        <w:t>wavelen_max  = 12.0</w:t>
      </w:r>
      <w:r>
        <w:br/>
      </w:r>
      <w:r>
        <w:rPr>
          <w:rFonts w:ascii="Menlo" w:hAnsi="Menlo"/>
          <w:sz w:val="19"/>
        </w:rPr>
        <w:t>n_wavelen    = 100</w:t>
      </w:r>
      <w:r>
        <w:br/>
      </w:r>
      <w:r>
        <w:rPr>
          <w:rFonts w:ascii="Menlo" w:hAnsi="Menlo"/>
          <w:sz w:val="19"/>
        </w:rPr>
        <w:t>sea_surface_temperature = 295.0</w:t>
      </w:r>
      <w:r>
        <w:br/>
      </w:r>
      <w:r>
        <w:rPr>
          <w:rFonts w:ascii="Menlo" w:hAnsi="Menlo"/>
          <w:sz w:val="19"/>
        </w:rPr>
        <w:t>sea_surface_salinity    = 34.5</w:t>
      </w:r>
      <w:r>
        <w:br/>
      </w:r>
      <w:r>
        <w:rPr>
          <w:rFonts w:ascii="Menlo" w:hAnsi="Menlo"/>
          <w:sz w:val="19"/>
        </w:rPr>
        <w:t>view_angle   = 35.0, 45.0, 55.0</w:t>
      </w:r>
      <w:r>
        <w:br/>
      </w:r>
      <w:r>
        <w:rPr>
          <w:rFonts w:ascii="Menlo" w:hAnsi="Menlo"/>
          <w:sz w:val="19"/>
        </w:rPr>
        <w:t>wind         = 0.0, 4.0, 8.0, 12.0</w:t>
      </w:r>
      <w:r>
        <w:br/>
      </w:r>
      <w:r>
        <w:rPr>
          <w:rFonts w:ascii="Menlo" w:hAnsi="Menlo"/>
          <w:sz w:val="19"/>
        </w:rPr>
        <w:t>/</w:t>
      </w:r>
    </w:p>
    <w:p w14:paraId="764C9C51" w14:textId="77777777" w:rsidR="00C66A1F" w:rsidRDefault="00000000">
      <w:r>
        <w:t>Narrow-band RRTMGP bands example with Option 2 winds:</w:t>
      </w:r>
    </w:p>
    <w:p w14:paraId="7415B6E6" w14:textId="77777777" w:rsidR="00C66A1F" w:rsidRDefault="00000000">
      <w:pPr>
        <w:ind w:left="283"/>
      </w:pPr>
      <w:r>
        <w:rPr>
          <w:rFonts w:ascii="Menlo" w:hAnsi="Menlo"/>
          <w:sz w:val="19"/>
        </w:rPr>
        <w:t>&amp;configuration</w:t>
      </w:r>
      <w:r>
        <w:br/>
      </w:r>
      <w:r>
        <w:rPr>
          <w:rFonts w:ascii="Menlo" w:hAnsi="Menlo"/>
          <w:sz w:val="19"/>
        </w:rPr>
        <w:t>mode = 'narrow-band'</w:t>
      </w:r>
      <w:r>
        <w:br/>
      </w:r>
      <w:r>
        <w:rPr>
          <w:rFonts w:ascii="Menlo" w:hAnsi="Menlo"/>
          <w:sz w:val="19"/>
        </w:rPr>
        <w:t>wavenum_start = 10, 350, 500, 630, 700, 820, 980, 1080, 1180, 1390, 1480, 1800, 2080, 2250, 2380, 2600</w:t>
      </w:r>
      <w:r>
        <w:br/>
      </w:r>
      <w:r>
        <w:rPr>
          <w:rFonts w:ascii="Menlo" w:hAnsi="Menlo"/>
          <w:sz w:val="19"/>
        </w:rPr>
        <w:t>wavenum_end   = 350, 500, 630, 700, 820, 980, 1080, 1180, 1390, 1480, 1800, 2080, 2250, 2380, 2600, 3250</w:t>
      </w:r>
      <w:r>
        <w:br/>
      </w:r>
      <w:r>
        <w:rPr>
          <w:rFonts w:ascii="Menlo" w:hAnsi="Menlo"/>
          <w:sz w:val="19"/>
        </w:rPr>
        <w:t>n_wavenum     = 200, 200, 200, 200, 200, 200, 200, 200, 200, 200, 200, 200, 200, 200, 200, 200</w:t>
      </w:r>
      <w:r>
        <w:br/>
      </w:r>
      <w:r>
        <w:rPr>
          <w:rFonts w:ascii="Menlo" w:hAnsi="Menlo"/>
          <w:sz w:val="19"/>
        </w:rPr>
        <w:t>sea_surface_temperature = 298.15</w:t>
      </w:r>
      <w:r>
        <w:br/>
      </w:r>
      <w:r>
        <w:rPr>
          <w:rFonts w:ascii="Menlo" w:hAnsi="Menlo"/>
          <w:sz w:val="19"/>
        </w:rPr>
        <w:t>sea_surface_salinity    = 34.5</w:t>
      </w:r>
      <w:r>
        <w:br/>
      </w:r>
      <w:r>
        <w:rPr>
          <w:rFonts w:ascii="Menlo" w:hAnsi="Menlo"/>
          <w:sz w:val="19"/>
        </w:rPr>
        <w:t>view_angle = 53.0</w:t>
      </w:r>
      <w:r>
        <w:br/>
      </w:r>
      <w:r>
        <w:rPr>
          <w:rFonts w:ascii="Menlo" w:hAnsi="Menlo"/>
          <w:sz w:val="19"/>
        </w:rPr>
        <w:t>wind_start = 0.0</w:t>
      </w:r>
      <w:r>
        <w:br/>
      </w:r>
      <w:r>
        <w:rPr>
          <w:rFonts w:ascii="Menlo" w:hAnsi="Menlo"/>
          <w:sz w:val="19"/>
        </w:rPr>
        <w:t>wind_end   = 18.0</w:t>
      </w:r>
      <w:r>
        <w:br/>
      </w:r>
      <w:r>
        <w:rPr>
          <w:rFonts w:ascii="Menlo" w:hAnsi="Menlo"/>
          <w:sz w:val="19"/>
        </w:rPr>
        <w:t>n_wind     = 21</w:t>
      </w:r>
      <w:r>
        <w:br/>
      </w:r>
      <w:r>
        <w:rPr>
          <w:rFonts w:ascii="Menlo" w:hAnsi="Menlo"/>
          <w:sz w:val="19"/>
        </w:rPr>
        <w:t>/</w:t>
      </w:r>
    </w:p>
    <w:p w14:paraId="00168FEB" w14:textId="77777777" w:rsidR="00C66A1F" w:rsidRDefault="00C66A1F"/>
    <w:p w14:paraId="7C9BCF4F" w14:textId="3572A6F5" w:rsidR="00C66A1F" w:rsidRDefault="00C66A1F"/>
    <w:sectPr w:rsidR="00C66A1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897511">
    <w:abstractNumId w:val="8"/>
  </w:num>
  <w:num w:numId="2" w16cid:durableId="194730020">
    <w:abstractNumId w:val="6"/>
  </w:num>
  <w:num w:numId="3" w16cid:durableId="1810896923">
    <w:abstractNumId w:val="5"/>
  </w:num>
  <w:num w:numId="4" w16cid:durableId="1139611537">
    <w:abstractNumId w:val="4"/>
  </w:num>
  <w:num w:numId="5" w16cid:durableId="1218007306">
    <w:abstractNumId w:val="7"/>
  </w:num>
  <w:num w:numId="6" w16cid:durableId="2053533127">
    <w:abstractNumId w:val="3"/>
  </w:num>
  <w:num w:numId="7" w16cid:durableId="1362049914">
    <w:abstractNumId w:val="2"/>
  </w:num>
  <w:num w:numId="8" w16cid:durableId="130951712">
    <w:abstractNumId w:val="1"/>
  </w:num>
  <w:num w:numId="9" w16cid:durableId="9314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F11"/>
    <w:rsid w:val="0029639D"/>
    <w:rsid w:val="00326F90"/>
    <w:rsid w:val="006E746B"/>
    <w:rsid w:val="00AA1D8D"/>
    <w:rsid w:val="00B47730"/>
    <w:rsid w:val="00C66A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2D9E9"/>
  <w14:defaultImageDpi w14:val="300"/>
  <w15:docId w15:val="{D948A0E4-F453-9648-AA3F-756ABC5E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Wei, Jian</cp:lastModifiedBy>
  <cp:revision>2</cp:revision>
  <dcterms:created xsi:type="dcterms:W3CDTF">2013-12-23T23:15:00Z</dcterms:created>
  <dcterms:modified xsi:type="dcterms:W3CDTF">2026-04-24T15:51:00Z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7155627449b413054e3d3605310cdb36aa7c4ad7d96d47758fd76d6105efe6e4</vt:lpwstr>
  </property>
</Properties>
</file>