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distributionID</w:t>
            </w:r>
          </w:p>
        </w:tc>
        <w:tc>
          <w:tcPr>
            <w:tcW w:type="dxa" w:w="1984"/>
          </w:tcPr>
          <w:p>
            <w:r>
              <w:t>Identifiant du message référencé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du message référencé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refused</w:t>
            </w:r>
          </w:p>
        </w:tc>
        <w:tc>
          <w:tcPr>
            <w:tcW w:type="dxa" w:w="1984"/>
          </w:tcPr>
          <w:p>
            <w:r>
              <w:t>Indicateur de refus de message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le message acquitté a été refusé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errorDistributionID</w:t>
            </w:r>
          </w:p>
        </w:tc>
        <w:tc>
          <w:tcPr>
            <w:tcW w:type="dxa" w:w="1984"/>
          </w:tcPr>
          <w:p>
            <w:r>
              <w:t>Identifiant du message d'erreur lié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Identifiant unique du message d'erreur lié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step</w:t>
            </w:r>
          </w:p>
        </w:tc>
        <w:tc>
          <w:tcPr>
            <w:tcW w:type="dxa" w:w="1984"/>
          </w:tcPr>
          <w:p>
            <w:r>
              <w:t>Etape d'intégration du message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Nomenclature permettant d'identifier les différentes étapes d'intégration et de consultation du dossier dans le système émetteur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