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ENUM-SOURCE_Loc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système fournissant le localisant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BAN</w:t>
            </w:r>
          </w:p>
        </w:tc>
        <w:tc>
          <w:tcPr>
            <w:tcW w:type="dxa" w:w="1728"/>
          </w:tcPr>
          <w:p>
            <w:r>
              <w:t>BAN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IGN</w:t>
            </w:r>
          </w:p>
        </w:tc>
        <w:tc>
          <w:tcPr>
            <w:tcW w:type="dxa" w:w="1728"/>
          </w:tcPr>
          <w:p>
            <w:r>
              <w:t>IGN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NEXSIS</w:t>
            </w:r>
          </w:p>
        </w:tc>
        <w:tc>
          <w:tcPr>
            <w:tcW w:type="dxa" w:w="1728"/>
          </w:tcPr>
          <w:p>
            <w:r>
              <w:t>NEXSIS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