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createCaseHealthUpdate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caseId</w:t>
            </w:r>
          </w:p>
        </w:tc>
        <w:tc>
          <w:tcPr>
            <w:tcW w:type="dxa" w:w="1984"/>
          </w:tcPr>
          <w:p>
            <w:r>
              <w:t>Identifiant affaire/dossier</w:t>
            </w:r>
          </w:p>
        </w:tc>
        <w:tc>
          <w:tcPr>
            <w:tcW w:type="dxa" w:w="1134"/>
          </w:tcPr>
          <w:p>
            <w:r>
              <w:t>string</w:t>
              <w:br/>
              <w:t>(REGEX: fr(\.[a-zA-Z0-9_-]+){3,4})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Identifiant partagé de l'affaire/dossier, généré une seule fois par le système du partenaire qui recoit la primo-demande de secours (créateur du dossier). </w:t>
              <w:br/>
              <w:t xml:space="preserve">Il est valorisé comme suit lors de sa création : </w:t>
              <w:br/>
              <w:t>{pays}.{domaine}.{organisation}.{senderCaseId}</w:t>
              <w:br/>
              <w:br/>
              <w:t>Il doit pouvoir être généré de façon décentralisée et ne présenter aucune ambiguïté.</w:t>
              <w:br/>
              <w:t xml:space="preserve"> Il doit être unique dans l'ensemble des systèmes : le numéro de dossier fourni par celui qui génère l'identifiant partagé doit donc être un numéro unique dans son système.</w:t>
            </w:r>
          </w:p>
        </w:tc>
        <w:tc>
          <w:tcPr>
            <w:tcW w:type="dxa" w:w="1701"/>
          </w:tcPr>
          <w:p>
            <w:r>
              <w:t>fr.health.samu440.DRFR15440241550012</w:t>
            </w:r>
          </w:p>
        </w:tc>
      </w:tr>
      <w:tr>
        <w:tc>
          <w:tcPr>
            <w:tcW w:type="dxa" w:w="1701"/>
          </w:tcPr>
          <w:p>
            <w:r>
              <w:t>senderCaseId</w:t>
            </w:r>
          </w:p>
        </w:tc>
        <w:tc>
          <w:tcPr>
            <w:tcW w:type="dxa" w:w="1984"/>
          </w:tcPr>
          <w:p>
            <w:r>
              <w:t>Identifiant local de l'affaire/dossier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numéro du dossier dans le SI de l'émetteur du message.</w:t>
              <w:br/>
            </w:r>
          </w:p>
        </w:tc>
        <w:tc>
          <w:tcPr>
            <w:tcW w:type="dxa" w:w="1701"/>
          </w:tcPr>
          <w:p>
            <w:r>
              <w:t>DRFR15440241550012</w:t>
            </w:r>
          </w:p>
        </w:tc>
      </w:tr>
      <w:tr>
        <w:tc>
          <w:tcPr>
            <w:tcW w:type="dxa" w:w="1701"/>
          </w:tcPr>
          <w:p>
            <w:r>
              <w:t>perimeter</w:t>
            </w:r>
          </w:p>
        </w:tc>
        <w:tc>
          <w:tcPr>
            <w:tcW w:type="dxa" w:w="1984"/>
          </w:tcPr>
          <w:p>
            <w:r>
              <w:t>Filière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ENUM-FILIERE)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Sert à indiquer à quelle filière du CRRA destinataire le dossier doit être adressé/affiché, lorsque celle-ci est spécifique ou dédiée.</w:t>
            </w:r>
          </w:p>
        </w:tc>
        <w:tc>
          <w:tcPr>
            <w:tcW w:type="dxa" w:w="1701"/>
          </w:tcPr>
          <w:p>
            <w:r>
              <w:t>AMU</w:t>
            </w:r>
          </w:p>
        </w:tc>
      </w:tr>
      <w:tr>
        <w:tc>
          <w:tcPr>
            <w:tcW w:type="dxa" w:w="1701"/>
          </w:tcPr>
          <w:p>
            <w:r>
              <w:t>qualification</w:t>
            </w:r>
          </w:p>
        </w:tc>
        <w:tc>
          <w:tcPr>
            <w:tcW w:type="dxa" w:w="1984"/>
          </w:tcPr>
          <w:p>
            <w:r>
              <w:t>Qualification</w:t>
            </w:r>
          </w:p>
        </w:tc>
        <w:tc>
          <w:tcPr>
            <w:tcW w:type="dxa" w:w="1134"/>
          </w:tcPr>
          <w:p>
            <w:r>
              <w:t>cf. type qualification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Objet qui permet de qualifier l'affaire/dossier en général. </w:t>
              <w:br/>
              <w:br/>
              <w:t xml:space="preserve">Spécificités 15-18 : </w:t>
              <w:br/>
              <w:t>La qualification est issue d'une interprétation métier synthétisant l'ensemble des alertes reçues.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location</w:t>
            </w:r>
          </w:p>
        </w:tc>
        <w:tc>
          <w:tcPr>
            <w:tcW w:type="dxa" w:w="1984"/>
          </w:tcPr>
          <w:p>
            <w:r>
              <w:t>Localisation</w:t>
            </w:r>
          </w:p>
        </w:tc>
        <w:tc>
          <w:tcPr>
            <w:tcW w:type="dxa" w:w="1134"/>
          </w:tcPr>
          <w:p>
            <w:r>
              <w:t>cf. type location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permet de décrire la localisation du lieu d'intervention.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initialAlert</w:t>
            </w:r>
          </w:p>
        </w:tc>
        <w:tc>
          <w:tcPr>
            <w:tcW w:type="dxa" w:w="1984"/>
          </w:tcPr>
          <w:p>
            <w:r>
              <w:t>Alerte initiale</w:t>
            </w:r>
          </w:p>
        </w:tc>
        <w:tc>
          <w:tcPr>
            <w:tcW w:type="dxa" w:w="1134"/>
          </w:tcPr>
          <w:p>
            <w:r>
              <w:t>cf. type alert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permet de décrire une communication d'urgence, par exemple un appel téléphonique.</w:t>
              <w:br/>
              <w:br/>
              <w:t>Spécificités 15-18 : Une alerte est une photo d'une situation donnée décrite par un requérant et n'est pas amenée à évoluer dans le temps. En cas de modification (adresse, qualification, ...), cela passera par une mise à jour opération ou une nouvelle alerte, L'alerte initiale est la premiere alerte concernant la situation d'urgence et conduisant à la création d'une affaire.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owner</w:t>
            </w:r>
          </w:p>
        </w:tc>
        <w:tc>
          <w:tcPr>
            <w:tcW w:type="dxa" w:w="1984"/>
          </w:tcPr>
          <w:p>
            <w:r>
              <w:t>CRRA traitant</w:t>
            </w:r>
          </w:p>
        </w:tc>
        <w:tc>
          <w:tcPr>
            <w:tcW w:type="dxa" w:w="1134"/>
          </w:tcPr>
          <w:p>
            <w:r>
              <w:t>string</w:t>
              <w:br/>
              <w:t>(REGEX: fr(\.[a-zA-Z0-9_-]+){2,3})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Attribut qui permet de transférer la prise en charge d'un dossier à un autre CRAA</w:t>
              <w:br/>
              <w:t>A valoriser avec l'identifiant de l'organisation concerné (orgId = {pays}.{domaine}.{organisation})</w:t>
            </w:r>
          </w:p>
        </w:tc>
        <w:tc>
          <w:tcPr>
            <w:tcW w:type="dxa" w:w="1701"/>
          </w:tcPr>
          <w:p>
            <w:r>
              <w:t>fr.health.samu440</w:t>
            </w:r>
          </w:p>
        </w:tc>
      </w:tr>
      <w:tr>
        <w:tc>
          <w:tcPr>
            <w:tcW w:type="dxa" w:w="1701"/>
          </w:tcPr>
          <w:p>
            <w:r>
              <w:t>patient</w:t>
            </w:r>
          </w:p>
        </w:tc>
        <w:tc>
          <w:tcPr>
            <w:tcW w:type="dxa" w:w="1984"/>
          </w:tcPr>
          <w:p>
            <w:r>
              <w:t>Patient</w:t>
            </w:r>
          </w:p>
        </w:tc>
        <w:tc>
          <w:tcPr>
            <w:tcW w:type="dxa" w:w="1134"/>
          </w:tcPr>
          <w:p>
            <w:r>
              <w:t>cf. type patient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>Objet qui permet l'identification des patients / victimes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medicalNote</w:t>
            </w:r>
          </w:p>
        </w:tc>
        <w:tc>
          <w:tcPr>
            <w:tcW w:type="dxa" w:w="1984"/>
          </w:tcPr>
          <w:p>
            <w:r>
              <w:t>Observation médicale</w:t>
            </w:r>
          </w:p>
        </w:tc>
        <w:tc>
          <w:tcPr>
            <w:tcW w:type="dxa" w:w="1134"/>
          </w:tcPr>
          <w:p>
            <w:r>
              <w:t>cf. type medicalNote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 xml:space="preserve">Observations de nature médicale. 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decision</w:t>
            </w:r>
          </w:p>
        </w:tc>
        <w:tc>
          <w:tcPr>
            <w:tcW w:type="dxa" w:w="1984"/>
          </w:tcPr>
          <w:p>
            <w:r>
              <w:t>Décision</w:t>
            </w:r>
          </w:p>
        </w:tc>
        <w:tc>
          <w:tcPr>
            <w:tcW w:type="dxa" w:w="1134"/>
          </w:tcPr>
          <w:p>
            <w:r>
              <w:t>cf. type decision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>Objet qui permet de passer l'ensemble des mesures prises par le Samu-Centre 15 en réponse à la demande exprimée en fonction de l’événement et de la situation du ou des patients.</w:t>
              <w:br/>
              <w:t>Si un freetext accompagne la décision, il doit être passé comme une observation médicale (medicalNote)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freetext</w:t>
            </w:r>
          </w:p>
        </w:tc>
        <w:tc>
          <w:tcPr>
            <w:tcW w:type="dxa" w:w="1984"/>
          </w:tcPr>
          <w:p>
            <w:r>
              <w:t>Informations supplémentaires modifiées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Champ libre qui permet de concaténer en une seule note toutes les autres valeurs modifiées dans le dossier, ne figurant pas de manière structurée dans le RS-EDA-MAJ.</w:t>
            </w:r>
          </w:p>
        </w:tc>
        <w:tc>
          <w:tcPr>
            <w:tcW w:type="dxa" w:w="1701"/>
          </w:tcPr>
          <w:p>
            <w:r>
              <w:t>adresse : 7bis rue du château - Neuilly sur Seine</w:t>
            </w:r>
          </w:p>
        </w:tc>
      </w:tr>
      <w:tr>
        <w:tc>
          <w:tcPr>
            <w:tcW w:type="dxa" w:w="1701"/>
          </w:tcPr>
          <w:p>
            <w:r>
              <w:t>additionalInformation</w:t>
            </w:r>
          </w:p>
        </w:tc>
        <w:tc>
          <w:tcPr>
            <w:tcW w:type="dxa" w:w="1984"/>
          </w:tcPr>
          <w:p>
            <w:r>
              <w:t>Informations complémentaires</w:t>
            </w:r>
          </w:p>
        </w:tc>
        <w:tc>
          <w:tcPr>
            <w:tcW w:type="dxa" w:w="1134"/>
          </w:tcPr>
          <w:p>
            <w:r>
              <w:t>cf. type additionalInformation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permet d'ajouter jusqu'à 3 données supplémentaires, dans l'éventualité où ces dernières ne sont pas déjà prévues dans le modèle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qualification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riskThreat</w:t>
            </w:r>
          </w:p>
        </w:tc>
        <w:tc>
          <w:tcPr>
            <w:tcW w:type="dxa" w:w="1984"/>
          </w:tcPr>
          <w:p>
            <w:r>
              <w:t>Risque, menace et sensibilité</w:t>
            </w:r>
          </w:p>
        </w:tc>
        <w:tc>
          <w:tcPr>
            <w:tcW w:type="dxa" w:w="1134"/>
          </w:tcPr>
          <w:p>
            <w:r>
              <w:t>cf. type riskThreat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>Décrit les risques, menaces et sensibilités : cf.nomenclature associée.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details</w:t>
            </w:r>
          </w:p>
        </w:tc>
        <w:tc>
          <w:tcPr>
            <w:tcW w:type="dxa" w:w="1984"/>
          </w:tcPr>
          <w:p>
            <w:r>
              <w:t xml:space="preserve">Détails du dossier </w:t>
            </w:r>
          </w:p>
        </w:tc>
        <w:tc>
          <w:tcPr>
            <w:tcW w:type="dxa" w:w="1134"/>
          </w:tcPr>
          <w:p>
            <w:r>
              <w:t>cf. type caseDetails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permet de décrire les détails du dossier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location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externalInfo</w:t>
            </w:r>
          </w:p>
        </w:tc>
        <w:tc>
          <w:tcPr>
            <w:tcW w:type="dxa" w:w="1984"/>
          </w:tcPr>
          <w:p>
            <w:r>
              <w:t>Liens aux systèmes externes</w:t>
            </w:r>
          </w:p>
        </w:tc>
        <w:tc>
          <w:tcPr>
            <w:tcW w:type="dxa" w:w="1134"/>
          </w:tcPr>
          <w:p>
            <w:r>
              <w:t>cf. type externalInfo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>Lien avec l'identifiant de l'adresse dans une base de données externes possiblement connue des autres acteurs.</w:t>
              <w:br/>
              <w:t>L'identifiant BAN de l'adresse (clé d'interopérabilité) doit être partagé au maximum.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alert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notes</w:t>
            </w:r>
          </w:p>
        </w:tc>
        <w:tc>
          <w:tcPr>
            <w:tcW w:type="dxa" w:w="1984"/>
          </w:tcPr>
          <w:p>
            <w:r>
              <w:t>Informations complémentaires sur l'alerte</w:t>
            </w:r>
          </w:p>
        </w:tc>
        <w:tc>
          <w:tcPr>
            <w:tcW w:type="dxa" w:w="1134"/>
          </w:tcPr>
          <w:p>
            <w:r>
              <w:t>cf. type notes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>Objet qui permet de fournir des informations supplémentaires concernant l'alerte.</w:t>
              <w:br/>
              <w:br/>
              <w:t xml:space="preserve">Spécificités 15-15 : </w:t>
              <w:br/>
              <w:t>Mapper ici  les informations générales liées au dossier qui ne sont pas liées à un patient, et pour lesquelles il n’est pas possible d’identifier le rôle de utilisateur (cf. objet medicalNote).</w:t>
              <w:br/>
              <w:t>A réception, les informations de cet attribut sont à mapper et afficher dans un champ le plus approprié possible : en commentaire général du dossier, non lié à un rôle utilisateur ou à un patient.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patient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idPat</w:t>
            </w:r>
          </w:p>
        </w:tc>
        <w:tc>
          <w:tcPr>
            <w:tcW w:type="dxa" w:w="1984"/>
          </w:tcPr>
          <w:p>
            <w:r>
              <w:t>ID patient partagé</w:t>
            </w:r>
          </w:p>
        </w:tc>
        <w:tc>
          <w:tcPr>
            <w:tcW w:type="dxa" w:w="1134"/>
          </w:tcPr>
          <w:p>
            <w:r>
              <w:t>string</w:t>
              <w:br/>
              <w:t>(REGEX: ([a-zA-Z0-9_-]+\.){3,4}patient(\.[a-zA-Z0-9_-]+){1,2})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Identifiant partagé du patient, généré une seule fois par le système du partenaire qui créé le patient.</w:t>
              <w:br/>
              <w:t xml:space="preserve">Il est valorisé comme suit lors de sa création : </w:t>
              <w:br/>
              <w:t>{OrgId émetteur}.patient.{n°patient unique dans le système émetteur}</w:t>
              <w:br/>
              <w:br/>
              <w:t>OU, si un n°patient unique n'existe pas dans le système émetteur :</w:t>
              <w:br/>
              <w:t>{ID émetteur}.{senderCaseId}.patient.{numéro d’ordre chronologique au dossier}</w:t>
              <w:br/>
              <w:br/>
              <w:br/>
            </w:r>
          </w:p>
        </w:tc>
        <w:tc>
          <w:tcPr>
            <w:tcW w:type="dxa" w:w="1701"/>
          </w:tcPr>
          <w:p>
            <w:r>
              <w:t>fr.health.samu690.patient.P23AZ59</w:t>
              <w:br/>
              <w:t>fr.health.samu690.patient.DRFR15690242370035.1</w:t>
            </w:r>
          </w:p>
        </w:tc>
      </w:tr>
      <w:tr>
        <w:tc>
          <w:tcPr>
            <w:tcW w:type="dxa" w:w="1701"/>
          </w:tcPr>
          <w:p>
            <w:r>
              <w:t>administrativeFile</w:t>
            </w:r>
          </w:p>
        </w:tc>
        <w:tc>
          <w:tcPr>
            <w:tcW w:type="dxa" w:w="1984"/>
          </w:tcPr>
          <w:p>
            <w:r>
              <w:t>Dossier administratif</w:t>
            </w:r>
          </w:p>
        </w:tc>
        <w:tc>
          <w:tcPr>
            <w:tcW w:type="dxa" w:w="1134"/>
          </w:tcPr>
          <w:p>
            <w:r>
              <w:t>cf. type administrativeFile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permet de décrire les données administratives liées au patient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identity</w:t>
            </w:r>
          </w:p>
        </w:tc>
        <w:tc>
          <w:tcPr>
            <w:tcW w:type="dxa" w:w="1984"/>
          </w:tcPr>
          <w:p>
            <w:r>
              <w:t>Identité</w:t>
            </w:r>
          </w:p>
        </w:tc>
        <w:tc>
          <w:tcPr>
            <w:tcW w:type="dxa" w:w="1134"/>
          </w:tcPr>
          <w:p>
            <w:r>
              <w:t>cf. type Identity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permet de décrire l'identité du patient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healthMotive</w:t>
            </w:r>
          </w:p>
        </w:tc>
        <w:tc>
          <w:tcPr>
            <w:tcW w:type="dxa" w:w="1984"/>
          </w:tcPr>
          <w:p>
            <w:r>
              <w:t>Motif de recours médico-secouriste</w:t>
            </w:r>
          </w:p>
        </w:tc>
        <w:tc>
          <w:tcPr>
            <w:tcW w:type="dxa" w:w="1134"/>
          </w:tcPr>
          <w:p>
            <w:r>
              <w:t>cf. type healthMotive</w:t>
              <w:br/>
              <w:t>(nan)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Décrit le motif de recours médico-secouriste associé spécifiquement à un patient : cf.nomenclature associée.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detail</w:t>
            </w:r>
          </w:p>
        </w:tc>
        <w:tc>
          <w:tcPr>
            <w:tcW w:type="dxa" w:w="1984"/>
          </w:tcPr>
          <w:p>
            <w:r>
              <w:t>Informations patient</w:t>
            </w:r>
          </w:p>
        </w:tc>
        <w:tc>
          <w:tcPr>
            <w:tcW w:type="dxa" w:w="1134"/>
          </w:tcPr>
          <w:p>
            <w:r>
              <w:t>cf. type patientDetail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permet de décrire les caractéristiques du patient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hypothesis</w:t>
            </w:r>
          </w:p>
        </w:tc>
        <w:tc>
          <w:tcPr>
            <w:tcW w:type="dxa" w:w="1984"/>
          </w:tcPr>
          <w:p>
            <w:r>
              <w:t>Hypothèses de régulation médicale</w:t>
            </w:r>
          </w:p>
        </w:tc>
        <w:tc>
          <w:tcPr>
            <w:tcW w:type="dxa" w:w="1134"/>
          </w:tcPr>
          <w:p>
            <w:r>
              <w:t>cf. type hypothesis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permet de décrire les hypothèses de régulation médicale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medicalNote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idPat</w:t>
            </w:r>
          </w:p>
        </w:tc>
        <w:tc>
          <w:tcPr>
            <w:tcW w:type="dxa" w:w="1984"/>
          </w:tcPr>
          <w:p>
            <w:r>
              <w:t>ID patient partagé</w:t>
            </w:r>
          </w:p>
        </w:tc>
        <w:tc>
          <w:tcPr>
            <w:tcW w:type="dxa" w:w="1134"/>
          </w:tcPr>
          <w:p>
            <w:r>
              <w:t>string</w:t>
              <w:br/>
              <w:t>(REGEX: ([a-zA-Z0-9_-]+\.){3,4}patient(\.[a-zA-Z0-9_-]+){1,2})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Identifiant partagé du patient concerné par l'observation, a remplir obligatoirement si ce patient existe et est identifié dans le système emetteur, </w:t>
              <w:br/>
              <w:br/>
              <w:t xml:space="preserve">Valorisé comme suit lors de sa création : </w:t>
              <w:br/>
              <w:t>{OrgId émetteur}.patient.{n°patient unique dans le système émetteur}</w:t>
              <w:br/>
              <w:br/>
              <w:t>OU, si un n°patient unique n'existe pas dans le système émetteur :</w:t>
              <w:br/>
              <w:t>{ID émetteur}.{senderCaseId}.patient.{numéro d’ordre chronologique au dossier}</w:t>
            </w:r>
          </w:p>
        </w:tc>
        <w:tc>
          <w:tcPr>
            <w:tcW w:type="dxa" w:w="1701"/>
          </w:tcPr>
          <w:p>
            <w:r>
              <w:t>fr.health.samu690.patient.P23AZ59</w:t>
              <w:br/>
              <w:t>fr.health.samu690.patient.DRFR15690242370035.1</w:t>
            </w:r>
          </w:p>
        </w:tc>
      </w:tr>
      <w:tr>
        <w:tc>
          <w:tcPr>
            <w:tcW w:type="dxa" w:w="1701"/>
          </w:tcPr>
          <w:p>
            <w:r>
              <w:t>operator</w:t>
            </w:r>
          </w:p>
        </w:tc>
        <w:tc>
          <w:tcPr>
            <w:tcW w:type="dxa" w:w="1984"/>
          </w:tcPr>
          <w:p>
            <w:r>
              <w:t>Professionnel de santé qui réalise l'observation</w:t>
            </w:r>
          </w:p>
        </w:tc>
        <w:tc>
          <w:tcPr>
            <w:tcW w:type="dxa" w:w="1134"/>
          </w:tcPr>
          <w:p>
            <w:r>
              <w:t>cf. type operator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Objet qui permet de décrire le professionnel de santé qui réalise l'interrogatoire médical. 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idObs</w:t>
            </w:r>
          </w:p>
        </w:tc>
        <w:tc>
          <w:tcPr>
            <w:tcW w:type="dxa" w:w="1984"/>
          </w:tcPr>
          <w:p>
            <w:r>
              <w:t>ID Observation</w:t>
            </w:r>
          </w:p>
        </w:tc>
        <w:tc>
          <w:tcPr>
            <w:tcW w:type="dxa" w:w="1134"/>
          </w:tcPr>
          <w:p>
            <w:r>
              <w:t>string</w:t>
              <w:br/>
              <w:t>(REGEX: ([a-zA-Z0-9_-]+\.){3}medicalNote(\.[a-zA-Z0-9_-]+){1,2})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Identifiant partagé de l'observation, généré une seule fois par le système du partenaire qui créé l'observation</w:t>
              <w:br/>
              <w:t xml:space="preserve">Il est valorisé comme suit lors de sa création : </w:t>
              <w:br/>
              <w:t>{OrgId émetteur}.medicalNote.{ID unique de l’observation dans le système émetteur}</w:t>
              <w:br/>
              <w:br/>
              <w:t xml:space="preserve">OU - uniquement dans le cas où un ID unique de la note n'est pas disponible dans le système : </w:t>
              <w:br/>
              <w:t>{OrgId émetteur}.medicalNote.{senderCaseId}.{numéro chronologique de l’observation}</w:t>
              <w:br/>
              <w:br/>
              <w:t>Cet identifiant a vocation à devenir obligatoire pour permettre les mises à jour, il est laissé en facultatif temporairement.</w:t>
              <w:br/>
            </w:r>
          </w:p>
        </w:tc>
        <w:tc>
          <w:tcPr>
            <w:tcW w:type="dxa" w:w="1701"/>
          </w:tcPr>
          <w:p>
            <w:r>
              <w:t>fr.health.samu540.medicalNote.46585A</w:t>
              <w:br/>
              <w:t>fr.health.samu540.medicalNote.DRFR15540241600125.20</w:t>
            </w:r>
          </w:p>
        </w:tc>
      </w:tr>
      <w:tr>
        <w:tc>
          <w:tcPr>
            <w:tcW w:type="dxa" w:w="1701"/>
          </w:tcPr>
          <w:p>
            <w:r>
              <w:t>creation</w:t>
            </w:r>
          </w:p>
        </w:tc>
        <w:tc>
          <w:tcPr>
            <w:tcW w:type="dxa" w:w="1984"/>
          </w:tcPr>
          <w:p>
            <w:r>
              <w:t>Date Heure de l'observation</w:t>
            </w:r>
          </w:p>
        </w:tc>
        <w:tc>
          <w:tcPr>
            <w:tcW w:type="dxa" w:w="1134"/>
          </w:tcPr>
          <w:p>
            <w:r>
              <w:t>datetime</w:t>
              <w:br/>
              <w:t>(Format datetime décrit dans le DST)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groupe date heure de création de l'observation.  L'indicateur de fuseau horaire Z ne doit pas être utilisé.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  <w:tr>
        <w:tc>
          <w:tcPr>
            <w:tcW w:type="dxa" w:w="1701"/>
          </w:tcPr>
          <w:p>
            <w:r>
              <w:t>freetext</w:t>
            </w:r>
          </w:p>
        </w:tc>
        <w:tc>
          <w:tcPr>
            <w:tcW w:type="dxa" w:w="1984"/>
          </w:tcPr>
          <w:p>
            <w:r>
              <w:t>Observations et commentaires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Champ libre qui permet de compléter les informations de nature médicales, faites par un ARM, un médecin ou un autre professionnel de santé.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decision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idPat</w:t>
            </w:r>
          </w:p>
        </w:tc>
        <w:tc>
          <w:tcPr>
            <w:tcW w:type="dxa" w:w="1984"/>
          </w:tcPr>
          <w:p>
            <w:r>
              <w:t>ID patient partagé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l'ID partagé du patient concerné par la décision, à chaque fois que la décision est liée à un patient dans le système émetteur</w:t>
            </w:r>
          </w:p>
        </w:tc>
        <w:tc>
          <w:tcPr>
            <w:tcW w:type="dxa" w:w="1701"/>
          </w:tcPr>
          <w:p>
            <w:r>
              <w:t>fr.health.samu690.patient.P23AZ59</w:t>
              <w:br/>
              <w:t>fr.health.samu690.patient.DRFR15690242370035.1</w:t>
            </w:r>
          </w:p>
        </w:tc>
      </w:tr>
      <w:tr>
        <w:tc>
          <w:tcPr>
            <w:tcW w:type="dxa" w:w="1701"/>
          </w:tcPr>
          <w:p>
            <w:r>
              <w:t>creation</w:t>
            </w:r>
          </w:p>
        </w:tc>
        <w:tc>
          <w:tcPr>
            <w:tcW w:type="dxa" w:w="1984"/>
          </w:tcPr>
          <w:p>
            <w:r>
              <w:t>Date Heure de la décision</w:t>
            </w:r>
          </w:p>
        </w:tc>
        <w:tc>
          <w:tcPr>
            <w:tcW w:type="dxa" w:w="1134"/>
          </w:tcPr>
          <w:p>
            <w:r>
              <w:t>datetime</w:t>
              <w:br/>
              <w:t>(Format datetime décrit dans le DST)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groupe date heure de création de la décision.  L'indicateur de fuseau horaire Z ne doit pas être utilisé.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  <w:tr>
        <w:tc>
          <w:tcPr>
            <w:tcW w:type="dxa" w:w="1701"/>
          </w:tcPr>
          <w:p>
            <w:r>
              <w:t>operator</w:t>
            </w:r>
          </w:p>
        </w:tc>
        <w:tc>
          <w:tcPr>
            <w:tcW w:type="dxa" w:w="1984"/>
          </w:tcPr>
          <w:p>
            <w:r>
              <w:t>Opérateur décideur</w:t>
            </w:r>
          </w:p>
        </w:tc>
        <w:tc>
          <w:tcPr>
            <w:tcW w:type="dxa" w:w="1134"/>
          </w:tcPr>
          <w:p>
            <w:r>
              <w:t>cf. type operator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Objet qui permet de décrire le professionnel de santé qui prend la décision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decisionType</w:t>
            </w:r>
          </w:p>
        </w:tc>
        <w:tc>
          <w:tcPr>
            <w:tcW w:type="dxa" w:w="1984"/>
          </w:tcPr>
          <w:p>
            <w:r>
              <w:t>Type de décision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SI-SAMU-TYPEDEC)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type de décision prise (cf.nomenclature associée)</w:t>
            </w:r>
          </w:p>
        </w:tc>
        <w:tc>
          <w:tcPr>
            <w:tcW w:type="dxa" w:w="1701"/>
          </w:tcPr>
          <w:p>
            <w:r>
              <w:t>conseil médical  / décision d’intervention / décision d’orientation et de transport / Pas de décision supplémentaire</w:t>
            </w:r>
          </w:p>
        </w:tc>
      </w:tr>
      <w:tr>
        <w:tc>
          <w:tcPr>
            <w:tcW w:type="dxa" w:w="1701"/>
          </w:tcPr>
          <w:p>
            <w:r>
              <w:t>resourceType</w:t>
            </w:r>
          </w:p>
        </w:tc>
        <w:tc>
          <w:tcPr>
            <w:tcW w:type="dxa" w:w="1984"/>
          </w:tcPr>
          <w:p>
            <w:r>
              <w:t>Type de ressource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SI-SAMU-TYPE_MOYEN)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type de ressource souhaitée ou engagée (cf.nomenclature associée) - en fonction du type de décision.</w:t>
              <w:br/>
              <w:t>A fournir obligatoirement pour une décision d'intervention ou de transport/orientation.</w:t>
            </w:r>
          </w:p>
        </w:tc>
        <w:tc>
          <w:tcPr>
            <w:tcW w:type="dxa" w:w="1701"/>
          </w:tcPr>
          <w:p>
            <w:r>
              <w:t>SMUR, Pompiers</w:t>
            </w:r>
          </w:p>
        </w:tc>
      </w:tr>
      <w:tr>
        <w:tc>
          <w:tcPr>
            <w:tcW w:type="dxa" w:w="1701"/>
          </w:tcPr>
          <w:p>
            <w:r>
              <w:t>vehiculeType</w:t>
            </w:r>
          </w:p>
        </w:tc>
        <w:tc>
          <w:tcPr>
            <w:tcW w:type="dxa" w:w="1984"/>
          </w:tcPr>
          <w:p>
            <w:r>
              <w:t>Type de vecteur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SI-SAMU-TYPE_VECTEUR)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type de vecteur souhaité / demandé (cf.nomenclature associée) en fonction du type de décision.</w:t>
              <w:br/>
              <w:t>A fournir obligatoirement pour une décision d'intervention ou de transport/orientation.</w:t>
            </w:r>
          </w:p>
        </w:tc>
        <w:tc>
          <w:tcPr>
            <w:tcW w:type="dxa" w:w="1701"/>
          </w:tcPr>
          <w:p>
            <w:r>
              <w:t>AR, VLM, VSAV</w:t>
            </w:r>
          </w:p>
        </w:tc>
      </w:tr>
      <w:tr>
        <w:tc>
          <w:tcPr>
            <w:tcW w:type="dxa" w:w="1701"/>
          </w:tcPr>
          <w:p>
            <w:r>
              <w:t>medicalTransport</w:t>
            </w:r>
          </w:p>
        </w:tc>
        <w:tc>
          <w:tcPr>
            <w:tcW w:type="dxa" w:w="1984"/>
          </w:tcPr>
          <w:p>
            <w:r>
              <w:t>Transport médicalisé</w:t>
            </w:r>
          </w:p>
        </w:tc>
        <w:tc>
          <w:tcPr>
            <w:tcW w:type="dxa" w:w="1134"/>
          </w:tcPr>
          <w:p>
            <w:r>
              <w:t>boolean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obligatoirement en cas de décision de transport, pour indiquer si ce dernier est médicalisé.</w:t>
              <w:br/>
              <w:t>True = transport médicalisé</w:t>
              <w:br/>
              <w:t>False = transport non médicalisé</w:t>
            </w:r>
          </w:p>
        </w:tc>
        <w:tc>
          <w:tcPr>
            <w:tcW w:type="dxa" w:w="1701"/>
          </w:tcPr>
          <w:p>
            <w:r>
              <w:t>True</w:t>
            </w:r>
          </w:p>
        </w:tc>
      </w:tr>
      <w:tr>
        <w:tc>
          <w:tcPr>
            <w:tcW w:type="dxa" w:w="1701"/>
          </w:tcPr>
          <w:p>
            <w:r>
              <w:t>orientationType</w:t>
            </w:r>
          </w:p>
        </w:tc>
        <w:tc>
          <w:tcPr>
            <w:tcW w:type="dxa" w:w="1984"/>
          </w:tcPr>
          <w:p>
            <w:r>
              <w:t>Type d'orientation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ENUM-TYPE_Destination)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Indique le type de destination en cas de décision d'orientation (cf. nomenclature associée)</w:t>
            </w:r>
          </w:p>
        </w:tc>
        <w:tc>
          <w:tcPr>
            <w:tcW w:type="dxa" w:w="1701"/>
          </w:tcPr>
          <w:p>
            <w:r>
              <w:t>EPHAD</w:t>
            </w:r>
          </w:p>
        </w:tc>
      </w:tr>
    </w:tbl>
    <w:p>
      <w:pPr>
        <w:pStyle w:val="Heading1"/>
      </w:pPr>
      <w:r>
        <w:t>additionalInformation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customMap</w:t>
            </w:r>
          </w:p>
        </w:tc>
        <w:tc>
          <w:tcPr>
            <w:tcW w:type="dxa" w:w="1984"/>
          </w:tcPr>
          <w:p>
            <w:r>
              <w:t>Clé valeur adaptable</w:t>
            </w:r>
          </w:p>
        </w:tc>
        <w:tc>
          <w:tcPr>
            <w:tcW w:type="dxa" w:w="1134"/>
          </w:tcPr>
          <w:p>
            <w:r>
              <w:t>cf. type customMap</w:t>
            </w:r>
          </w:p>
        </w:tc>
        <w:tc>
          <w:tcPr>
            <w:tcW w:type="dxa" w:w="1417"/>
          </w:tcPr>
          <w:p>
            <w:r>
              <w:t>0..3</w:t>
            </w:r>
          </w:p>
        </w:tc>
        <w:tc>
          <w:tcPr>
            <w:tcW w:type="dxa" w:w="4535"/>
          </w:tcPr>
          <w:p>
            <w:r>
              <w:t>Objet qui permet de rajouter des clés-valeurs de façon libre afin d'adapter le modèle à des besoins locaux ou urgents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riskThreat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code</w:t>
            </w:r>
          </w:p>
        </w:tc>
        <w:tc>
          <w:tcPr>
            <w:tcW w:type="dxa" w:w="1984"/>
          </w:tcPr>
          <w:p>
            <w:r>
              <w:t>Code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CISU-Code_Risque-Menace-Sensibilité)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code de la nomenclature associée</w:t>
            </w:r>
          </w:p>
        </w:tc>
        <w:tc>
          <w:tcPr>
            <w:tcW w:type="dxa" w:w="1701"/>
          </w:tcPr>
          <w:p>
            <w:r>
              <w:t>C07.13.02</w:t>
            </w:r>
          </w:p>
        </w:tc>
      </w:tr>
      <w:tr>
        <w:tc>
          <w:tcPr>
            <w:tcW w:type="dxa" w:w="1701"/>
          </w:tcPr>
          <w:p>
            <w:r>
              <w:t>label</w:t>
            </w:r>
          </w:p>
        </w:tc>
        <w:tc>
          <w:tcPr>
            <w:tcW w:type="dxa" w:w="1984"/>
          </w:tcPr>
          <w:p>
            <w:r>
              <w:t>Libellé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libellé de la nomenclature associée.</w:t>
              <w:br/>
              <w:t>Dans le cas où un système n'est pas en mesure de reconnaître un code, il peut choisir d'afficher le libellé qui est obligatoirement fourni avec le code.</w:t>
            </w:r>
          </w:p>
        </w:tc>
        <w:tc>
          <w:tcPr>
            <w:tcW w:type="dxa" w:w="1701"/>
          </w:tcPr>
          <w:p>
            <w:r>
              <w:t>Rodéo automobile</w:t>
            </w:r>
          </w:p>
        </w:tc>
      </w:tr>
    </w:tbl>
    <w:p>
      <w:pPr>
        <w:pStyle w:val="Heading1"/>
      </w:pPr>
      <w:r>
        <w:t>caseDetails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status</w:t>
            </w:r>
          </w:p>
        </w:tc>
        <w:tc>
          <w:tcPr>
            <w:tcW w:type="dxa" w:w="1984"/>
          </w:tcPr>
          <w:p>
            <w:r>
              <w:t>Etat du dossier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ENUM-Etats_Dossier)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l'état du dossier dans le système émetteur</w:t>
              <w:br/>
              <w:t>Spécificité 15-15 : peut être ignoré en réception, partagé à titre indicatif uniquement</w:t>
              <w:br/>
              <w:t>Spécificité 15-SMUR : à utiliser à minima pour transmettre le statut CLOTURE à la tablette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priority</w:t>
            </w:r>
          </w:p>
        </w:tc>
        <w:tc>
          <w:tcPr>
            <w:tcW w:type="dxa" w:w="1984"/>
          </w:tcPr>
          <w:p>
            <w:r>
              <w:t>Priorité de régulation médicale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SI-SAMU-PRIORITE)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Décrit la priorité de régulation médicale du dossier : P0, P1, P2, P3</w:t>
            </w:r>
          </w:p>
        </w:tc>
        <w:tc>
          <w:tcPr>
            <w:tcW w:type="dxa" w:w="1701"/>
          </w:tcPr>
          <w:p>
            <w:r>
              <w:t>P1</w:t>
            </w:r>
          </w:p>
        </w:tc>
      </w:tr>
      <w:tr>
        <w:tc>
          <w:tcPr>
            <w:tcW w:type="dxa" w:w="1701"/>
          </w:tcPr>
          <w:p>
            <w:r>
              <w:t>careLevel</w:t>
            </w:r>
          </w:p>
        </w:tc>
        <w:tc>
          <w:tcPr>
            <w:tcW w:type="dxa" w:w="1984"/>
          </w:tcPr>
          <w:p>
            <w:r>
              <w:t>Niveau de soins du dossier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SI-SAMU-GRAVITE)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Décrit le niveau de soins global du dossier identifié au cours de l'acte de régulation médicale : s'il y a plusieurs niveaux de soins différents pour chaque patient, on indique ici le niveau le plus grave.</w:t>
              <w:br/>
              <w:t>cf.nomenclature associée.</w:t>
            </w:r>
          </w:p>
        </w:tc>
        <w:tc>
          <w:tcPr>
            <w:tcW w:type="dxa" w:w="1701"/>
          </w:tcPr>
          <w:p>
            <w:r>
              <w:t>R1</w:t>
            </w:r>
          </w:p>
        </w:tc>
      </w:tr>
    </w:tbl>
    <w:p>
      <w:pPr>
        <w:pStyle w:val="Heading1"/>
      </w:pPr>
      <w:r>
        <w:t>externalInfo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freetext</w:t>
            </w:r>
          </w:p>
        </w:tc>
        <w:tc>
          <w:tcPr>
            <w:tcW w:type="dxa" w:w="1984"/>
          </w:tcPr>
          <w:p>
            <w:r>
              <w:t>Nom de la source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ENUM-SOURCE_Loc)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système fournissant le localisant</w:t>
            </w:r>
          </w:p>
        </w:tc>
        <w:tc>
          <w:tcPr>
            <w:tcW w:type="dxa" w:w="1701"/>
          </w:tcPr>
          <w:p>
            <w:r>
              <w:t>BAN, IGN, NEXSIS, …</w:t>
            </w:r>
          </w:p>
        </w:tc>
      </w:tr>
      <w:tr>
        <w:tc>
          <w:tcPr>
            <w:tcW w:type="dxa" w:w="1701"/>
          </w:tcPr>
          <w:p>
            <w:r>
              <w:t>type</w:t>
            </w:r>
          </w:p>
        </w:tc>
        <w:tc>
          <w:tcPr>
            <w:tcW w:type="dxa" w:w="1984"/>
          </w:tcPr>
          <w:p>
            <w:r>
              <w:t xml:space="preserve">Type 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ENUM-TYPE_Objet_Sys)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la définition du type d'objet dans le système</w:t>
              <w:br/>
              <w:br/>
              <w:t>Exemple : SIG NexSIS / OSM ont plusieurs types de données (EGA, POI, tronçon de route, …)</w:t>
            </w:r>
          </w:p>
        </w:tc>
        <w:tc>
          <w:tcPr>
            <w:tcW w:type="dxa" w:w="1701"/>
          </w:tcPr>
          <w:p>
            <w:r>
              <w:t>MANUEL, CARTE, AUTRE, PHOTO, SITE INTERNET</w:t>
            </w:r>
          </w:p>
        </w:tc>
      </w:tr>
      <w:tr>
        <w:tc>
          <w:tcPr>
            <w:tcW w:type="dxa" w:w="1701"/>
          </w:tcPr>
          <w:p>
            <w:r>
              <w:t>uri</w:t>
            </w:r>
          </w:p>
        </w:tc>
        <w:tc>
          <w:tcPr>
            <w:tcW w:type="dxa" w:w="1984"/>
          </w:tcPr>
          <w:p>
            <w:r>
              <w:t>Identifiant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Identifiant dans le système concerné</w:t>
            </w:r>
          </w:p>
        </w:tc>
        <w:tc>
          <w:tcPr>
            <w:tcW w:type="dxa" w:w="1701"/>
          </w:tcPr>
          <w:p>
            <w:r>
              <w:t>80021_6590_00008, id987</w:t>
            </w:r>
          </w:p>
        </w:tc>
      </w:tr>
    </w:tbl>
    <w:p>
      <w:pPr>
        <w:pStyle w:val="Heading1"/>
      </w:pPr>
      <w:r>
        <w:t>notes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creation</w:t>
            </w:r>
          </w:p>
        </w:tc>
        <w:tc>
          <w:tcPr>
            <w:tcW w:type="dxa" w:w="1984"/>
          </w:tcPr>
          <w:p>
            <w:r>
              <w:t>Date et heure de l'information complémentaire</w:t>
            </w:r>
          </w:p>
        </w:tc>
        <w:tc>
          <w:tcPr>
            <w:tcW w:type="dxa" w:w="1134"/>
          </w:tcPr>
          <w:p>
            <w:r>
              <w:t>datetime</w:t>
              <w:br/>
              <w:t>(Format datetime décrit dans le DST)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groupe date heure de création de l'information complémentaire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freetext</w:t>
            </w:r>
          </w:p>
        </w:tc>
        <w:tc>
          <w:tcPr>
            <w:tcW w:type="dxa" w:w="1984"/>
          </w:tcPr>
          <w:p>
            <w:r>
              <w:t>Commentaire/Observations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un texte libre contenant les indications complémentaires renseignées sur l'alerte/appel.</w:t>
              <w:br/>
              <w:br/>
              <w:t>Spécificités 15-15 : cet attribut ne doit pas être valorisé avec des notes à caractère médical, qui serait liée à un interrogatoire ARM ou médecin, ou à un patient en particulier</w:t>
            </w:r>
          </w:p>
        </w:tc>
        <w:tc>
          <w:tcPr>
            <w:tcW w:type="dxa" w:w="1701"/>
          </w:tcPr>
          <w:p>
            <w:r>
              <w:t>Accident de bricolage, accident domestique, déclenchement téléalarme, voisine sur les lieux</w:t>
            </w:r>
          </w:p>
        </w:tc>
      </w:tr>
    </w:tbl>
    <w:p>
      <w:pPr>
        <w:pStyle w:val="Heading1"/>
      </w:pPr>
      <w:r>
        <w:t>administrativeFile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externalId</w:t>
            </w:r>
          </w:p>
        </w:tc>
        <w:tc>
          <w:tcPr>
            <w:tcW w:type="dxa" w:w="1984"/>
          </w:tcPr>
          <w:p>
            <w:r>
              <w:t>Identifiant(s) patient(s)</w:t>
            </w:r>
          </w:p>
        </w:tc>
        <w:tc>
          <w:tcPr>
            <w:tcW w:type="dxa" w:w="1134"/>
          </w:tcPr>
          <w:p>
            <w:r>
              <w:t>cf. type externalId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>Objet qui permet de décrire l'ensemble des identifiants qui permettent d'identifier le patient (autre que le matricule INS, qui ne doit jamais être partagé via cet objet)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Identity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strictFeatures</w:t>
            </w:r>
          </w:p>
        </w:tc>
        <w:tc>
          <w:tcPr>
            <w:tcW w:type="dxa" w:w="1984"/>
          </w:tcPr>
          <w:p>
            <w:r>
              <w:t>Traits stricts de l'identité</w:t>
            </w:r>
          </w:p>
        </w:tc>
        <w:tc>
          <w:tcPr>
            <w:tcW w:type="dxa" w:w="1134"/>
          </w:tcPr>
          <w:p>
            <w:r>
              <w:t>cf. type insStrictFeatures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permet de décrire les traits stricts de l'identité du patient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nonStrictFeatures</w:t>
            </w:r>
          </w:p>
        </w:tc>
        <w:tc>
          <w:tcPr>
            <w:tcW w:type="dxa" w:w="1984"/>
          </w:tcPr>
          <w:p>
            <w:r>
              <w:t>Traits non stricts de l'identité</w:t>
            </w:r>
          </w:p>
        </w:tc>
        <w:tc>
          <w:tcPr>
            <w:tcW w:type="dxa" w:w="1134"/>
          </w:tcPr>
          <w:p>
            <w:r>
              <w:t>cf. type detailedName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permet de décrire les traits stricts de l'identité du patient, c’est-à-dire le nom et le prénom usuels du patient.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healthMotive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code</w:t>
            </w:r>
          </w:p>
        </w:tc>
        <w:tc>
          <w:tcPr>
            <w:tcW w:type="dxa" w:w="1984"/>
          </w:tcPr>
          <w:p>
            <w:r>
              <w:t>Code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SI-SAMU-Code_Motif_patient-victime)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code de la nomenclature associée</w:t>
            </w:r>
          </w:p>
        </w:tc>
        <w:tc>
          <w:tcPr>
            <w:tcW w:type="dxa" w:w="1701"/>
          </w:tcPr>
          <w:p>
            <w:r>
              <w:t>C07.13.02</w:t>
            </w:r>
          </w:p>
        </w:tc>
      </w:tr>
      <w:tr>
        <w:tc>
          <w:tcPr>
            <w:tcW w:type="dxa" w:w="1701"/>
          </w:tcPr>
          <w:p>
            <w:r>
              <w:t>label</w:t>
            </w:r>
          </w:p>
        </w:tc>
        <w:tc>
          <w:tcPr>
            <w:tcW w:type="dxa" w:w="1984"/>
          </w:tcPr>
          <w:p>
            <w:r>
              <w:t>Libellé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libellé de la nomenclature associée.</w:t>
              <w:br/>
              <w:t>Dans le cas où un système n'est pas en mesure de reconnaître un code, il peut choisir d'afficher le libellé qui est obligatoirement fourni avec le code.</w:t>
            </w:r>
          </w:p>
        </w:tc>
        <w:tc>
          <w:tcPr>
            <w:tcW w:type="dxa" w:w="1701"/>
          </w:tcPr>
          <w:p>
            <w:r>
              <w:t>Rodéo automobile</w:t>
            </w:r>
          </w:p>
        </w:tc>
      </w:tr>
    </w:tbl>
    <w:p>
      <w:pPr>
        <w:pStyle w:val="Heading1"/>
      </w:pPr>
      <w:r>
        <w:t>patientDetail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weight</w:t>
            </w:r>
          </w:p>
        </w:tc>
        <w:tc>
          <w:tcPr>
            <w:tcW w:type="dxa" w:w="1984"/>
          </w:tcPr>
          <w:p>
            <w:r>
              <w:t>Poids</w:t>
            </w:r>
          </w:p>
        </w:tc>
        <w:tc>
          <w:tcPr>
            <w:tcW w:type="dxa" w:w="1134"/>
          </w:tcPr>
          <w:p>
            <w:r>
              <w:t>number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poids en kilogrammes</w:t>
            </w:r>
          </w:p>
        </w:tc>
        <w:tc>
          <w:tcPr>
            <w:tcW w:type="dxa" w:w="1701"/>
          </w:tcPr>
          <w:p>
            <w:r>
              <w:t>31</w:t>
            </w:r>
          </w:p>
        </w:tc>
      </w:tr>
      <w:tr>
        <w:tc>
          <w:tcPr>
            <w:tcW w:type="dxa" w:w="1701"/>
          </w:tcPr>
          <w:p>
            <w:r>
              <w:t>height</w:t>
            </w:r>
          </w:p>
        </w:tc>
        <w:tc>
          <w:tcPr>
            <w:tcW w:type="dxa" w:w="1984"/>
          </w:tcPr>
          <w:p>
            <w:r>
              <w:t>Taille</w:t>
            </w:r>
          </w:p>
        </w:tc>
        <w:tc>
          <w:tcPr>
            <w:tcW w:type="dxa" w:w="1134"/>
          </w:tcPr>
          <w:p>
            <w:r>
              <w:t>number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la taille en centimètres du patient</w:t>
            </w:r>
          </w:p>
        </w:tc>
        <w:tc>
          <w:tcPr>
            <w:tcW w:type="dxa" w:w="1701"/>
          </w:tcPr>
          <w:p>
            <w:r>
              <w:t>109</w:t>
            </w:r>
          </w:p>
        </w:tc>
      </w:tr>
      <w:tr>
        <w:tc>
          <w:tcPr>
            <w:tcW w:type="dxa" w:w="1701"/>
          </w:tcPr>
          <w:p>
            <w:r>
              <w:t>age</w:t>
            </w:r>
          </w:p>
        </w:tc>
        <w:tc>
          <w:tcPr>
            <w:tcW w:type="dxa" w:w="1984"/>
          </w:tcPr>
          <w:p>
            <w:r>
              <w:t>Age</w:t>
            </w:r>
          </w:p>
        </w:tc>
        <w:tc>
          <w:tcPr>
            <w:tcW w:type="dxa" w:w="1134"/>
          </w:tcPr>
          <w:p>
            <w:r>
              <w:t>string</w:t>
              <w:br/>
              <w:t>(REGEX: P[0-9]{1,3}[YMWD])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l'age du patient.</w:t>
              <w:br/>
              <w:t>Au format "Durée" de la norme ISO 8601 (https://fr.wikipedia.org/wiki/ISO_8601#Dur%C3%A9e) et en n'utilisant qu'une seule unité de durée (années, mois, semaines ou jours)</w:t>
            </w:r>
          </w:p>
        </w:tc>
        <w:tc>
          <w:tcPr>
            <w:tcW w:type="dxa" w:w="1701"/>
          </w:tcPr>
          <w:p>
            <w:r>
              <w:t>P6Y</w:t>
            </w:r>
          </w:p>
        </w:tc>
      </w:tr>
      <w:tr>
        <w:tc>
          <w:tcPr>
            <w:tcW w:type="dxa" w:w="1701"/>
          </w:tcPr>
          <w:p>
            <w:r>
              <w:t>careLevel</w:t>
            </w:r>
          </w:p>
        </w:tc>
        <w:tc>
          <w:tcPr>
            <w:tcW w:type="dxa" w:w="1984"/>
          </w:tcPr>
          <w:p>
            <w:r>
              <w:t>Niveau de soin du patient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SI-SAMU-GRAVITE)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niveau de soins spécifique au patient</w:t>
            </w:r>
          </w:p>
        </w:tc>
        <w:tc>
          <w:tcPr>
            <w:tcW w:type="dxa" w:w="1701"/>
          </w:tcPr>
          <w:p>
            <w:r>
              <w:t>R1</w:t>
            </w:r>
          </w:p>
        </w:tc>
      </w:tr>
    </w:tbl>
    <w:p>
      <w:pPr>
        <w:pStyle w:val="Heading1"/>
      </w:pPr>
      <w:r>
        <w:t>hypothesis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mainDiagnosis</w:t>
            </w:r>
          </w:p>
        </w:tc>
        <w:tc>
          <w:tcPr>
            <w:tcW w:type="dxa" w:w="1984"/>
          </w:tcPr>
          <w:p>
            <w:r>
              <w:t>Hypothèse de régulation médicale principale</w:t>
            </w:r>
          </w:p>
        </w:tc>
        <w:tc>
          <w:tcPr>
            <w:tcW w:type="dxa" w:w="1134"/>
          </w:tcPr>
          <w:p>
            <w:r>
              <w:t>cf. type mainDiagnosis</w:t>
              <w:br/>
              <w:t>(nan)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Hypothèse diagnostique principale émise par le médecin régulateur du CRAA. Norme CIM11.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otherDiagnosis</w:t>
            </w:r>
          </w:p>
        </w:tc>
        <w:tc>
          <w:tcPr>
            <w:tcW w:type="dxa" w:w="1984"/>
          </w:tcPr>
          <w:p>
            <w:r>
              <w:t>Hypothèses de régulation médicale secondaires</w:t>
            </w:r>
          </w:p>
        </w:tc>
        <w:tc>
          <w:tcPr>
            <w:tcW w:type="dxa" w:w="1134"/>
          </w:tcPr>
          <w:p>
            <w:r>
              <w:t>cf. type otherDiagnosis</w:t>
              <w:br/>
              <w:t>(nan)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>Hypothèses diagnostiques secondaires émises par le médecin régulateur du CRAA. Norme CIM11.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externalId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source</w:t>
            </w:r>
          </w:p>
        </w:tc>
        <w:tc>
          <w:tcPr>
            <w:tcW w:type="dxa" w:w="1984"/>
          </w:tcPr>
          <w:p>
            <w:r>
              <w:t>Source  /  type d'identifiant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ENUM-TYPE_Id_Patient)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Type de l'identifiant fourni</w:t>
            </w:r>
          </w:p>
        </w:tc>
        <w:tc>
          <w:tcPr>
            <w:tcW w:type="dxa" w:w="1701"/>
          </w:tcPr>
          <w:p>
            <w:r>
              <w:t>NIR, SINUS, SI-VIC, …</w:t>
            </w:r>
          </w:p>
        </w:tc>
      </w:tr>
      <w:tr>
        <w:tc>
          <w:tcPr>
            <w:tcW w:type="dxa" w:w="1701"/>
          </w:tcPr>
          <w:p>
            <w:r>
              <w:t>value</w:t>
            </w:r>
          </w:p>
        </w:tc>
        <w:tc>
          <w:tcPr>
            <w:tcW w:type="dxa" w:w="1984"/>
          </w:tcPr>
          <w:p>
            <w:r>
              <w:t>Identifiant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L'identifiant en lui-même</w:t>
            </w:r>
          </w:p>
        </w:tc>
        <w:tc>
          <w:tcPr>
            <w:tcW w:type="dxa" w:w="1701"/>
          </w:tcPr>
          <w:p>
            <w:r>
              <w:t>id1234</w:t>
            </w:r>
          </w:p>
        </w:tc>
      </w:tr>
    </w:tbl>
    <w:p>
      <w:pPr>
        <w:pStyle w:val="Heading1"/>
      </w:pPr>
      <w:r>
        <w:t>insStrictFeatures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birthName</w:t>
            </w:r>
          </w:p>
        </w:tc>
        <w:tc>
          <w:tcPr>
            <w:tcW w:type="dxa" w:w="1984"/>
          </w:tcPr>
          <w:p>
            <w:r>
              <w:t>Nom de naissance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nom de naissance du patient. Egalement appelé nom de famille.</w:t>
            </w:r>
          </w:p>
        </w:tc>
        <w:tc>
          <w:tcPr>
            <w:tcW w:type="dxa" w:w="1701"/>
          </w:tcPr>
          <w:p>
            <w:r>
              <w:t>Dupont</w:t>
            </w:r>
          </w:p>
        </w:tc>
      </w:tr>
      <w:tr>
        <w:tc>
          <w:tcPr>
            <w:tcW w:type="dxa" w:w="1701"/>
          </w:tcPr>
          <w:p>
            <w:r>
              <w:t>birthDate</w:t>
            </w:r>
          </w:p>
        </w:tc>
        <w:tc>
          <w:tcPr>
            <w:tcW w:type="dxa" w:w="1984"/>
          </w:tcPr>
          <w:p>
            <w:r>
              <w:t>Date de naissance</w:t>
            </w:r>
          </w:p>
        </w:tc>
        <w:tc>
          <w:tcPr>
            <w:tcW w:type="dxa" w:w="1134"/>
          </w:tcPr>
          <w:p>
            <w:r>
              <w:t>date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la date de naissance du patient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sex</w:t>
            </w:r>
          </w:p>
        </w:tc>
        <w:tc>
          <w:tcPr>
            <w:tcW w:type="dxa" w:w="1984"/>
          </w:tcPr>
          <w:p>
            <w:r>
              <w:t xml:space="preserve">Sexe 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SI-SAMU-NOMENC_SEXE)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sexe du patient</w:t>
            </w:r>
          </w:p>
        </w:tc>
        <w:tc>
          <w:tcPr>
            <w:tcW w:type="dxa" w:w="1701"/>
          </w:tcPr>
          <w:p>
            <w:r>
              <w:t>F</w:t>
            </w:r>
          </w:p>
        </w:tc>
      </w:tr>
    </w:tbl>
    <w:p>
      <w:pPr>
        <w:pStyle w:val="Heading1"/>
      </w:pPr>
      <w:r>
        <w:t>detailedName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complete</w:t>
            </w:r>
          </w:p>
        </w:tc>
        <w:tc>
          <w:tcPr>
            <w:tcW w:type="dxa" w:w="1984"/>
          </w:tcPr>
          <w:p>
            <w:r>
              <w:t>Prénom et nom</w:t>
            </w:r>
          </w:p>
        </w:tc>
        <w:tc>
          <w:tcPr>
            <w:tcW w:type="dxa" w:w="1134"/>
          </w:tcPr>
          <w:p>
            <w:r>
              <w:t>string</w:t>
              <w:br/>
              <w:t>(TEMPLATE: {callerLastName} {callerFirstName})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prénom et le nom usuel du requérant/appelant.</w:t>
              <w:br/>
              <w:t>Si les champs callerLastName et callerFirstName sont également renseignés, le champ callerName doit être valorisé ainsi : "{callerFirstName} {callerLastName}".</w:t>
              <w:br/>
              <w:br/>
              <w:t>Spécificités 15-18  : NexSIS ne dispose que de ces informations (concaténées) et pas de deux champs séparés.</w:t>
            </w:r>
          </w:p>
        </w:tc>
        <w:tc>
          <w:tcPr>
            <w:tcW w:type="dxa" w:w="1701"/>
          </w:tcPr>
          <w:p>
            <w:r>
              <w:t>Jean Dupont</w:t>
            </w:r>
          </w:p>
        </w:tc>
      </w:tr>
      <w:tr>
        <w:tc>
          <w:tcPr>
            <w:tcW w:type="dxa" w:w="1701"/>
          </w:tcPr>
          <w:p>
            <w:r>
              <w:t>lastName</w:t>
            </w:r>
          </w:p>
        </w:tc>
        <w:tc>
          <w:tcPr>
            <w:tcW w:type="dxa" w:w="1984"/>
          </w:tcPr>
          <w:p>
            <w:r>
              <w:t>Nom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nom usuel du requérant</w:t>
            </w:r>
          </w:p>
        </w:tc>
        <w:tc>
          <w:tcPr>
            <w:tcW w:type="dxa" w:w="1701"/>
          </w:tcPr>
          <w:p>
            <w:r>
              <w:t>Dupont</w:t>
            </w:r>
          </w:p>
        </w:tc>
      </w:tr>
      <w:tr>
        <w:tc>
          <w:tcPr>
            <w:tcW w:type="dxa" w:w="1701"/>
          </w:tcPr>
          <w:p>
            <w:r>
              <w:t>firstName</w:t>
            </w:r>
          </w:p>
        </w:tc>
        <w:tc>
          <w:tcPr>
            <w:tcW w:type="dxa" w:w="1984"/>
          </w:tcPr>
          <w:p>
            <w:r>
              <w:t>Prénom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prénom usuel du réquérant.</w:t>
              <w:br/>
              <w:t>Par convention les prénoms composés doivent préférablement être séparés par le caractère "-"</w:t>
            </w:r>
          </w:p>
        </w:tc>
        <w:tc>
          <w:tcPr>
            <w:tcW w:type="dxa" w:w="1701"/>
          </w:tcPr>
          <w:p>
            <w:r>
              <w:t>Jean</w:t>
            </w:r>
          </w:p>
        </w:tc>
      </w:tr>
    </w:tbl>
    <w:p>
      <w:pPr>
        <w:pStyle w:val="Heading1"/>
      </w:pPr>
      <w:r>
        <w:t>mainDiagnosis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code</w:t>
            </w:r>
          </w:p>
        </w:tc>
        <w:tc>
          <w:tcPr>
            <w:tcW w:type="dxa" w:w="1984"/>
          </w:tcPr>
          <w:p>
            <w:r>
              <w:t>Code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code de la nomenclature associée</w:t>
            </w:r>
          </w:p>
        </w:tc>
        <w:tc>
          <w:tcPr>
            <w:tcW w:type="dxa" w:w="1701"/>
          </w:tcPr>
          <w:p>
            <w:r>
              <w:t>C07.13.02</w:t>
            </w:r>
          </w:p>
        </w:tc>
      </w:tr>
      <w:tr>
        <w:tc>
          <w:tcPr>
            <w:tcW w:type="dxa" w:w="1701"/>
          </w:tcPr>
          <w:p>
            <w:r>
              <w:t>label</w:t>
            </w:r>
          </w:p>
        </w:tc>
        <w:tc>
          <w:tcPr>
            <w:tcW w:type="dxa" w:w="1984"/>
          </w:tcPr>
          <w:p>
            <w:r>
              <w:t>Libellé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libellé de la nomenclature associée.</w:t>
              <w:br/>
              <w:t>Dans le cas où un système n'est pas en mesure de reconnaître un code, il peut choisir d'afficher le libellé qui est obligatoirement fourni avec le code.</w:t>
            </w:r>
          </w:p>
        </w:tc>
        <w:tc>
          <w:tcPr>
            <w:tcW w:type="dxa" w:w="1701"/>
          </w:tcPr>
          <w:p>
            <w:r>
              <w:t>Rodéo automobile</w:t>
            </w:r>
          </w:p>
        </w:tc>
      </w:tr>
    </w:tbl>
    <w:p>
      <w:pPr>
        <w:pStyle w:val="Heading1"/>
      </w:pPr>
      <w:r>
        <w:t>otherDiagnosis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code</w:t>
            </w:r>
          </w:p>
        </w:tc>
        <w:tc>
          <w:tcPr>
            <w:tcW w:type="dxa" w:w="1984"/>
          </w:tcPr>
          <w:p>
            <w:r>
              <w:t>Code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code de la nomenclature associée</w:t>
            </w:r>
          </w:p>
        </w:tc>
        <w:tc>
          <w:tcPr>
            <w:tcW w:type="dxa" w:w="1701"/>
          </w:tcPr>
          <w:p>
            <w:r>
              <w:t>C07.13.02</w:t>
            </w:r>
          </w:p>
        </w:tc>
      </w:tr>
      <w:tr>
        <w:tc>
          <w:tcPr>
            <w:tcW w:type="dxa" w:w="1701"/>
          </w:tcPr>
          <w:p>
            <w:r>
              <w:t>label</w:t>
            </w:r>
          </w:p>
        </w:tc>
        <w:tc>
          <w:tcPr>
            <w:tcW w:type="dxa" w:w="1984"/>
          </w:tcPr>
          <w:p>
            <w:r>
              <w:t>Libellé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libellé de la nomenclature associée.</w:t>
              <w:br/>
              <w:t>Dans le cas où un système n'est pas en mesure de reconnaître un code, il peut choisir d'afficher le libellé qui est obligatoirement fourni avec le code.</w:t>
            </w:r>
          </w:p>
        </w:tc>
        <w:tc>
          <w:tcPr>
            <w:tcW w:type="dxa" w:w="1701"/>
          </w:tcPr>
          <w:p>
            <w:r>
              <w:t>Rodéo automobile</w:t>
            </w:r>
          </w:p>
        </w:tc>
      </w:tr>
    </w:tbl>
    <w:p>
      <w:pPr>
        <w:pStyle w:val="Heading1"/>
      </w:pPr>
      <w:r>
        <w:t>operator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label</w:t>
            </w:r>
          </w:p>
        </w:tc>
        <w:tc>
          <w:tcPr>
            <w:tcW w:type="dxa" w:w="1984"/>
          </w:tcPr>
          <w:p>
            <w:r>
              <w:t>Label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si besoin avec la valeur souhaitée, en fonction des préférences de chaque partenaire : cela peut être le nom et prénom de l'opérateur, ou un identifiant.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role</w:t>
            </w:r>
          </w:p>
        </w:tc>
        <w:tc>
          <w:tcPr>
            <w:tcW w:type="dxa" w:w="1984"/>
          </w:tcPr>
          <w:p>
            <w:r>
              <w:t>Rôle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ENUM-ROLE)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A valoriser avec le rôle de l'opérateur au sein de l'entité émettrice du message : </w:t>
            </w:r>
          </w:p>
        </w:tc>
        <w:tc>
          <w:tcPr>
            <w:tcW w:type="dxa" w:w="1701"/>
          </w:tcPr>
          <w:p>
            <w:r>
              <w:t>ARM</w:t>
            </w:r>
          </w:p>
        </w:tc>
      </w:tr>
    </w:tbl>
    <w:p>
      <w:pPr>
        <w:pStyle w:val="Heading1"/>
      </w:pPr>
      <w:r>
        <w:t>customMap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key</w:t>
            </w:r>
          </w:p>
        </w:tc>
        <w:tc>
          <w:tcPr>
            <w:tcW w:type="dxa" w:w="1984"/>
          </w:tcPr>
          <w:p>
            <w:r>
              <w:t>Clé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nom de la balise</w:t>
            </w:r>
          </w:p>
        </w:tc>
        <w:tc>
          <w:tcPr>
            <w:tcW w:type="dxa" w:w="1701"/>
          </w:tcPr>
          <w:p>
            <w:r>
              <w:t>neighborhood</w:t>
            </w:r>
          </w:p>
        </w:tc>
      </w:tr>
      <w:tr>
        <w:tc>
          <w:tcPr>
            <w:tcW w:type="dxa" w:w="1701"/>
          </w:tcPr>
          <w:p>
            <w:r>
              <w:t>label</w:t>
            </w:r>
          </w:p>
        </w:tc>
        <w:tc>
          <w:tcPr>
            <w:tcW w:type="dxa" w:w="1984"/>
          </w:tcPr>
          <w:p>
            <w:r>
              <w:t>Libellé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libellé correspondant</w:t>
            </w:r>
          </w:p>
        </w:tc>
        <w:tc>
          <w:tcPr>
            <w:tcW w:type="dxa" w:w="1701"/>
          </w:tcPr>
          <w:p>
            <w:r>
              <w:t>Quartier</w:t>
            </w:r>
          </w:p>
        </w:tc>
      </w:tr>
      <w:tr>
        <w:tc>
          <w:tcPr>
            <w:tcW w:type="dxa" w:w="1701"/>
          </w:tcPr>
          <w:p>
            <w:r>
              <w:t>value</w:t>
            </w:r>
          </w:p>
        </w:tc>
        <w:tc>
          <w:tcPr>
            <w:tcW w:type="dxa" w:w="1984"/>
          </w:tcPr>
          <w:p>
            <w:r>
              <w:t>Valeur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la valeur associée à la clé</w:t>
            </w:r>
          </w:p>
        </w:tc>
        <w:tc>
          <w:tcPr>
            <w:tcW w:type="dxa" w:w="1701"/>
          </w:tcPr>
          <w:p>
            <w:r>
              <w:t>LYON 2e arrondissement</w:t>
            </w:r>
          </w:p>
        </w:tc>
      </w:tr>
      <w:tr>
        <w:tc>
          <w:tcPr>
            <w:tcW w:type="dxa" w:w="1701"/>
          </w:tcPr>
          <w:p>
            <w:r>
              <w:t>freetext</w:t>
            </w:r>
          </w:p>
        </w:tc>
        <w:tc>
          <w:tcPr>
            <w:tcW w:type="dxa" w:w="1984"/>
          </w:tcPr>
          <w:p>
            <w:r>
              <w:t>Détails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Informations complémentaires sur le contexte / utilisation de cette correspondance additionnelle</w:t>
            </w:r>
          </w:p>
        </w:tc>
        <w:tc>
          <w:tcPr>
            <w:tcW w:type="dxa" w:w="1701"/>
          </w:tcPr>
          <w:p>
            <w:r>
              <w:t>Précision sur le quartier d'intervention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