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distributionElement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messageId</w:t>
            </w:r>
          </w:p>
        </w:tc>
        <w:tc>
          <w:tcPr>
            <w:tcW w:type="dxa" w:w="1984"/>
          </w:tcPr>
          <w:p>
            <w:r>
              <w:t>Identifiant du message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d350c9d2-9d76-4568-b0b7-a747ffadc949</w:t>
            </w:r>
          </w:p>
        </w:tc>
      </w:tr>
      <w:tr>
        <w:tc>
          <w:tcPr>
            <w:tcW w:type="dxa" w:w="1701"/>
          </w:tcPr>
          <w:p>
            <w:r>
              <w:t>sender</w:t>
            </w:r>
          </w:p>
        </w:tc>
        <w:tc>
          <w:tcPr>
            <w:tcW w:type="dxa" w:w="1984"/>
          </w:tcPr>
          <w:p>
            <w:r>
              <w:t>Système émetteur</w:t>
            </w:r>
          </w:p>
        </w:tc>
        <w:tc>
          <w:tcPr>
            <w:tcW w:type="dxa" w:w="1134"/>
          </w:tcPr>
          <w:p>
            <w:r>
              <w:t>cf. type sender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contenant les données relatives au système à l'origine du message. Les messages NexSIS peuvent être émis par des systèmes distincts des systèmes à l'origine des alertes.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sentAt</w:t>
            </w:r>
          </w:p>
        </w:tc>
        <w:tc>
          <w:tcPr>
            <w:tcW w:type="dxa" w:w="1984"/>
          </w:tcPr>
          <w:p>
            <w:r>
              <w:t>Horodatage envoi message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Groupe date heure de début de partage lié à l'envoi du message. Il doit  être cohérent avec le champ &lt;dateTimeSent&gt; de l'enveloppe EDXL (voir DST).  L'indicateur de fuseau horaire Z ne doit pas être utilisé. Le fuseau horaire pour UTC doit être représenté par '-00:00'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kind</w:t>
            </w:r>
          </w:p>
        </w:tc>
        <w:tc>
          <w:tcPr>
            <w:tcW w:type="dxa" w:w="1984"/>
          </w:tcPr>
          <w:p>
            <w:r>
              <w:t>Type de message</w:t>
            </w:r>
          </w:p>
        </w:tc>
        <w:tc>
          <w:tcPr>
            <w:tcW w:type="dxa" w:w="1134"/>
          </w:tcPr>
          <w:p>
            <w:r>
              <w:t>string</w:t>
              <w:br/>
              <w:t>(ENUM: Report, Update, Cancel, Ack, Error)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Prend la valeur &lt;distributionKind de l'enveloppe EDXL (voir DST)</w:t>
            </w:r>
          </w:p>
        </w:tc>
        <w:tc>
          <w:tcPr>
            <w:tcW w:type="dxa" w:w="1701"/>
          </w:tcPr>
          <w:p>
            <w:r>
              <w:t>ALERT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Statut du message</w:t>
            </w:r>
          </w:p>
        </w:tc>
        <w:tc>
          <w:tcPr>
            <w:tcW w:type="dxa" w:w="1134"/>
          </w:tcPr>
          <w:p>
            <w:r>
              <w:t>string</w:t>
              <w:br/>
              <w:t>(ENUM: Actual, Exercise, System)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Prend la valeur &lt;distributionStatus&gt; de l'enveloppe EDXL (voir DST)</w:t>
            </w:r>
          </w:p>
        </w:tc>
        <w:tc>
          <w:tcPr>
            <w:tcW w:type="dxa" w:w="1701"/>
          </w:tcPr>
          <w:p>
            <w:r>
              <w:t>ACTUAL</w:t>
            </w:r>
          </w:p>
        </w:tc>
      </w:tr>
      <w:tr>
        <w:tc>
          <w:tcPr>
            <w:tcW w:type="dxa" w:w="1701"/>
          </w:tcPr>
          <w:p>
            <w:r>
              <w:t>recipient</w:t>
            </w:r>
          </w:p>
        </w:tc>
        <w:tc>
          <w:tcPr>
            <w:tcW w:type="dxa" w:w="1984"/>
          </w:tcPr>
          <w:p>
            <w:r>
              <w:t>Système destinataire</w:t>
            </w:r>
          </w:p>
        </w:tc>
        <w:tc>
          <w:tcPr>
            <w:tcW w:type="dxa" w:w="1134"/>
          </w:tcPr>
          <w:p>
            <w:r>
              <w:t>cf. type recipient</w:t>
            </w:r>
          </w:p>
        </w:tc>
        <w:tc>
          <w:tcPr>
            <w:tcW w:type="dxa" w:w="1417"/>
          </w:tcPr>
          <w:p>
            <w:r>
              <w:t>1..n</w:t>
            </w:r>
          </w:p>
        </w:tc>
        <w:tc>
          <w:tcPr>
            <w:tcW w:type="dxa" w:w="4535"/>
          </w:tcPr>
          <w:p>
            <w:r>
              <w:t>Objet contenant une liste de systèmes destinataires du message.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sender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 du système emetteur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technique du système emetteur</w:t>
              <w:br/>
              <w:t xml:space="preserve">Format : </w:t>
              <w:br/>
              <w:t>=&gt; Pour les SAMU : {nom solution LRM}-{clé de routage}</w:t>
              <w:br/>
              <w:t>où clé de routage désigne le nom de la clé de routage utilisée par le LRM pour les échanges et {nom solution LRM} est le nom donné par l'éditeur à sa solution (libre)</w:t>
              <w:br/>
              <w:t>=&gt; Pour NeXSIS : à définir {sga|sgo}-nexsis</w:t>
            </w:r>
          </w:p>
        </w:tc>
        <w:tc>
          <w:tcPr>
            <w:tcW w:type="dxa" w:w="1701"/>
          </w:tcPr>
          <w:p>
            <w:r>
              <w:t>sga-nexsis</w:t>
            </w:r>
          </w:p>
        </w:tc>
      </w:tr>
      <w:tr>
        <w:tc>
          <w:tcPr>
            <w:tcW w:type="dxa" w:w="1701"/>
          </w:tcPr>
          <w:p>
            <w:r>
              <w:t>URI</w:t>
            </w:r>
          </w:p>
        </w:tc>
        <w:tc>
          <w:tcPr>
            <w:tcW w:type="dxa" w:w="1984"/>
          </w:tcPr>
          <w:p>
            <w:r>
              <w:t>URI (identifiant technique)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uri du système. Permet d'identifier le vecteur utilisé par les échanges</w:t>
              <w:br/>
              <w:t>Format :</w:t>
              <w:br/>
              <w:t>=&gt; Pour les LRM : {nom éditeur}:{sender:name}</w:t>
              <w:br/>
              <w:t>=&gt; Pour NexSIS : sge:{sender:name}</w:t>
            </w:r>
          </w:p>
        </w:tc>
        <w:tc>
          <w:tcPr>
            <w:tcW w:type="dxa" w:w="1701"/>
          </w:tcPr>
          <w:p>
            <w:r>
              <w:t>sge:sga-nexsis</w:t>
            </w:r>
          </w:p>
        </w:tc>
      </w:tr>
    </w:tbl>
    <w:p>
      <w:pPr>
        <w:pStyle w:val="Heading1"/>
      </w:pPr>
      <w:r>
        <w:t>recipient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Identifiant technique du système destinataire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technique du système emetteur</w:t>
              <w:br/>
              <w:t xml:space="preserve">Format : </w:t>
              <w:br/>
              <w:t>=&gt; Pour les SAMU : {clé de routage}-{nom solution LRM}</w:t>
              <w:br/>
              <w:t>où clé de routage désigne le nom de la clé de routage utilisée par le LRM pour les échanges et {nom solution LRM} est le nom donné par l'éditeur à sa solution (libre)</w:t>
              <w:br/>
              <w:t>=&gt; Pour NeXSIS : à définir {sga|sgo}-nexsis</w:t>
            </w:r>
          </w:p>
        </w:tc>
        <w:tc>
          <w:tcPr>
            <w:tcW w:type="dxa" w:w="1701"/>
          </w:tcPr>
          <w:p>
            <w:r>
              <w:t>samu-77</w:t>
            </w:r>
          </w:p>
        </w:tc>
      </w:tr>
      <w:tr>
        <w:tc>
          <w:tcPr>
            <w:tcW w:type="dxa" w:w="1701"/>
          </w:tcPr>
          <w:p>
            <w:r>
              <w:t>URI</w:t>
            </w:r>
          </w:p>
        </w:tc>
        <w:tc>
          <w:tcPr>
            <w:tcW w:type="dxa" w:w="1984"/>
          </w:tcPr>
          <w:p>
            <w:r>
              <w:t>URI (identifiant technique)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uri du système. Permet d'identifier le vecteur utilisé par les échanges</w:t>
              <w:br/>
              <w:t>Format :</w:t>
              <w:br/>
              <w:t>=&gt; Pour les LRM : sge:{recipient:name}</w:t>
              <w:br/>
              <w:t>=&gt; Pour NexSIS : sge:{recipient:name}</w:t>
            </w:r>
          </w:p>
        </w:tc>
        <w:tc>
          <w:tcPr>
            <w:tcW w:type="dxa" w:w="1701"/>
          </w:tcPr>
          <w:p>
            <w:r>
              <w:t>sge:samu-77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