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SI-SAMU-PRIORITE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la priorité de régulation médicale.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Urgence vitale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médicale pour une urgence vitale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Prioritaire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médicale urgente et prioritaire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Non Urgent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Régulation médicale non urgente (valeur attribuée par défaut)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Différé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Régulation médicale différée 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NR</w:t>
            </w:r>
          </w:p>
        </w:tc>
        <w:tc>
          <w:tcPr>
            <w:tcW w:type="dxa" w:w="1440"/>
          </w:tcPr>
          <w:p>
            <w:r>
              <w:t>Non régulé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 d’acte de régulation médicale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