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SI-SAMU-GRAVITE</w:t>
      </w:r>
    </w:p>
    <w:p/>
    <w:tbl>
      <w:tblPr>
        <w:tblStyle w:val="MediumShading1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Date de validation</w:t>
            </w:r>
          </w:p>
        </w:tc>
        <w:tc>
          <w:tcPr>
            <w:tcW w:type="dxa" w:w="4320"/>
          </w:tcPr>
          <w:p>
            <w:r>
              <w:t>Date d'expiration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Non renseignée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Non renseignée</w:t>
            </w:r>
          </w:p>
        </w:tc>
      </w:tr>
    </w:tbl>
    <w:p/>
    <w:p/>
    <w:p>
      <w:r>
        <w:t>Description : Décrit le niveau de soins : le plus grave est retenu pour qualifier le dossier/affaire. Pour chaque patient/victime, le motif spécifique est indiqué.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Code</w:t>
            </w:r>
          </w:p>
        </w:tc>
        <w:tc>
          <w:tcPr>
            <w:tcW w:type="dxa" w:w="1440"/>
          </w:tcPr>
          <w:p>
            <w:r>
              <w:t>Libellé niveau 1</w:t>
            </w:r>
          </w:p>
        </w:tc>
        <w:tc>
          <w:tcPr>
            <w:tcW w:type="dxa" w:w="1440"/>
          </w:tcPr>
          <w:p>
            <w:r>
              <w:t>Libellé niveau 2</w:t>
            </w:r>
          </w:p>
        </w:tc>
        <w:tc>
          <w:tcPr>
            <w:tcW w:type="dxa" w:w="1440"/>
          </w:tcPr>
          <w:p>
            <w:r>
              <w:t>Libellé niveau 3</w:t>
            </w:r>
          </w:p>
        </w:tc>
        <w:tc>
          <w:tcPr>
            <w:tcW w:type="dxa" w:w="1440"/>
          </w:tcPr>
          <w:p>
            <w:r>
              <w:t>Description</w:t>
            </w:r>
          </w:p>
        </w:tc>
        <w:tc>
          <w:tcPr>
            <w:tcW w:type="dxa" w:w="1440"/>
          </w:tcPr>
          <w:p>
            <w:r>
              <w:t>Commentaire</w:t>
            </w:r>
          </w:p>
        </w:tc>
      </w:tr>
      <w:tr>
        <w:tc>
          <w:tcPr>
            <w:tcW w:type="dxa" w:w="1440"/>
          </w:tcPr>
          <w:p>
            <w:r>
              <w:t>R1</w:t>
            </w:r>
          </w:p>
        </w:tc>
        <w:tc>
          <w:tcPr>
            <w:tcW w:type="dxa" w:w="1440"/>
          </w:tcPr>
          <w:p>
            <w:r>
              <w:t>Urgence Vitale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Urgence vitale patente ou latente imposant l’envoi du Smur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R2</w:t>
            </w:r>
          </w:p>
        </w:tc>
        <w:tc>
          <w:tcPr>
            <w:tcW w:type="dxa" w:w="1440"/>
          </w:tcPr>
          <w:p>
            <w:r>
              <w:t>Urgence vraie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Urgence vraie sans détresse vitale nécessitant l’envoi d’un médecin, d’une ambulance ou d’un VSAV. Le délai d’intervention est immédiat par défaut ou contractualisé entre le médecin régulateur et le requérant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R3</w:t>
            </w:r>
          </w:p>
        </w:tc>
        <w:tc>
          <w:tcPr>
            <w:tcW w:type="dxa" w:w="1440"/>
          </w:tcPr>
          <w:p>
            <w:r>
              <w:t>Continuité de soins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Situation relevant de la continuité de soins. Le délai ne constituant pas un facteur de risque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R4</w:t>
            </w:r>
          </w:p>
        </w:tc>
        <w:tc>
          <w:tcPr>
            <w:tcW w:type="dxa" w:w="1440"/>
          </w:tcPr>
          <w:p>
            <w:r>
              <w:t>Conseil ou PMT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Situation pouvant être traitée par un conseil médical ou prescription médicamenteuse par téléphone</w:t>
            </w:r>
          </w:p>
        </w:tc>
        <w:tc>
          <w:tcPr>
            <w:tcW w:type="dxa" w:w="144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