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samu44</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br/>
              <w:t>identique à &lt;CONTEXT&gt;&lt;ORIGIN&gt;&lt;ORG_ID&gt;</w:t>
            </w:r>
          </w:p>
        </w:tc>
        <w:tc>
          <w:tcPr>
            <w:tcW w:type="dxa" w:w="1701"/>
          </w:tcPr>
          <w:p>
            <w:r>
              <w:t>fr.health.44.samu44</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0..1</w:t>
            </w:r>
          </w:p>
        </w:tc>
        <w:tc>
          <w:tcPr>
            <w:tcW w:type="dxa" w:w="4535"/>
          </w:tcPr>
          <w:p>
            <w:r>
              <w:t>Liste des identifiants des ressources engagées dans la mission (voire RESSOURCE.ID)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FR:Administration:44:CASERNENANTES</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fr.health.44.samu44</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br/>
              <w:t>A constituer par le rédacteur pour être intelligible (exemple [structure].[nom])</w:t>
            </w:r>
          </w:p>
        </w:tc>
        <w:tc>
          <w:tcPr>
            <w:tcW w:type="dxa" w:w="1701"/>
          </w:tcPr>
          <w:p>
            <w:r>
              <w:t>samu44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fr.health.44.samu44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samu4412345</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