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geoResourcesRequest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Identifiant(s) de la ressource(s) partagé(s)</w:t>
            </w:r>
          </w:p>
        </w:tc>
        <w:tc>
          <w:tcPr>
            <w:tcW w:type="dxa" w:w="1134"/>
          </w:tcPr>
          <w:p>
            <w:r>
              <w:t>string</w:t>
              <w:br/>
              <w:t>(REGEX: ^([a-zA-Z0-9_-]+\.){3,8}resource(\.[a-zA-Z0-9_-]+){1,2}$)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 xml:space="preserve">Liste des ID des ressources pour lesquels le demandeur a besoin d'obtenir plus de détails. </w:t>
              <w:br/>
              <w:t>A valoriser avec l'identifiant partagé unique de la ressource engagée, normé comme suit :</w:t>
              <w:br/>
              <w:t>{orgID}.resource.{ID unique de la ressource partagée}</w:t>
              <w:br/>
              <w:t>OU - uniquement dans le cas où un ID unique de ressource ne peut pas être garanti par l'organisation propriétaire :</w:t>
              <w:br/>
              <w:t>{orgID}.resource.{sendercaseId}.{n° d’ordre chronologique de la ressource}</w:t>
            </w:r>
          </w:p>
        </w:tc>
        <w:tc>
          <w:tcPr>
            <w:tcW w:type="dxa" w:w="1701"/>
          </w:tcPr>
          <w:p>
            <w:r>
              <w:t>fr.health.samu770.resource.VLM250</w:t>
              <w:br/>
              <w:t>fr.health.samu440.resource.DRFR15DDXAAJJJ0000.1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