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geolocalisationWrapper (geolocalisation)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geolocalisation</w:t>
            </w:r>
          </w:p>
        </w:tc>
        <w:tc>
          <w:tcPr>
            <w:tcW w:type="dxa" w:w="1984"/>
          </w:tcPr>
          <w:p>
            <w:r>
              <w:t>Objet geolocalisation</w:t>
            </w:r>
          </w:p>
        </w:tc>
        <w:tc>
          <w:tcPr>
            <w:tcW w:type="dxa" w:w="1134"/>
          </w:tcPr>
          <w:p>
            <w:r>
              <w:t>cf. type geolocalisation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Object geolocalisation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resourceDetails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76_45101#SMUR1#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{pays}.{domaine}.{code département}.{organisation}.{structure interne}*.{unité fonctionnelle}*</w:t>
            </w:r>
          </w:p>
        </w:tc>
        <w:tc>
          <w:tcPr>
            <w:tcW w:type="dxa" w:w="1701"/>
          </w:tcPr>
          <w:p>
            <w:r>
              <w:t>fr.health.760.samu76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ressource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(effector, base)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(fix, vehicle, helicopter, ship)</w:t>
            </w:r>
          </w:p>
        </w:tc>
        <w:tc>
          <w:tcPr>
            <w:tcW w:type="dxa" w:w="1701"/>
          </w:tcPr>
          <w:p>
            <w:r>
              <w:t>Vehicle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