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DistributionElement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messageId</w:t>
            </w:r>
          </w:p>
        </w:tc>
        <w:tc>
          <w:tcPr>
            <w:tcW w:type="dxa" w:w="1984"/>
          </w:tcPr>
          <w:p>
            <w:r>
              <w:t>Identifiant du message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permettant d'identifier le message envoyé. Cet identifiant est utilisé par NexSIS pour assurer le routage des messages</w:t>
              <w:br/>
              <w:t>Préconisation : réemployer le contenu de la balise &lt;distributionId&gt; de l'enveloppe EDXL (cf. DST)</w:t>
            </w:r>
          </w:p>
        </w:tc>
        <w:tc>
          <w:tcPr>
            <w:tcW w:type="dxa" w:w="1701"/>
          </w:tcPr>
          <w:p>
            <w:r>
              <w:t>d350c9d2-9d76-4568-b0b7-a747ffadc949</w:t>
            </w:r>
          </w:p>
        </w:tc>
      </w:tr>
      <w:tr>
        <w:tc>
          <w:tcPr>
            <w:tcW w:type="dxa" w:w="1701"/>
          </w:tcPr>
          <w:p>
            <w:r>
              <w:t>sender</w:t>
            </w:r>
          </w:p>
        </w:tc>
        <w:tc>
          <w:tcPr>
            <w:tcW w:type="dxa" w:w="1984"/>
          </w:tcPr>
          <w:p>
            <w:r>
              <w:t>Système émetteur</w:t>
            </w:r>
          </w:p>
        </w:tc>
        <w:tc>
          <w:tcPr>
            <w:tcW w:type="dxa" w:w="1134"/>
          </w:tcPr>
          <w:p>
            <w:r>
              <w:t>cf. type sender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contenant les données relatives au système à l'origine du message. Les messages NexSIS peuvent être émis par des systèmes distincts des systèmes à l'origine des alertes.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sentAt</w:t>
            </w:r>
          </w:p>
        </w:tc>
        <w:tc>
          <w:tcPr>
            <w:tcW w:type="dxa" w:w="1984"/>
          </w:tcPr>
          <w:p>
            <w:r>
              <w:t>Horodatage envoi message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partage lié à l'envoi du message. Il doit  être cohérent avec le champ &lt;dateTimeSent&gt; de l'enveloppe EDXL (voir DST).  L'indicateur de fuseau horaire Z ne doit pas être utilisé. Le fuseau horaire pour UTC doit être représenté par '-00:00'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kind</w:t>
            </w:r>
          </w:p>
        </w:tc>
        <w:tc>
          <w:tcPr>
            <w:tcW w:type="dxa" w:w="1984"/>
          </w:tcPr>
          <w:p>
            <w:r>
              <w:t>Type de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&lt;distributionKind de l'enveloppe EDXL (voir DST)</w:t>
            </w:r>
          </w:p>
        </w:tc>
        <w:tc>
          <w:tcPr>
            <w:tcW w:type="dxa" w:w="1701"/>
          </w:tcPr>
          <w:p>
            <w:r>
              <w:t>ALERT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Exercise, System)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&lt;distributionStatus&gt; de l'enveloppe EDXL (voir DST)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recipients</w:t>
            </w:r>
          </w:p>
        </w:tc>
        <w:tc>
          <w:tcPr>
            <w:tcW w:type="dxa" w:w="1984"/>
          </w:tcPr>
          <w:p>
            <w:r>
              <w:t>Systèmes destinataires</w:t>
            </w:r>
          </w:p>
        </w:tc>
        <w:tc>
          <w:tcPr>
            <w:tcW w:type="dxa" w:w="1134"/>
          </w:tcPr>
          <w:p>
            <w:r>
              <w:t>cf. type recipients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contenant une liste de systèmes destinataires du message.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sender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système emetteur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{clé de routage}-{nom solution LRM}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sga-nexsis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sge:{sender:name}</w:t>
              <w:br/>
              <w:t>=&gt; Pour NexSIS : sge:{sender:name}</w:t>
            </w:r>
          </w:p>
        </w:tc>
        <w:tc>
          <w:tcPr>
            <w:tcW w:type="dxa" w:w="1701"/>
          </w:tcPr>
          <w:p>
            <w:r>
              <w:t>sge:sga-nexsis</w:t>
            </w:r>
          </w:p>
        </w:tc>
      </w:tr>
    </w:tbl>
    <w:p>
      <w:pPr>
        <w:pStyle w:val="Heading1"/>
      </w:pPr>
      <w:r>
        <w:t>Type recipients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recipient</w:t>
            </w:r>
          </w:p>
        </w:tc>
        <w:tc>
          <w:tcPr>
            <w:tcW w:type="dxa" w:w="1984"/>
          </w:tcPr>
          <w:p>
            <w:r>
              <w:t>Système destinataire</w:t>
            </w:r>
          </w:p>
        </w:tc>
        <w:tc>
          <w:tcPr>
            <w:tcW w:type="dxa" w:w="1134"/>
          </w:tcPr>
          <w:p>
            <w:r>
              <w:t>cf. type recipient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contenant un système destinataire du message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recipient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Identifiant technique du système destinataire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{clé de routage}-{nom solution LRM}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samu-77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sge:{recipient:name}</w:t>
              <w:br/>
              <w:t>=&gt; Pour NexSIS : sge:{recipient:name}</w:t>
            </w:r>
          </w:p>
        </w:tc>
        <w:tc>
          <w:tcPr>
            <w:tcW w:type="dxa" w:w="1701"/>
          </w:tcPr>
          <w:p>
            <w:r>
              <w:t>sge:samu-77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