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messageId</w:t>
            </w:r>
          </w:p>
        </w:tc>
        <w:tc>
          <w:tcPr>
            <w:tcW w:type="dxa" w:w="1984"/>
          </w:tcPr>
          <w:p>
            <w:r>
              <w:t>Identifiant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permettant d'identifier le message envoyé. Cet identifiant est utilisé par NexSIS pour assurer le routage des messages</w:t>
              <w:br/>
              <w:t>Préconisation : réemployer le contenu de la balise &lt;distributionId&gt; de l'enveloppe EDXL (cf. DST)</w:t>
            </w:r>
          </w:p>
        </w:tc>
        <w:tc>
          <w:tcPr>
            <w:tcW w:type="dxa" w:w="1701"/>
          </w:tcPr>
          <w:p>
            <w:r>
              <w:t>d350c9d2-9d76-4568-b0b7-a747ffadc949</w:t>
            </w:r>
          </w:p>
        </w:tc>
      </w:tr>
      <w:tr>
        <w:tc>
          <w:tcPr>
            <w:tcW w:type="dxa" w:w="1701"/>
          </w:tcPr>
          <w:p>
            <w:r>
              <w:t>sender</w:t>
            </w:r>
          </w:p>
        </w:tc>
        <w:tc>
          <w:tcPr>
            <w:tcW w:type="dxa" w:w="1984"/>
          </w:tcPr>
          <w:p>
            <w:r>
              <w:t>Système émetteur</w:t>
            </w:r>
          </w:p>
        </w:tc>
        <w:tc>
          <w:tcPr>
            <w:tcW w:type="dxa" w:w="1134"/>
          </w:tcPr>
          <w:p>
            <w:r>
              <w:t>cf. type sender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contenant les données relatives au système à l'origine du message. Les messages NexSIS peuvent être émis par des systèmes distincts des systèmes à l'origine des alertes.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sentAt</w:t>
            </w:r>
          </w:p>
        </w:tc>
        <w:tc>
          <w:tcPr>
            <w:tcW w:type="dxa" w:w="1984"/>
          </w:tcPr>
          <w:p>
            <w:r>
              <w:t>Horodatage envoi message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partage lié à l'envoi du message. Il doit  être cohérent avec le champ &lt;dateTimeSent&gt; de l'enveloppe EDXL (voir DST).  L'indicateur de fuseau horaire Z ne doit pas être utilisé. Le fuseau horaire pour UTC doit être représenté par '-00:00'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kind</w:t>
            </w:r>
          </w:p>
        </w:tc>
        <w:tc>
          <w:tcPr>
            <w:tcW w:type="dxa" w:w="1984"/>
          </w:tcPr>
          <w:p>
            <w:r>
              <w:t>Type de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&lt;distributionKind de l'enveloppe EDXL (voir DST)</w:t>
            </w:r>
          </w:p>
        </w:tc>
        <w:tc>
          <w:tcPr>
            <w:tcW w:type="dxa" w:w="1701"/>
          </w:tcPr>
          <w:p>
            <w:r>
              <w:t>ALERT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message</w:t>
            </w:r>
          </w:p>
        </w:tc>
        <w:tc>
          <w:tcPr>
            <w:tcW w:type="dxa" w:w="1134"/>
          </w:tcPr>
          <w:p>
            <w:r>
              <w:t>string</w:t>
              <w:br/>
              <w:t>(ENUM: Actual, Exercise, System)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Prend la valeur &lt;distributionStatus&gt; de l'enveloppe EDXL (voir DST)</w:t>
            </w:r>
          </w:p>
        </w:tc>
        <w:tc>
          <w:tcPr>
            <w:tcW w:type="dxa" w:w="1701"/>
          </w:tcPr>
          <w:p>
            <w:r>
              <w:t>ACTUAL</w:t>
            </w:r>
          </w:p>
        </w:tc>
      </w:tr>
      <w:tr>
        <w:tc>
          <w:tcPr>
            <w:tcW w:type="dxa" w:w="1701"/>
          </w:tcPr>
          <w:p>
            <w:r>
              <w:t>recipients</w:t>
            </w:r>
          </w:p>
        </w:tc>
        <w:tc>
          <w:tcPr>
            <w:tcW w:type="dxa" w:w="1984"/>
          </w:tcPr>
          <w:p>
            <w:r>
              <w:t>Systèmes destinataires</w:t>
            </w:r>
          </w:p>
        </w:tc>
        <w:tc>
          <w:tcPr>
            <w:tcW w:type="dxa" w:w="1134"/>
          </w:tcPr>
          <w:p>
            <w:r>
              <w:t>cf. type recipient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contenant une liste de systèmes destinataires du message.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sender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système emetteur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{nom solution LRM}-{clé de routage}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sga-nexsis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{nom éditeur}:{sender:name}</w:t>
              <w:br/>
              <w:t>=&gt; Pour NexSIS : sge:{sender:name}</w:t>
            </w:r>
          </w:p>
        </w:tc>
        <w:tc>
          <w:tcPr>
            <w:tcW w:type="dxa" w:w="1701"/>
          </w:tcPr>
          <w:p>
            <w:r>
              <w:t>sge:sga-nexsis</w:t>
            </w:r>
          </w:p>
        </w:tc>
      </w:tr>
    </w:tbl>
    <w:p>
      <w:pPr>
        <w:pStyle w:val="Heading1"/>
      </w:pPr>
      <w:r>
        <w:t>Type recipient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Identifiant technique du système destinataire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technique du système emetteur</w:t>
              <w:br/>
              <w:t xml:space="preserve">Format : </w:t>
              <w:br/>
              <w:t>=&gt; Pour les SAMU : {clé de routage}-{nom solution LRM}</w:t>
              <w:br/>
              <w:t>où clé de routage désigne le nom de la clé de routage utilisée par le LRM pour les échanges et {nom solution LRM} est le nom donné par l'éditeur à sa solution (libre)</w:t>
              <w:br/>
              <w:t>=&gt; Pour NeXSIS : à définir {sga|sgo}-nexsis</w:t>
            </w:r>
          </w:p>
        </w:tc>
        <w:tc>
          <w:tcPr>
            <w:tcW w:type="dxa" w:w="1701"/>
          </w:tcPr>
          <w:p>
            <w:r>
              <w:t>samu-77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URI (identifiant technique)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uri du système. Permet d'identifier le vecteur utilisé par les échanges</w:t>
              <w:br/>
              <w:t>Format :</w:t>
              <w:br/>
              <w:t>=&gt; Pour les LRM : sge:{recipient:name}</w:t>
              <w:br/>
              <w:t>=&gt; Pour NexSIS : sge:{recipient:name}</w:t>
            </w:r>
          </w:p>
        </w:tc>
        <w:tc>
          <w:tcPr>
            <w:tcW w:type="dxa" w:w="1701"/>
          </w:tcPr>
          <w:p>
            <w:r>
              <w:t>sge:samu-77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