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distributionElementWrapper (DistributionElement)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distributionElement</w:t>
            </w:r>
          </w:p>
        </w:tc>
        <w:tc>
          <w:tcPr>
            <w:tcW w:type="dxa" w:w="1984"/>
          </w:tcPr>
          <w:p>
            <w:r>
              <w:t>Objet DistributionElement</w:t>
            </w:r>
          </w:p>
        </w:tc>
        <w:tc>
          <w:tcPr>
            <w:tcW w:type="dxa" w:w="1134"/>
          </w:tcPr>
          <w:p>
            <w:r>
              <w:t>cf. type distributionElement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Object DistributionElement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distributionElement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messageId</w:t>
            </w:r>
          </w:p>
        </w:tc>
        <w:tc>
          <w:tcPr>
            <w:tcW w:type="dxa" w:w="1984"/>
          </w:tcPr>
          <w:p>
            <w:r>
              <w:t>Identifiant du message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</w:t>
            </w:r>
          </w:p>
        </w:tc>
        <w:tc>
          <w:tcPr>
            <w:tcW w:type="dxa" w:w="1701"/>
          </w:tcPr>
          <w:p>
            <w:r>
              <w:t>d350c9d2-9d76-4568-b0b7-a747ffadc949</w:t>
            </w:r>
          </w:p>
        </w:tc>
      </w:tr>
      <w:tr>
        <w:tc>
          <w:tcPr>
            <w:tcW w:type="dxa" w:w="1701"/>
          </w:tcPr>
          <w:p>
            <w:r>
              <w:t>sender</w:t>
            </w:r>
          </w:p>
        </w:tc>
        <w:tc>
          <w:tcPr>
            <w:tcW w:type="dxa" w:w="1984"/>
          </w:tcPr>
          <w:p>
            <w:r>
              <w:t>Système émetteur</w:t>
            </w:r>
          </w:p>
        </w:tc>
        <w:tc>
          <w:tcPr>
            <w:tcW w:type="dxa" w:w="1134"/>
          </w:tcPr>
          <w:p>
            <w:r>
              <w:t>cf. type sender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contenant les données relatives au système à l'origine du message. Les messages NexSIS peuvent être émis par des systèmes distincts des systèmes à l'origine des alertes.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sentAt</w:t>
            </w:r>
          </w:p>
        </w:tc>
        <w:tc>
          <w:tcPr>
            <w:tcW w:type="dxa" w:w="1984"/>
          </w:tcPr>
          <w:p>
            <w:r>
              <w:t>Horodatage envoi message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partage lié à l'envoi du message. Il doit  être cohérent avec le champ &lt;dateTimeSent&gt; de l'enveloppe EDXL (voir DST).  L'indicateur de fuseau horaire Z ne doit pas être utilisé. Le fuseau horaire pour UTC doit être représenté par '-00:00'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kind</w:t>
            </w:r>
          </w:p>
        </w:tc>
        <w:tc>
          <w:tcPr>
            <w:tcW w:type="dxa" w:w="1984"/>
          </w:tcPr>
          <w:p>
            <w:r>
              <w:t>Type de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&lt;distributionKind de l'enveloppe EDXL (voir DST)</w:t>
            </w:r>
          </w:p>
        </w:tc>
        <w:tc>
          <w:tcPr>
            <w:tcW w:type="dxa" w:w="1701"/>
          </w:tcPr>
          <w:p>
            <w:r>
              <w:t>ALERT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ACTUAL, EXERCISE, SYSTEM)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&lt;distributionStatus&gt; de l'enveloppe EDXL (voir DST)</w:t>
            </w:r>
          </w:p>
        </w:tc>
        <w:tc>
          <w:tcPr>
            <w:tcW w:type="dxa" w:w="1701"/>
          </w:tcPr>
          <w:p>
            <w:r>
              <w:t>ACTUAL</w:t>
            </w:r>
          </w:p>
        </w:tc>
      </w:tr>
      <w:tr>
        <w:tc>
          <w:tcPr>
            <w:tcW w:type="dxa" w:w="1701"/>
          </w:tcPr>
          <w:p>
            <w:r>
              <w:t>recipients</w:t>
            </w:r>
          </w:p>
        </w:tc>
        <w:tc>
          <w:tcPr>
            <w:tcW w:type="dxa" w:w="1984"/>
          </w:tcPr>
          <w:p>
            <w:r>
              <w:t>Systèmes destinataires</w:t>
            </w:r>
          </w:p>
        </w:tc>
        <w:tc>
          <w:tcPr>
            <w:tcW w:type="dxa" w:w="1134"/>
          </w:tcPr>
          <w:p>
            <w:r>
              <w:t>cf. type recipient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contenant une liste de systèmes destinataires du message.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sender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système emetteur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{nom solution LRM}-{clé de routage}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sga-nexsis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{nom éditeur}:{sender:name}</w:t>
              <w:br/>
              <w:t>=&gt; Pour NexSIS : sge:{sender:name}</w:t>
            </w:r>
          </w:p>
        </w:tc>
        <w:tc>
          <w:tcPr>
            <w:tcW w:type="dxa" w:w="1701"/>
          </w:tcPr>
          <w:p>
            <w:r>
              <w:t>sge:sga-nexsis</w:t>
            </w:r>
          </w:p>
        </w:tc>
      </w:tr>
    </w:tbl>
    <w:p>
      <w:pPr>
        <w:pStyle w:val="Heading1"/>
      </w:pPr>
      <w:r>
        <w:t>Type recipient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Identifiant technique du système destinataire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{clé de routage}-{nom solution LRM}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samu-77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sge:{recipient:name}</w:t>
              <w:br/>
              <w:t>=&gt; Pour NexSIS : sge:{recipient:name}</w:t>
            </w:r>
          </w:p>
        </w:tc>
        <w:tc>
          <w:tcPr>
            <w:tcW w:type="dxa" w:w="1701"/>
          </w:tcPr>
          <w:p>
            <w:r>
              <w:t>sge:samu-77</w:t>
            </w:r>
          </w:p>
        </w:tc>
      </w:tr>
      <w:tr>
        <w:tc>
          <w:tcPr>
            <w:tcW w:type="dxa" w:w="1701"/>
          </w:tcPr>
          <w:p>
            <w:r>
              <w:t>reason</w:t>
            </w:r>
          </w:p>
        </w:tc>
        <w:tc>
          <w:tcPr>
            <w:tcW w:type="dxa" w:w="1984"/>
          </w:tcPr>
          <w:p>
            <w:r>
              <w:t>Raison de partage avec le système destinataire</w:t>
            </w:r>
          </w:p>
        </w:tc>
        <w:tc>
          <w:tcPr>
            <w:tcW w:type="dxa" w:w="1134"/>
          </w:tcPr>
          <w:p>
            <w:r>
              <w:t>string</w:t>
              <w:br/>
              <w:t>(ENUM: INFORMATION, GENERAL, CONCERN, REPONSE, DEMANDE)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Raison motivant l'envoi du présent message au partenaire :</w:t>
              <w:br/>
              <w:t>PROPOSITION :</w:t>
              <w:br/>
              <w:t>- INFORMATION : le message est transmis à titre informatif</w:t>
              <w:br/>
              <w:t>- GENERAL : le message est transmis à l'ensemble des partenaires sans distinction</w:t>
              <w:br/>
              <w:t>- CONCERN : le message concerne spécifiquement la force du système destinataire</w:t>
              <w:br/>
              <w:t>- REPONSE : le message est émis en réponse à un message précédent</w:t>
              <w:br/>
              <w:t>- DEMANDE : le message est associé à une demande concernant spécifiquement la force partenaire</w:t>
            </w:r>
          </w:p>
        </w:tc>
        <w:tc>
          <w:tcPr>
            <w:tcW w:type="dxa" w:w="1701"/>
          </w:tcPr>
          <w:p>
            <w:r>
              <w:t>INFORMATION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d'émission</w:t>
            </w:r>
          </w:p>
        </w:tc>
        <w:tc>
          <w:tcPr>
            <w:tcW w:type="dxa" w:w="1134"/>
          </w:tcPr>
          <w:p>
            <w:r>
              <w:t>string</w:t>
              <w:br/>
              <w:t>(ENUM: ABONNEMENT, MANUEL, REPONSE)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la source déclenchant l'envoi du présent message au système destinataire.</w:t>
              <w:br/>
              <w:t>PROPOSITION :</w:t>
              <w:br/>
              <w:t>- ABONNEMENT : le système destinataire est abonné aux alertes concernant le système partenaire</w:t>
              <w:br/>
              <w:t>- MANUEL : le système partenaire a déclenché un envoi manuel du message</w:t>
              <w:br/>
              <w:t>- REPONSE : le message est envoyé dans le cadre d'une réponse aux système partenaire</w:t>
            </w:r>
          </w:p>
        </w:tc>
        <w:tc>
          <w:tcPr>
            <w:tcW w:type="dxa" w:w="1701"/>
          </w:tcPr>
          <w:p>
            <w:r>
              <w:t>ABONNEMENT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