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Longitude du point clé de la localisation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