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br/>
              <w:t>{ID du dossier partagé}.P{numéro d’ordre chronologique}</w:t>
            </w:r>
          </w:p>
        </w:tc>
        <w:tc>
          <w:tcPr>
            <w:tcW w:type="dxa" w:w="1701"/>
          </w:tcPr>
          <w:p>
            <w:r>
              <w:t>fr.health.samu044.DRFR15DDXAAJJJ00000.P00</w:t>
            </w:r>
          </w:p>
        </w:tc>
      </w:tr>
      <w:tr>
        <w:tc>
          <w:tcPr>
            <w:tcW w:type="dxa" w:w="1701"/>
          </w:tcPr>
          <w:p>
            <w:r>
              <w:t>identity</w:t>
            </w:r>
          </w:p>
        </w:tc>
        <w:tc>
          <w:tcPr>
            <w:tcW w:type="dxa" w:w="1984"/>
          </w:tcPr>
          <w:p>
            <w:r>
              <w:t>Identité</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br/>
              <w:t>(NOMENCLATURE: SI-SAMU-NOMENC_DEVENIR_PAT)</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teamCare</w:t>
            </w:r>
          </w:p>
        </w:tc>
        <w:tc>
          <w:tcPr>
            <w:tcW w:type="dxa" w:w="1984"/>
          </w:tcPr>
          <w:p>
            <w:r>
              <w:t>Niveau de prise en charge</w:t>
            </w:r>
          </w:p>
        </w:tc>
        <w:tc>
          <w:tcPr>
            <w:tcW w:type="dxa" w:w="1134"/>
          </w:tcPr>
          <w:p>
            <w:r>
              <w:t>string</w:t>
              <w:br/>
              <w:t>(NOMENCLATURE: SI-SAMU-NIVSOIN)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