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Identifiant du véhicule terrestre / aérien / maritime de transport principal (= celui dans lequel se trouve le patient), permettant d'associer la décision à un véhicule spécifique + au patient.</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0..1</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