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codeLabelComment</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codeLabelComment</w:t>
              <w:br/>
              <w:t>(NOMENCLATURE: CISU-Code_Type_de_lieu)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codeLabelComment</w:t>
              <w:br/>
              <w:t>(NOMENCLATURE: CISU-Code_Risque-Menace-Sensibilité)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codeLabelComment</w:t>
              <w:br/>
              <w:t>(NOMENCLATURE: CISU-Code_Motif_patient-victime)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0..n</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codeLabelComment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