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externalAddressId</w:t>
            </w:r>
          </w:p>
        </w:tc>
        <w:tc>
          <w:tcPr>
            <w:tcW w:type="dxa" w:w="1984"/>
          </w:tcPr>
          <w:p>
            <w:r>
              <w:t>Liens aux systèmes externes</w:t>
            </w:r>
          </w:p>
        </w:tc>
        <w:tc>
          <w:tcPr>
            <w:tcW w:type="dxa" w:w="1134"/>
          </w:tcPr>
          <w:p>
            <w:r>
              <w:t>cf. type externalAddressId</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id</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externalAddressId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id</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