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br/>
              <w:br/>
              <w:t xml:space="preserve">Pour les systèmes qui ne sont pas en mesure de garantir l'unicité d'un numéro de dossier (senderCaseId), il est possible de décomposer le numéro de dossier fourni, afin de le rendre unique. </w:t>
              <w:br/>
              <w:t>Par exemple  : {pays}.{domaine}.{organisation}.{structure interne}.{unité fonctionnelle}.{senderCaseId}</w:t>
              <w:br/>
              <w:br/>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pluiseurs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 xml:space="preserve">Objet qui permet de partager l'identifiant d'un objet ayant servi à l'établissement de la localisation. </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t>Exemple  : SIG NexSIS / OSM ont plusieurs types de données -&gt; savoir du quel on parle (POI, tronçon de route, …) pour faciliter le filtre | Aussi table dans une base de données</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