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 xml:space="preserve">Nature de fait </w:t>
            </w:r>
          </w:p>
        </w:tc>
        <w:tc>
          <w:tcPr>
            <w:tcW w:type="dxa" w:w="1134"/>
          </w:tcPr>
          <w:p>
            <w:r>
              <w:t>cf. type whatsHappen</w:t>
              <w:br/>
              <w:t>(NOMENCLATURE: CISU-Code_Nature_de_fait)</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NOURRISSON, ENFANT, ADULTE,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A valoriser avec le type de l'URI utilisée : TEL, EMAIL, FAX, POSTAL, WEB, RADIO</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