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CreateCaseMessage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w:t>
            </w:r>
          </w:p>
        </w:tc>
        <w:tc>
          <w:tcPr>
            <w:tcW w:type="dxa" w:w="1134"/>
          </w:tcPr>
          <w:p>
            <w:r>
              <w:t>string</w:t>
            </w:r>
          </w:p>
        </w:tc>
        <w:tc>
          <w:tcPr>
            <w:tcW w:type="dxa" w:w="1417"/>
          </w:tcPr>
          <w:p>
            <w:r>
              <w:t>1..1</w:t>
            </w:r>
          </w:p>
        </w:tc>
        <w:tc>
          <w:tcPr>
            <w:tcW w:type="dxa" w:w="4535"/>
          </w:tcPr>
          <w:p>
            <w:r>
              <w:t>Identifiant fonctionnel unique de l'affaire et partagé entre tous les intervenants.</w:t>
              <w:br/>
              <w:t>Il doit pouvoir être généré de façon unique et décentralisée et ne présenter aucune ambiguïté. Il est généré par la force réceptrice de la primo-demande de secours et contient un identifiant de la source.</w:t>
              <w:br/>
              <w:t>Format : {SystèmeEmetteur}-{Date}-AF{Sequence} où :</w:t>
              <w:br/>
              <w:t>- {SystèmeEmetteur} est la clé de routage utilisée en majuscule (se référer au DST)</w:t>
              <w:br/>
              <w:t>- {Date} est la date du jour au format AAAMMJJ</w:t>
              <w:br/>
              <w:t>- {Sequence} sur 4 digits est choisie par le système émetteur de façon à rendre les affaires emises uniques</w:t>
              <w:br/>
              <w:t>- AF pour désigner à NexSIS que l'on échange une affaire</w:t>
            </w:r>
          </w:p>
        </w:tc>
        <w:tc>
          <w:tcPr>
            <w:tcW w:type="dxa" w:w="1701"/>
          </w:tcPr>
          <w:p>
            <w:r>
              <w:t>SAMU050-20230605-AF1234</w:t>
            </w:r>
          </w:p>
        </w:tc>
      </w:tr>
      <w:tr>
        <w:tc>
          <w:tcPr>
            <w:tcW w:type="dxa" w:w="1701"/>
          </w:tcPr>
          <w:p>
            <w:r>
              <w:t>senderCaseId</w:t>
            </w:r>
          </w:p>
        </w:tc>
        <w:tc>
          <w:tcPr>
            <w:tcW w:type="dxa" w:w="1984"/>
          </w:tcPr>
          <w:p>
            <w:r>
              <w:t>Identifiant local de l'affaire</w:t>
            </w:r>
          </w:p>
        </w:tc>
        <w:tc>
          <w:tcPr>
            <w:tcW w:type="dxa" w:w="1134"/>
          </w:tcPr>
          <w:p>
            <w:r>
              <w:t>string</w:t>
            </w:r>
          </w:p>
        </w:tc>
        <w:tc>
          <w:tcPr>
            <w:tcW w:type="dxa" w:w="1417"/>
          </w:tcPr>
          <w:p>
            <w:r>
              <w:t>0..1</w:t>
            </w:r>
          </w:p>
        </w:tc>
        <w:tc>
          <w:tcPr>
            <w:tcW w:type="dxa" w:w="4535"/>
          </w:tcPr>
          <w:p>
            <w:r>
              <w:t>Identifiant de l'affaire dans le SI de l'émetteur du message</w:t>
            </w:r>
          </w:p>
        </w:tc>
        <w:tc>
          <w:tcPr>
            <w:tcW w:type="dxa" w:w="1701"/>
          </w:tcPr>
          <w:p>
            <w:r>
              <w:t>id123</w:t>
            </w:r>
          </w:p>
        </w:tc>
      </w:tr>
      <w:tr>
        <w:tc>
          <w:tcPr>
            <w:tcW w:type="dxa" w:w="1701"/>
          </w:tcPr>
          <w:p>
            <w:r>
              <w:t>createdAt</w:t>
            </w:r>
          </w:p>
        </w:tc>
        <w:tc>
          <w:tcPr>
            <w:tcW w:type="dxa" w:w="1984"/>
          </w:tcPr>
          <w:p>
            <w:r>
              <w:t>Date Heure de création de l'affaire</w:t>
            </w:r>
          </w:p>
        </w:tc>
        <w:tc>
          <w:tcPr>
            <w:tcW w:type="dxa" w:w="1134"/>
          </w:tcPr>
          <w:p>
            <w:r>
              <w:t>datetime</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 Le fuseau horaire pour UTC doit être représenté par '-00:00'</w:t>
            </w:r>
          </w:p>
        </w:tc>
        <w:tc>
          <w:tcPr>
            <w:tcW w:type="dxa" w:w="1701"/>
          </w:tcPr>
          <w:p>
            <w:r>
              <w:t>2022-09-27T08:23:34+02:00</w:t>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alerte correspond à la transcription d'une communication d'urgence. Une alerte est une photo d'une situation donnée et n'est pas amenée à évoluer dans le temps. En cas de modification (adresse, qualification, ...), cela passera par une mise à jour opération ou une nouvelle alerte.</w:t>
              <w:br/>
              <w:t>La première alerte est la premiere alerte concernant cette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 Les matchings entre les messages doivent donc s'appuyer sur les caseId et non les initialAlertId qui peuvent varier d'un système à l'autre.</w:t>
            </w:r>
          </w:p>
        </w:tc>
        <w:tc>
          <w:tcPr>
            <w:tcW w:type="dxa" w:w="1701"/>
          </w:tcPr>
          <w:p>
            <w:r/>
          </w:p>
        </w:tc>
      </w:tr>
      <w:tr>
        <w:tc>
          <w:tcPr>
            <w:tcW w:type="dxa" w:w="1701"/>
          </w:tcPr>
          <w:p>
            <w:r>
              <w:t>caseLocation</w:t>
            </w:r>
          </w:p>
        </w:tc>
        <w:tc>
          <w:tcPr>
            <w:tcW w:type="dxa" w:w="1984"/>
          </w:tcPr>
          <w:p>
            <w:r>
              <w:t>Localisation de l'affaire</w:t>
            </w:r>
          </w:p>
        </w:tc>
        <w:tc>
          <w:tcPr>
            <w:tcW w:type="dxa" w:w="1134"/>
          </w:tcPr>
          <w:p>
            <w:r>
              <w:t>cf. type location</w:t>
            </w:r>
          </w:p>
        </w:tc>
        <w:tc>
          <w:tcPr>
            <w:tcW w:type="dxa" w:w="1417"/>
          </w:tcPr>
          <w:p>
            <w:r>
              <w:t>1..1</w:t>
            </w:r>
          </w:p>
        </w:tc>
        <w:tc>
          <w:tcPr>
            <w:tcW w:type="dxa" w:w="4535"/>
          </w:tcPr>
          <w:p>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 la première alerte reçue est "Première alerte", la seconde et le suivantes sont des objets "Nouvelle alerte".</w:t>
              <w:br/>
              <w:t>Nouvelle alerte = raison pour laquelle l'affaire est transmise</w:t>
              <w:br/>
              <w:t>Alerte initiale = pour comprendre ce qui se passe, ce qui a déclenché l'affaire</w:t>
              <w:br/>
              <w:t>Alertes intermédiaires ne concernent pas le destinataire (ou sinon elles ont été transmises avant). De plus, fournir l'historique complet nécessite le développement du Event Hub côté NexSIS.</w:t>
            </w:r>
          </w:p>
        </w:tc>
        <w:tc>
          <w:tcPr>
            <w:tcW w:type="dxa" w:w="1701"/>
          </w:tcPr>
          <w:p>
            <w:r/>
          </w:p>
        </w:tc>
      </w:tr>
      <w:tr>
        <w:tc>
          <w:tcPr>
            <w:tcW w:type="dxa" w:w="1701"/>
          </w:tcPr>
          <w:p>
            <w:r>
              <w:t>severity</w:t>
            </w:r>
          </w:p>
        </w:tc>
        <w:tc>
          <w:tcPr>
            <w:tcW w:type="dxa" w:w="1984"/>
          </w:tcPr>
          <w:p>
            <w:r>
              <w:t>Niveau d'urgence médicale</w:t>
            </w:r>
          </w:p>
        </w:tc>
        <w:tc>
          <w:tcPr>
            <w:tcW w:type="dxa" w:w="1134"/>
          </w:tcPr>
          <w:p>
            <w:r>
              <w:t>string</w:t>
              <w:br/>
              <w:t>(ENUM: EXTREME, SEVERE, MODERATE, MINOR, UNKNOWN)</w:t>
            </w:r>
          </w:p>
        </w:tc>
        <w:tc>
          <w:tcPr>
            <w:tcW w:type="dxa" w:w="1417"/>
          </w:tcPr>
          <w:p>
            <w:r>
              <w:t>0..1</w:t>
            </w:r>
          </w:p>
        </w:tc>
        <w:tc>
          <w:tcPr>
            <w:tcW w:type="dxa" w:w="4535"/>
          </w:tcPr>
          <w:p>
            <w:r>
              <w:t>[Non utilisé dans une première version car la définition et l'usage restent à définir]</w:t>
              <w:br/>
              <w:t>Précise l'urgence médicale :</w:t>
              <w:br/>
              <w:t xml:space="preserve">        EXTREME : Menace extrême pour la vie</w:t>
              <w:br/>
              <w:t xml:space="preserve">        SEVERE : Menace importante pour la vie</w:t>
              <w:br/>
              <w:t xml:space="preserve">        MODERATE - Menace possible pour la vie</w:t>
              <w:br/>
              <w:t xml:space="preserve">        MINOR : Peu ou pas de menace connue pour la vie</w:t>
              <w:br/>
              <w:t xml:space="preserve">        UNKNOWN : Niveau de menace inconnu</w:t>
              <w:br/>
              <w:t>Ce niveau de gravité est lié au Motif de Recours Medico-Secouriste associé à l'appel.</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alertId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r>
          </w:p>
        </w:tc>
        <w:tc>
          <w:tcPr>
            <w:tcW w:type="dxa" w:w="1701"/>
          </w:tcPr>
          <w:p>
            <w:r>
              <w:t>SAMU050-20230605-AL0123</w:t>
            </w:r>
          </w:p>
        </w:tc>
      </w:tr>
      <w:tr>
        <w:tc>
          <w:tcPr>
            <w:tcW w:type="dxa" w:w="1701"/>
          </w:tcPr>
          <w:p>
            <w:r>
              <w:t>receivedAt</w:t>
            </w:r>
          </w:p>
        </w:tc>
        <w:tc>
          <w:tcPr>
            <w:tcW w:type="dxa" w:w="1984"/>
          </w:tcPr>
          <w:p>
            <w:r>
              <w:t>Date de réception de l'alerte</w:t>
            </w:r>
          </w:p>
        </w:tc>
        <w:tc>
          <w:tcPr>
            <w:tcW w:type="dxa" w:w="1134"/>
          </w:tcPr>
          <w:p>
            <w:r>
              <w:t>datetime</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 xml:space="preserve">Permet d'attirer l'attention des forces partenaires sur une affaire.  </w:t>
              <w:br/>
              <w:t xml:space="preserve">Eventuellement automatisé en fonction des critères saisis et de leur paramétrage, ou renseigné par l'opérateur. </w:t>
              <w:br/>
              <w:t xml:space="preserve">Prend les valeurs définies dans la nomenclature CISU. </w:t>
              <w:br/>
              <w:t>Pour les systèmes multi-alertes mais gérant ce champs au niveau de l'affaire, ils prennent le niveau d'alerte le plus élevé (peut être complété par "Raison du transfert")</w:t>
            </w:r>
          </w:p>
        </w:tc>
        <w:tc>
          <w:tcPr>
            <w:tcW w:type="dxa" w:w="1701"/>
          </w:tcPr>
          <w:p>
            <w:r>
              <w:t>STANDARD</w:t>
            </w:r>
          </w:p>
        </w:tc>
      </w:tr>
      <w:tr>
        <w:tc>
          <w:tcPr>
            <w:tcW w:type="dxa" w:w="1701"/>
          </w:tcPr>
          <w:p>
            <w:r>
              <w:t>alertInformation</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alertCode</w:t>
            </w:r>
          </w:p>
        </w:tc>
        <w:tc>
          <w:tcPr>
            <w:tcW w:type="dxa" w:w="1984"/>
          </w:tcPr>
          <w:p>
            <w:r>
              <w:t>Qualification</w:t>
            </w:r>
          </w:p>
        </w:tc>
        <w:tc>
          <w:tcPr>
            <w:tcW w:type="dxa" w:w="1134"/>
          </w:tcPr>
          <w:p>
            <w:r>
              <w:t>cf. type alertCode</w:t>
            </w:r>
          </w:p>
        </w:tc>
        <w:tc>
          <w:tcPr>
            <w:tcW w:type="dxa" w:w="1417"/>
          </w:tcPr>
          <w:p>
            <w:r>
              <w:t>1..1</w:t>
            </w:r>
          </w:p>
        </w:tc>
        <w:tc>
          <w:tcPr>
            <w:tcW w:type="dxa" w:w="4535"/>
          </w:tcPr>
          <w:p>
            <w:r/>
          </w:p>
        </w:tc>
        <w:tc>
          <w:tcPr>
            <w:tcW w:type="dxa" w:w="1701"/>
          </w:tcPr>
          <w:p>
            <w:r/>
          </w:p>
        </w:tc>
      </w:tr>
      <w:tr>
        <w:tc>
          <w:tcPr>
            <w:tcW w:type="dxa" w:w="1701"/>
          </w:tcPr>
          <w:p>
            <w:r>
              <w:t>contact</w:t>
            </w:r>
          </w:p>
        </w:tc>
        <w:tc>
          <w:tcPr>
            <w:tcW w:type="dxa" w:w="1984"/>
          </w:tcPr>
          <w:p>
            <w:r>
              <w:t>Source</w:t>
            </w:r>
          </w:p>
        </w:tc>
        <w:tc>
          <w:tcPr>
            <w:tcW w:type="dxa" w:w="1134"/>
          </w:tcPr>
          <w:p>
            <w:r>
              <w:t>cf. type contact</w:t>
            </w:r>
          </w:p>
        </w:tc>
        <w:tc>
          <w:tcPr>
            <w:tcW w:type="dxa" w:w="1417"/>
          </w:tcPr>
          <w:p>
            <w:r>
              <w:t>0..1</w:t>
            </w:r>
          </w:p>
        </w:tc>
        <w:tc>
          <w:tcPr>
            <w:tcW w:type="dxa" w:w="4535"/>
          </w:tcPr>
          <w:p>
            <w:r>
              <w:t>Permet de savoir comment le réquérent est entré en contact avec le service de secours</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resource</w:t>
            </w:r>
          </w:p>
        </w:tc>
        <w:tc>
          <w:tcPr>
            <w:tcW w:type="dxa" w:w="1984"/>
          </w:tcPr>
          <w:p>
            <w:r>
              <w:t>Pièces jointes</w:t>
            </w:r>
          </w:p>
        </w:tc>
        <w:tc>
          <w:tcPr>
            <w:tcW w:type="dxa" w:w="1134"/>
          </w:tcPr>
          <w:p>
            <w:r>
              <w:t>cf. type resource</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1..1</w:t>
            </w:r>
          </w:p>
        </w:tc>
        <w:tc>
          <w:tcPr>
            <w:tcW w:type="dxa" w:w="4535"/>
          </w:tcPr>
          <w:p>
            <w:r>
              <w:t>Correspond à l'étiquette associée à la localisation (plutôt à destination des humains).</w:t>
              <w:br/>
              <w:t>Elle va souvent correspondre à la concaténation suivant des règles métiers de différentes informations, dont le "name" (toponyme) et l'adresse.</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lieu-dit, lac, forêt, nom de quartier (plutôt à destination des systèmes).</w:t>
            </w:r>
          </w:p>
        </w:tc>
        <w:tc>
          <w:tcPr>
            <w:tcW w:type="dxa" w:w="1701"/>
          </w:tcPr>
          <w:p>
            <w:r>
              <w:t>Carrefour Toison d'Or, EPHAD Belle Fontaine, Quartier Melun Nord, Disneyland, …</w:t>
            </w:r>
          </w:p>
        </w:tc>
      </w:tr>
      <w:tr>
        <w:tc>
          <w:tcPr>
            <w:tcW w:type="dxa" w:w="1701"/>
          </w:tcPr>
          <w:p>
            <w:r>
              <w:t>address</w:t>
            </w:r>
          </w:p>
        </w:tc>
        <w:tc>
          <w:tcPr>
            <w:tcW w:type="dxa" w:w="1984"/>
          </w:tcPr>
          <w:p>
            <w:r>
              <w:t>Détails de l'adresse</w:t>
            </w:r>
          </w:p>
        </w:tc>
        <w:tc>
          <w:tcPr>
            <w:tcW w:type="dxa" w:w="1134"/>
          </w:tcPr>
          <w:p>
            <w:r>
              <w:t>cf. type 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link</w:t>
            </w:r>
          </w:p>
        </w:tc>
        <w:tc>
          <w:tcPr>
            <w:tcW w:type="dxa" w:w="1984"/>
          </w:tcPr>
          <w:p>
            <w:r>
              <w:t>Liens aux systèmes externes</w:t>
            </w:r>
          </w:p>
        </w:tc>
        <w:tc>
          <w:tcPr>
            <w:tcW w:type="dxa" w:w="1134"/>
          </w:tcPr>
          <w:p>
            <w:r>
              <w:t>cf. type link</w:t>
            </w:r>
          </w:p>
        </w:tc>
        <w:tc>
          <w:tcPr>
            <w:tcW w:type="dxa" w:w="1417"/>
          </w:tcPr>
          <w:p>
            <w:r>
              <w:t>0..n</w:t>
            </w:r>
          </w:p>
        </w:tc>
        <w:tc>
          <w:tcPr>
            <w:tcW w:type="dxa" w:w="4535"/>
          </w:tcPr>
          <w:p>
            <w:r>
              <w:t>Permet de partager l'identifiant d'un objet ayant servi à l'établissement de la localisation.</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(ENUM: France, Allemagne, Espagne, Italie, Suisse, Luxembourg, Belgique)</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1..1</w:t>
            </w:r>
          </w:p>
        </w:tc>
        <w:tc>
          <w:tcPr>
            <w:tcW w:type="dxa" w:w="4535"/>
          </w:tcPr>
          <w:p>
            <w:r>
              <w:t>Champ libre pour compléter les informations de localisation</w:t>
            </w:r>
          </w:p>
        </w:tc>
        <w:tc>
          <w:tcPr>
            <w:tcW w:type="dxa" w:w="1701"/>
          </w:tcPr>
          <w:p>
            <w:r>
              <w:t>Clé derrière le pot de fleur</w:t>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callerURI</w:t>
            </w:r>
          </w:p>
        </w:tc>
        <w:tc>
          <w:tcPr>
            <w:tcW w:type="dxa" w:w="1984"/>
          </w:tcPr>
          <w:p>
            <w:r>
              <w:t>Numéro requérant</w:t>
            </w:r>
          </w:p>
        </w:tc>
        <w:tc>
          <w:tcPr>
            <w:tcW w:type="dxa" w:w="1134"/>
          </w:tcPr>
          <w:p>
            <w:r>
              <w:t>string</w:t>
              <w:br/>
              <w:t>(REGEX: tel:([#\+\*]|37000|00+)?[0-9]{2,15})</w:t>
            </w:r>
          </w:p>
        </w:tc>
        <w:tc>
          <w:tcPr>
            <w:tcW w:type="dxa" w:w="1417"/>
          </w:tcPr>
          <w:p>
            <w:r>
              <w:t>0..1</w:t>
            </w:r>
          </w:p>
        </w:tc>
        <w:tc>
          <w:tcPr>
            <w:tcW w:type="dxa" w:w="4535"/>
          </w:tcPr>
          <w:p>
            <w:r>
              <w:t>Type de l'URI utilisée par le réquérant et valeur. Ne peut contenir qu'une URI.Exemple : tel:+33611223344 OU sip:top@domain.org. Le numéro de téléphone doit être renseigné en priorité, à défaut, renseigner un autre type d'URI. Si ce numéro est renseigné, il devient prioritaire par rapport au numéro d'appel.</w:t>
            </w:r>
          </w:p>
        </w:tc>
        <w:tc>
          <w:tcPr>
            <w:tcW w:type="dxa" w:w="1701"/>
          </w:tcPr>
          <w:p>
            <w:r>
              <w:t>tel:0606060606</w:t>
            </w:r>
          </w:p>
        </w:tc>
      </w:tr>
      <w:tr>
        <w:tc>
          <w:tcPr>
            <w:tcW w:type="dxa" w:w="1701"/>
          </w:tcPr>
          <w:p>
            <w:r>
              <w:t>callbackURI</w:t>
            </w:r>
          </w:p>
        </w:tc>
        <w:tc>
          <w:tcPr>
            <w:tcW w:type="dxa" w:w="1984"/>
          </w:tcPr>
          <w:p>
            <w:r>
              <w:t>Numéro de contre-appel</w:t>
            </w:r>
          </w:p>
        </w:tc>
        <w:tc>
          <w:tcPr>
            <w:tcW w:type="dxa" w:w="1134"/>
          </w:tcPr>
          <w:p>
            <w:r>
              <w:t>string</w:t>
              <w:br/>
              <w:t>(REGEX: tel:([#\+\*]|37000|00+)?[0-9]{2,15})</w:t>
            </w:r>
          </w:p>
        </w:tc>
        <w:tc>
          <w:tcPr>
            <w:tcW w:type="dxa" w:w="1417"/>
          </w:tcPr>
          <w:p>
            <w:r>
              <w:t>0..1</w:t>
            </w:r>
          </w:p>
        </w:tc>
        <w:tc>
          <w:tcPr>
            <w:tcW w:type="dxa" w:w="4535"/>
          </w:tcPr>
          <w:p>
            <w:r>
              <w:t>Type et valeur de l'URI permettant un rappel pour avoir plus d'informations : il peut s'agit du requérant, de la victime ou d'un témoin. Ne peut contenir qu'une URI.Exemple : tel:+33611223344 OU sip:top@domain.org. Le numéro de téléphone doit être renseigné en priorité, à défaut, renseigner un autre type d'URI. Si le numéro de contre-appel est renseigné, il doit être utilisé en priorité sur le numéro réquérant.</w:t>
            </w:r>
          </w:p>
        </w:tc>
        <w:tc>
          <w:tcPr>
            <w:tcW w:type="dxa" w:w="1701"/>
          </w:tcPr>
          <w:p>
            <w:r>
              <w:t>tel:0707070707</w:t>
            </w:r>
          </w:p>
        </w:tc>
      </w:tr>
      <w:tr>
        <w:tc>
          <w:tcPr>
            <w:tcW w:type="dxa" w:w="1701"/>
          </w:tcPr>
          <w:p>
            <w:r>
              <w:t>spokenLanguage</w:t>
            </w:r>
          </w:p>
        </w:tc>
        <w:tc>
          <w:tcPr>
            <w:tcW w:type="dxa" w:w="1984"/>
          </w:tcPr>
          <w:p>
            <w:r>
              <w:t>Langue parlée</w:t>
            </w:r>
          </w:p>
        </w:tc>
        <w:tc>
          <w:tcPr>
            <w:tcW w:type="dxa" w:w="1134"/>
          </w:tcPr>
          <w:p>
            <w:r>
              <w:t>string</w:t>
            </w:r>
          </w:p>
        </w:tc>
        <w:tc>
          <w:tcPr>
            <w:tcW w:type="dxa" w:w="1417"/>
          </w:tcPr>
          <w:p>
            <w:r>
              <w:t>0..1</w:t>
            </w:r>
          </w:p>
        </w:tc>
        <w:tc>
          <w:tcPr>
            <w:tcW w:type="dxa" w:w="4535"/>
          </w:tcPr>
          <w:p>
            <w:r>
              <w:t>Langue parlée par le requérant. Permet de mettre en place des traducteurs si besoin.</w:t>
            </w:r>
          </w:p>
        </w:tc>
        <w:tc>
          <w:tcPr>
            <w:tcW w:type="dxa" w:w="1701"/>
          </w:tcPr>
          <w:p>
            <w:r>
              <w:t>Français</w:t>
            </w:r>
          </w:p>
        </w:tc>
      </w:tr>
      <w:tr>
        <w:tc>
          <w:tcPr>
            <w:tcW w:type="dxa" w:w="1701"/>
          </w:tcPr>
          <w:p>
            <w:r>
              <w:t>callerInformation</w:t>
            </w:r>
          </w:p>
        </w:tc>
        <w:tc>
          <w:tcPr>
            <w:tcW w:type="dxa" w:w="1984"/>
          </w:tcPr>
          <w:p>
            <w:r>
              <w:t>Informations sur le requérant</w:t>
            </w:r>
          </w:p>
        </w:tc>
        <w:tc>
          <w:tcPr>
            <w:tcW w:type="dxa" w:w="1134"/>
          </w:tcPr>
          <w:p>
            <w:r>
              <w:t>string</w:t>
            </w:r>
          </w:p>
        </w:tc>
        <w:tc>
          <w:tcPr>
            <w:tcW w:type="dxa" w:w="1417"/>
          </w:tcPr>
          <w:p>
            <w:r>
              <w:t>0..1</w:t>
            </w:r>
          </w:p>
        </w:tc>
        <w:tc>
          <w:tcPr>
            <w:tcW w:type="dxa" w:w="4535"/>
          </w:tcPr>
          <w:p>
            <w:r>
              <w:t>Information sur le requérant : malentendant, impliqué dans l'accident, …</w:t>
            </w:r>
          </w:p>
        </w:tc>
        <w:tc>
          <w:tcPr>
            <w:tcW w:type="dxa" w:w="1701"/>
          </w:tcPr>
          <w:p>
            <w:r>
              <w:t>Père</w:t>
            </w:r>
          </w:p>
        </w:tc>
      </w:tr>
      <w:tr>
        <w:tc>
          <w:tcPr>
            <w:tcW w:type="dxa" w:w="1701"/>
          </w:tcPr>
          <w:p>
            <w:r>
              <w:t>callerName</w:t>
            </w:r>
          </w:p>
        </w:tc>
        <w:tc>
          <w:tcPr>
            <w:tcW w:type="dxa" w:w="1984"/>
          </w:tcPr>
          <w:p>
            <w:r>
              <w:t>Prénom &amp; nom usuel du requérant</w:t>
            </w:r>
          </w:p>
        </w:tc>
        <w:tc>
          <w:tcPr>
            <w:tcW w:type="dxa" w:w="1134"/>
          </w:tcPr>
          <w:p>
            <w:r>
              <w:t>cf. type callerName</w:t>
            </w:r>
          </w:p>
        </w:tc>
        <w:tc>
          <w:tcPr>
            <w:tcW w:type="dxa" w:w="1417"/>
          </w:tcPr>
          <w:p>
            <w:r>
              <w:t>0..1</w:t>
            </w:r>
          </w:p>
        </w:tc>
        <w:tc>
          <w:tcPr>
            <w:tcW w:type="dxa" w:w="4535"/>
          </w:tcPr>
          <w:p>
            <w:r/>
          </w:p>
        </w:tc>
        <w:tc>
          <w:tcPr>
            <w:tcW w:type="dxa" w:w="1701"/>
          </w:tcPr>
          <w:p>
            <w:r/>
          </w:p>
        </w:tc>
      </w:tr>
    </w:tbl>
    <w:p>
      <w:pPr>
        <w:pStyle w:val="Heading1"/>
      </w:pPr>
      <w:r>
        <w:t>Type alertCode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cisuVersion</w:t>
            </w:r>
          </w:p>
        </w:tc>
        <w:tc>
          <w:tcPr>
            <w:tcW w:type="dxa" w:w="1984"/>
          </w:tcPr>
          <w:p>
            <w:r>
              <w:t>Version du référentiel nomenclature CISU</w:t>
            </w:r>
          </w:p>
        </w:tc>
        <w:tc>
          <w:tcPr>
            <w:tcW w:type="dxa" w:w="1134"/>
          </w:tcPr>
          <w:p>
            <w:r>
              <w:t>string</w:t>
            </w:r>
          </w:p>
        </w:tc>
        <w:tc>
          <w:tcPr>
            <w:tcW w:type="dxa" w:w="1417"/>
          </w:tcPr>
          <w:p>
            <w:r>
              <w:t>1..1</w:t>
            </w:r>
          </w:p>
        </w:tc>
        <w:tc>
          <w:tcPr>
            <w:tcW w:type="dxa" w:w="4535"/>
          </w:tcPr>
          <w:p>
            <w:r>
              <w:t>Indique le numéro de version du référentiel des nomenclatures des codes transmis. Cela permet de s'assurer que les systèmes opérationnels soient en capacité de les  traiter correctement.</w:t>
            </w:r>
          </w:p>
        </w:tc>
        <w:tc>
          <w:tcPr>
            <w:tcW w:type="dxa" w:w="1701"/>
          </w:tcPr>
          <w:p>
            <w:r>
              <w:t>1.19</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gravity</w:t>
            </w:r>
          </w:p>
        </w:tc>
        <w:tc>
          <w:tcPr>
            <w:tcW w:type="dxa" w:w="1984"/>
          </w:tcPr>
          <w:p>
            <w:r>
              <w:t>Score de gravité</w:t>
            </w:r>
          </w:p>
        </w:tc>
        <w:tc>
          <w:tcPr>
            <w:tcW w:type="dxa" w:w="1134"/>
          </w:tcPr>
          <w:p>
            <w:r>
              <w:t>string</w:t>
            </w:r>
          </w:p>
        </w:tc>
        <w:tc>
          <w:tcPr>
            <w:tcW w:type="dxa" w:w="1417"/>
          </w:tcPr>
          <w:p>
            <w:r>
              <w:t>0..1</w:t>
            </w:r>
          </w:p>
        </w:tc>
        <w:tc>
          <w:tcPr>
            <w:tcW w:type="dxa" w:w="4535"/>
          </w:tcPr>
          <w:p>
            <w:r>
              <w:t>Score de gravité fourni par NexSIS</w:t>
            </w:r>
          </w:p>
        </w:tc>
        <w:tc>
          <w:tcPr>
            <w:tcW w:type="dxa" w:w="1701"/>
          </w:tcPr>
          <w:p>
            <w:r>
              <w:t>6</w:t>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Canal</w:t>
            </w:r>
          </w:p>
        </w:tc>
        <w:tc>
          <w:tcPr>
            <w:tcW w:type="dxa" w:w="1134"/>
          </w:tcPr>
          <w:p>
            <w:r>
              <w:t>string</w:t>
            </w:r>
          </w:p>
        </w:tc>
        <w:tc>
          <w:tcPr>
            <w:tcW w:type="dxa" w:w="1417"/>
          </w:tcPr>
          <w:p>
            <w:r>
              <w:t>0..1</w:t>
            </w:r>
          </w:p>
        </w:tc>
        <w:tc>
          <w:tcPr>
            <w:tcW w:type="dxa" w:w="4535"/>
          </w:tcPr>
          <w:p>
            <w:r>
              <w:t>Permet d'indiquer l'origine de la communication : Personne, application, DAU, BAU, défibrillateur, ecall</w:t>
            </w:r>
          </w:p>
        </w:tc>
        <w:tc>
          <w:tcPr>
            <w:tcW w:type="dxa" w:w="1701"/>
          </w:tcPr>
          <w:p>
            <w:r>
              <w:t>Person</w:t>
            </w:r>
          </w:p>
        </w:tc>
      </w:tr>
      <w:tr>
        <w:tc>
          <w:tcPr>
            <w:tcW w:type="dxa" w:w="1701"/>
          </w:tcPr>
          <w:p>
            <w:r>
              <w:t>detail</w:t>
            </w:r>
          </w:p>
        </w:tc>
        <w:tc>
          <w:tcPr>
            <w:tcW w:type="dxa" w:w="1984"/>
          </w:tcPr>
          <w:p>
            <w:r>
              <w:t>Flux utilisé</w:t>
            </w:r>
          </w:p>
        </w:tc>
        <w:tc>
          <w:tcPr>
            <w:tcW w:type="dxa" w:w="1134"/>
          </w:tcPr>
          <w:p>
            <w:r>
              <w:t>string</w:t>
              <w:br/>
              <w:t>(REGEX: tel:([#\+\*]|37000|00+)?[0-9]{2,15})</w:t>
            </w:r>
          </w:p>
        </w:tc>
        <w:tc>
          <w:tcPr>
            <w:tcW w:type="dxa" w:w="1417"/>
          </w:tcPr>
          <w:p>
            <w:r>
              <w:t>0..1</w:t>
            </w:r>
          </w:p>
        </w:tc>
        <w:tc>
          <w:tcPr>
            <w:tcW w:type="dxa" w:w="4535"/>
          </w:tcPr>
          <w:p>
            <w:r>
              <w:t>Indique le type de l'URI composée par le réquérant et la valeur de l'URI, concaténées et séparées par ":". Exemples : tel:112, tel:18, sip:sos@nexsis.fr, … Une seule URI peut être renseignée.</w:t>
            </w:r>
          </w:p>
        </w:tc>
        <w:tc>
          <w:tcPr>
            <w:tcW w:type="dxa" w:w="1701"/>
          </w:tcPr>
          <w:p>
            <w:r>
              <w:t>tel:18</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Organisation d'appartenance de l'opérateur ayant traité l'alerte</w:t>
            </w:r>
          </w:p>
        </w:tc>
        <w:tc>
          <w:tcPr>
            <w:tcW w:type="dxa" w:w="1701"/>
          </w:tcPr>
          <w:p>
            <w:r>
              <w:t>SDIS, SAMU, …</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Salle opérationnelle de l'opérateur de traitement</w:t>
            </w:r>
          </w:p>
        </w:tc>
        <w:tc>
          <w:tcPr>
            <w:tcW w:type="dxa" w:w="1701"/>
          </w:tcPr>
          <w:p>
            <w:r>
              <w:t>CGA, CGO 21, CRRA 44, ...</w:t>
            </w:r>
          </w:p>
        </w:tc>
      </w:tr>
      <w:tr>
        <w:tc>
          <w:tcPr>
            <w:tcW w:type="dxa" w:w="1701"/>
          </w:tcPr>
          <w:p>
            <w:r>
              <w:t>calltakerURI</w:t>
            </w:r>
          </w:p>
        </w:tc>
        <w:tc>
          <w:tcPr>
            <w:tcW w:type="dxa" w:w="1984"/>
          </w:tcPr>
          <w:p>
            <w:r>
              <w:t>Numéro du poste de l'agent</w:t>
            </w:r>
          </w:p>
        </w:tc>
        <w:tc>
          <w:tcPr>
            <w:tcW w:type="dxa" w:w="1134"/>
          </w:tcPr>
          <w:p>
            <w:r>
              <w:t>string</w:t>
            </w:r>
          </w:p>
        </w:tc>
        <w:tc>
          <w:tcPr>
            <w:tcW w:type="dxa" w:w="1417"/>
          </w:tcPr>
          <w:p>
            <w:r>
              <w:t>0..1</w:t>
            </w:r>
          </w:p>
        </w:tc>
        <w:tc>
          <w:tcPr>
            <w:tcW w:type="dxa" w:w="4535"/>
          </w:tcPr>
          <w:p>
            <w:r>
              <w:t>Numéro de ligne directe permettant de recontacter l'opérateur de traitement</w:t>
            </w:r>
          </w:p>
        </w:tc>
        <w:tc>
          <w:tcPr>
            <w:tcW w:type="dxa" w:w="1701"/>
          </w:tcPr>
          <w:p>
            <w:r>
              <w:t>0303030303</w:t>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w:t>
            </w:r>
          </w:p>
        </w:tc>
        <w:tc>
          <w:tcPr>
            <w:tcW w:type="dxa" w:w="1701"/>
          </w:tcPr>
          <w:p>
            <w:r>
              <w:t>id1234, carte CPx (Santé), id d'affectation, …</w:t>
            </w:r>
          </w:p>
        </w:tc>
      </w:tr>
    </w:tbl>
    <w:p>
      <w:pPr>
        <w:pStyle w:val="Heading1"/>
      </w:pPr>
      <w:r>
        <w:t>Type 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resourceDesc</w:t>
            </w:r>
          </w:p>
        </w:tc>
        <w:tc>
          <w:tcPr>
            <w:tcW w:type="dxa" w:w="1984"/>
          </w:tcPr>
          <w:p>
            <w:r>
              <w:t>Type ou description de la ressource</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br/>
              <w:t>(REGEX: (https?|ftp|file):\/\/([\w-]+(\.[\w-]+)*)(\/[\w\-\.]*)*\/?(\?[^\s]*)?)</w:t>
            </w:r>
          </w:p>
        </w:tc>
        <w:tc>
          <w:tcPr>
            <w:tcW w:type="dxa" w:w="1417"/>
          </w:tcPr>
          <w:p>
            <w:r>
              <w:t>1..1</w:t>
            </w:r>
          </w:p>
        </w:tc>
        <w:tc>
          <w:tcPr>
            <w:tcW w:type="dxa" w:w="4535"/>
          </w:tcPr>
          <w:p>
            <w:r>
              <w:t>Une URI, généralement une URL, qui permet d'atteindre la ressource sur Internet ou sur un réseau privé</w:t>
            </w:r>
          </w:p>
        </w:tc>
        <w:tc>
          <w:tcPr>
            <w:tcW w:type="dxa" w:w="1701"/>
          </w:tcPr>
          <w:p>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r>
          </w:p>
        </w:tc>
        <w:tc>
          <w:tcPr>
            <w:tcW w:type="dxa" w:w="1701"/>
          </w:tcPr>
          <w:p>
            <w:r/>
          </w:p>
        </w:tc>
      </w:tr>
    </w:tbl>
    <w:p>
      <w:pPr>
        <w:pStyle w:val="Heading1"/>
      </w:pPr>
      <w:r>
        <w:t>Type callerName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r>
          </w:p>
        </w:tc>
        <w:tc>
          <w:tcPr>
            <w:tcW w:type="dxa" w:w="1417"/>
          </w:tcPr>
          <w:p>
            <w:r>
              <w:t>1..1</w:t>
            </w:r>
          </w:p>
        </w:tc>
        <w:tc>
          <w:tcPr>
            <w:tcW w:type="dxa" w:w="4535"/>
          </w:tcPr>
          <w:p>
            <w:r>
              <w:t>Prénom et nom usuel du requérant.</w:t>
              <w:br/>
              <w:t>Si les champs callerLastName et callerFirstName sont renseignés, le champ callerName doit contenir la chaîne de caractère suivante : "{callerFirstName} {callerLastName}".</w:t>
              <w:br/>
              <w:t>Note : NexSIS ne dispose que de ces informations (concaténées) et pas de deux champs séparés.</w:t>
            </w:r>
          </w:p>
        </w:tc>
        <w:tc>
          <w:tcPr>
            <w:tcW w:type="dxa" w:w="1701"/>
          </w:tcPr>
          <w:p>
            <w:r>
              <w:t>Jean Dupont</w:t>
            </w:r>
          </w:p>
        </w:tc>
      </w:tr>
      <w:tr>
        <w:tc>
          <w:tcPr>
            <w:tcW w:type="dxa" w:w="1701"/>
          </w:tcPr>
          <w:p>
            <w:r>
              <w:t>callerLastName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callerFirstName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r>
          </w:p>
        </w:tc>
        <w:tc>
          <w:tcPr>
            <w:tcW w:type="dxa" w:w="1701"/>
          </w:tcPr>
          <w:p>
            <w:r>
              <w:t>Jean</w:t>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([CLMR](([0-9][0-9])|(([0-9][0-9])(\.[0-9][0-9]){1,2}))))</w:t>
            </w:r>
          </w:p>
        </w:tc>
        <w:tc>
          <w:tcPr>
            <w:tcW w:type="dxa" w:w="1417"/>
          </w:tcPr>
          <w:p>
            <w:r>
              <w:t>1..1</w:t>
            </w:r>
          </w:p>
        </w:tc>
        <w:tc>
          <w:tcPr>
            <w:tcW w:type="dxa" w:w="4535"/>
          </w:tcPr>
          <w:p>
            <w:r>
              <w:t>Décrit le code des NF, TL, RMS et MR. Les différents niveaux doivent être séparés par un point. Référentiel : nomenclature CISU</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 xml:space="preserve">Présente les différents libellés des circonstances. Référentiel : nomenclature CISU. Les libellés des différents niveaux doivent être concaténés. Le point-virgule est utilisé comme séparateur. Exemple pour C01.01.01 : "Accident de la circulation; Accident routier; Véhicule léger, fourgon". </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le choix des circonstances. Dans l'idéal un commentaire pour chaque type de qualification mais peut contenir des commentaires sur le type de lieu, risque menace et sensibilité et motif de recours médicosecouriste.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PREGNANT,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comment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id</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r>
          </w:p>
        </w:tc>
        <w:tc>
          <w:tcPr>
            <w:tcW w:type="dxa" w:w="1417"/>
          </w:tcPr>
          <w:p>
            <w:r>
              <w:t>1..1</w:t>
            </w:r>
          </w:p>
        </w:tc>
        <w:tc>
          <w:tcPr>
            <w:tcW w:type="dxa" w:w="4535"/>
          </w:tcPr>
          <w:p>
            <w:r>
              <w:t>Type et nom de la voie (venant d'un référentiel ou non)</w:t>
            </w:r>
          </w:p>
        </w:tc>
        <w:tc>
          <w:tcPr>
            <w:tcW w:type="dxa" w:w="1701"/>
          </w:tcPr>
          <w:p>
            <w:r>
              <w:t>A1 direction Paris, Bd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coordsys</w:t>
            </w:r>
          </w:p>
        </w:tc>
        <w:tc>
          <w:tcPr>
            <w:tcW w:type="dxa" w:w="1984"/>
          </w:tcPr>
          <w:p>
            <w:r>
              <w:t>Système de coordonnées</w:t>
            </w:r>
          </w:p>
        </w:tc>
        <w:tc>
          <w:tcPr>
            <w:tcW w:type="dxa" w:w="1134"/>
          </w:tcPr>
          <w:p>
            <w:r>
              <w:t>string</w:t>
              <w:br/>
              <w:t>(REGEX: [0-9]{0,10})</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«EPSG-4326».</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Latitude du point clé de la localisation</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Altitude du point clé de la localisation, ignoré côté NexSIS.</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time</w:t>
            </w:r>
          </w:p>
        </w:tc>
        <w:tc>
          <w:tcPr>
            <w:tcW w:type="dxa" w:w="1984"/>
          </w:tcPr>
          <w:p>
            <w:r>
              <w:t>Temps</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precision</w:t>
            </w:r>
          </w:p>
        </w:tc>
        <w:tc>
          <w:tcPr>
            <w:tcW w:type="dxa" w:w="1984"/>
          </w:tcPr>
          <w:p>
            <w:r>
              <w:t>Précision</w:t>
            </w:r>
          </w:p>
        </w:tc>
        <w:tc>
          <w:tcPr>
            <w:tcW w:type="dxa" w:w="1134"/>
          </w:tcPr>
          <w:p>
            <w:r>
              <w:t>string</w:t>
              <w:br/>
              <w:t>(ENUM: CITY, STREET, ADDRESS)</w:t>
            </w:r>
          </w:p>
        </w:tc>
        <w:tc>
          <w:tcPr>
            <w:tcW w:type="dxa" w:w="1417"/>
          </w:tcPr>
          <w:p>
            <w:r>
              <w:t>1..1</w:t>
            </w:r>
          </w:p>
        </w:tc>
        <w:tc>
          <w:tcPr>
            <w:tcW w:type="dxa" w:w="4535"/>
          </w:tcPr>
          <w:p>
            <w:r>
              <w:t>Niveau de précision et de confiance dans les coordonnées (au niveau de la commune/lieu-dit, voie/rue ou adresse/point de voie) déterminée de façon automatique par le système en fonction des informations disponibles lors de son élaboration (n°, voie et commune) et du matching fait dans son système de localisation.</w:t>
            </w:r>
          </w:p>
        </w:tc>
        <w:tc>
          <w:tcPr>
            <w:tcW w:type="dxa" w:w="1701"/>
          </w:tcPr>
          <w:p>
            <w:r>
              <w:t>Adresse</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SECT.QUARTIER HISTORIQUE</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