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detailedAdress</w:t>
            </w:r>
          </w:p>
        </w:tc>
        <w:tc>
          <w:tcPr>
            <w:tcW w:type="dxa" w:w="1984"/>
          </w:tcPr>
          <w:p>
            <w:r>
              <w:t>Détails de l'adresse</w:t>
            </w:r>
          </w:p>
        </w:tc>
        <w:tc>
          <w:tcPr>
            <w:tcW w:type="dxa" w:w="1134"/>
          </w:tcPr>
          <w:p>
            <w:r>
              <w:t>cf. type detailedAdress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a)Si cette dernière concerne un partenaire (caractère médical pour la Santé par exemple), elle est relayée seule dans le message. Il y’a un seul objet initialAlert.</w:t>
              <w:br/>
              <w:t>b)Sinon,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locphonenumber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 requérant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reqtype</w:t>
            </w:r>
          </w:p>
        </w:tc>
        <w:tc>
          <w:tcPr>
            <w:tcW w:type="dxa" w:w="1984"/>
          </w:tcPr>
          <w:p>
            <w:r>
              <w:t>Type de requérant</w:t>
            </w:r>
          </w:p>
        </w:tc>
        <w:tc>
          <w:tcPr>
            <w:tcW w:type="dxa" w:w="1134"/>
          </w:tcPr>
          <w:p>
            <w:r>
              <w:t>string</w:t>
              <w:br/>
              <w: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 du requérant</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