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br/>
              <w:t>(Voir nomenclature CISU Type de Lieu)</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br/>
              <w:t>(Voir nomenclature CISU Risque, menace et sensibilité)</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br/>
              <w:t>(Voir nomenclature CISU Motif de recours médico-secouriste)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detailedAdress</w:t>
            </w:r>
          </w:p>
        </w:tc>
        <w:tc>
          <w:tcPr>
            <w:tcW w:type="dxa" w:w="1984"/>
          </w:tcPr>
          <w:p>
            <w:r>
              <w:t>Détails de l'adresse</w:t>
            </w:r>
          </w:p>
        </w:tc>
        <w:tc>
          <w:tcPr>
            <w:tcW w:type="dxa" w:w="1134"/>
          </w:tcPr>
          <w:p>
            <w:r>
              <w:t>cf. type detailedAdress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br/>
              <w:t>(ENUM: France, Allemagne, Espagne, Italie, Suisse, Luxembourg, Belgique, Brésil)</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br/>
              <w:t>(Voir nomenclature associée)</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br/>
              <w:t>(Voir nomenclature associée)</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locphonenumber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Latitude du point clé de la localisation</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Altitude du point clé de la localisation, en mètre, ignoré côté NexSIS.</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 requérant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reqtype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 du requérant</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br/>
              <w:t>(NOMENCLATURE: PERSO (nomenclature SI-SAMU))</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