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reference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distributionID</w:t>
            </w:r>
          </w:p>
        </w:tc>
        <w:tc>
          <w:tcPr>
            <w:tcW w:type="dxa" w:w="1984"/>
          </w:tcPr>
          <w:p>
            <w:r>
              <w:t>Identifiant du message référencé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du message référencé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refused</w:t>
            </w:r>
          </w:p>
        </w:tc>
        <w:tc>
          <w:tcPr>
            <w:tcW w:type="dxa" w:w="1984"/>
          </w:tcPr>
          <w:p>
            <w:r>
              <w:t>Indicateur de refus de message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message acquitté a été refusé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errorDistributionID</w:t>
            </w:r>
          </w:p>
        </w:tc>
        <w:tc>
          <w:tcPr>
            <w:tcW w:type="dxa" w:w="1984"/>
          </w:tcPr>
          <w:p>
            <w:r>
              <w:t>Identifiant du message d'erreur lié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unique du message d'erreur lié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step</w:t>
            </w:r>
          </w:p>
        </w:tc>
        <w:tc>
          <w:tcPr>
            <w:tcW w:type="dxa" w:w="1984"/>
          </w:tcPr>
          <w:p>
            <w:r>
              <w:t>Etape d'intégration du message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HubSante.etape)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Nomenclature permettant d'identifier les différentes étapes d'intégration et de consultation du message dans le système émetteur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