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Finess géographique et juridique de l’établissement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Unité fonctionnelle de l'établissement de santé. </w:t>
              <w:br/>
              <w:t xml:space="preserve">A renseigner uniquement si l'intervention a lieu dans un établissement de santé.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quitte sa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arrive sur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quitte les lieux de l'intervention.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Date et heure à laquelle le SMUR qui transporte arrive à destination.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disponible (dispose de tout les équipements pour faire une autre intervention).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Date et heure à laquelle le SMUR est de retour à la base. </w:t>
              <w:br/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